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49.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799DD" w14:textId="77777777" w:rsidR="00D93659" w:rsidRDefault="00D93659" w:rsidP="00D93659">
      <w:pPr>
        <w:jc w:val="center"/>
      </w:pPr>
      <w:bookmarkStart w:id="1" w:name="_Hlk183447576"/>
      <w:bookmarkEnd w:id="1"/>
    </w:p>
    <w:p w14:paraId="5646CBF3" w14:textId="77777777" w:rsidR="00D93659" w:rsidRDefault="00D93659" w:rsidP="00D93659">
      <w:pPr>
        <w:jc w:val="center"/>
      </w:pPr>
    </w:p>
    <w:p w14:paraId="44C80D72" w14:textId="77777777" w:rsidR="00D93659" w:rsidRDefault="00D93659" w:rsidP="00D93659">
      <w:pPr>
        <w:jc w:val="center"/>
      </w:pPr>
    </w:p>
    <w:p w14:paraId="4DC50425" w14:textId="77777777" w:rsidR="00D93659" w:rsidRDefault="00D93659" w:rsidP="00D93659">
      <w:pPr>
        <w:jc w:val="center"/>
      </w:pPr>
    </w:p>
    <w:p w14:paraId="2BECAAE1" w14:textId="77777777" w:rsidR="00D93659" w:rsidRDefault="00D93659" w:rsidP="00D93659">
      <w:pPr>
        <w:jc w:val="center"/>
      </w:pPr>
    </w:p>
    <w:p w14:paraId="712C2355" w14:textId="77777777" w:rsidR="00D93659" w:rsidRDefault="00D93659" w:rsidP="00D93659">
      <w:pPr>
        <w:jc w:val="center"/>
      </w:pPr>
    </w:p>
    <w:p w14:paraId="5092026E" w14:textId="77777777" w:rsidR="00D93659" w:rsidRDefault="00D93659" w:rsidP="00D93659">
      <w:pPr>
        <w:jc w:val="center"/>
      </w:pPr>
    </w:p>
    <w:p w14:paraId="1BF0ED35" w14:textId="77777777" w:rsidR="00D93659" w:rsidRDefault="00D93659" w:rsidP="00D93659">
      <w:pPr>
        <w:jc w:val="center"/>
      </w:pPr>
    </w:p>
    <w:p w14:paraId="5F12B4AA" w14:textId="77777777" w:rsidR="00D93659" w:rsidRDefault="00D93659" w:rsidP="00D93659">
      <w:pPr>
        <w:jc w:val="center"/>
      </w:pPr>
    </w:p>
    <w:p w14:paraId="6B0EC211" w14:textId="77777777" w:rsidR="00D93659" w:rsidRDefault="00D93659" w:rsidP="00D93659">
      <w:pPr>
        <w:jc w:val="center"/>
      </w:pPr>
    </w:p>
    <w:p w14:paraId="6FC9CF73" w14:textId="13737B18" w:rsidR="00D93659" w:rsidRDefault="00D93659" w:rsidP="00D93659">
      <w:pPr>
        <w:jc w:val="center"/>
      </w:pPr>
      <w:r>
        <w:rPr>
          <w:noProof/>
          <w:lang w:eastAsia="pl-PL"/>
        </w:rPr>
        <w:drawing>
          <wp:inline distT="0" distB="0" distL="0" distR="0" wp14:anchorId="5045FBA5" wp14:editId="288C8CBC">
            <wp:extent cx="1138136" cy="1439742"/>
            <wp:effectExtent l="0" t="0" r="5080" b="8255"/>
            <wp:docPr id="1685445014" name="Obraz 1685445014" descr="Obraz zawierający logo, czerwony, Grafika, Karmi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45014" name="Obraz 1685445014" descr="Obraz zawierający logo, czerwony, Grafika, Karmin&#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734" cy="1446824"/>
                    </a:xfrm>
                    <a:prstGeom prst="rect">
                      <a:avLst/>
                    </a:prstGeom>
                  </pic:spPr>
                </pic:pic>
              </a:graphicData>
            </a:graphic>
          </wp:inline>
        </w:drawing>
      </w:r>
    </w:p>
    <w:p w14:paraId="2392E340" w14:textId="77777777" w:rsidR="00D93659" w:rsidRDefault="00D93659" w:rsidP="00D93659">
      <w:pPr>
        <w:jc w:val="center"/>
      </w:pPr>
    </w:p>
    <w:p w14:paraId="368635F6" w14:textId="2F097166" w:rsidR="008122A3" w:rsidRDefault="00D93659" w:rsidP="00D93659">
      <w:pPr>
        <w:jc w:val="center"/>
      </w:pPr>
      <w:r>
        <w:rPr>
          <w:noProof/>
          <w:lang w:eastAsia="pl-PL"/>
        </w:rPr>
        <mc:AlternateContent>
          <mc:Choice Requires="wps">
            <w:drawing>
              <wp:anchor distT="45720" distB="45720" distL="114300" distR="114300" simplePos="0" relativeHeight="251851776" behindDoc="0" locked="0" layoutInCell="1" allowOverlap="1" wp14:anchorId="45C8AAD5" wp14:editId="673C4CC6">
                <wp:simplePos x="0" y="0"/>
                <wp:positionH relativeFrom="column">
                  <wp:posOffset>-889149</wp:posOffset>
                </wp:positionH>
                <wp:positionV relativeFrom="paragraph">
                  <wp:posOffset>2437130</wp:posOffset>
                </wp:positionV>
                <wp:extent cx="7550381" cy="1404620"/>
                <wp:effectExtent l="0" t="0" r="0" b="0"/>
                <wp:wrapSquare wrapText="bothSides"/>
                <wp:docPr id="169848915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381" cy="1404620"/>
                        </a:xfrm>
                        <a:prstGeom prst="rect">
                          <a:avLst/>
                        </a:prstGeom>
                        <a:solidFill>
                          <a:srgbClr val="C45911"/>
                        </a:solidFill>
                        <a:ln w="9525">
                          <a:noFill/>
                          <a:miter lim="800000"/>
                          <a:headEnd/>
                          <a:tailEnd/>
                        </a:ln>
                      </wps:spPr>
                      <wps:txbx>
                        <w:txbxContent>
                          <w:p w14:paraId="2DDEF966" w14:textId="6C579948" w:rsidR="00CF7E1A" w:rsidRPr="00DC3ED4" w:rsidRDefault="00CF7E1A" w:rsidP="00CF7E1A">
                            <w:pPr>
                              <w:spacing w:after="0"/>
                              <w:jc w:val="center"/>
                              <w:rPr>
                                <w:b/>
                                <w:bCs/>
                                <w:color w:val="FFFFFF" w:themeColor="background1"/>
                                <w:sz w:val="40"/>
                                <w:szCs w:val="40"/>
                              </w:rPr>
                            </w:pPr>
                            <w:r w:rsidRPr="00DC3ED4">
                              <w:rPr>
                                <w:b/>
                                <w:bCs/>
                                <w:color w:val="FFFFFF" w:themeColor="background1"/>
                                <w:sz w:val="40"/>
                                <w:szCs w:val="40"/>
                              </w:rPr>
                              <w:t xml:space="preserve">Strategia Rozwoju Gminy Opole Lubelskie </w:t>
                            </w:r>
                            <w:r w:rsidRPr="00DC3ED4">
                              <w:rPr>
                                <w:b/>
                                <w:bCs/>
                                <w:color w:val="FFFFFF" w:themeColor="background1"/>
                                <w:sz w:val="40"/>
                                <w:szCs w:val="40"/>
                              </w:rPr>
                              <w:br/>
                              <w:t>na lata 202</w:t>
                            </w:r>
                            <w:r w:rsidR="00933D60">
                              <w:rPr>
                                <w:b/>
                                <w:bCs/>
                                <w:color w:val="FFFFFF" w:themeColor="background1"/>
                                <w:sz w:val="40"/>
                                <w:szCs w:val="40"/>
                              </w:rPr>
                              <w:t>5</w:t>
                            </w:r>
                            <w:r w:rsidRPr="00DC3ED4">
                              <w:rPr>
                                <w:b/>
                                <w:bCs/>
                                <w:color w:val="FFFFFF" w:themeColor="background1"/>
                                <w:sz w:val="40"/>
                                <w:szCs w:val="40"/>
                              </w:rPr>
                              <w:t>-2030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5C8AAD5" id="_x0000_t202" coordsize="21600,21600" o:spt="202" path="m,l,21600r21600,l21600,xe">
                <v:stroke joinstyle="miter"/>
                <v:path gradientshapeok="t" o:connecttype="rect"/>
              </v:shapetype>
              <v:shape id="Pole tekstowe 2" o:spid="_x0000_s1026" type="#_x0000_t202" style="position:absolute;left:0;text-align:left;margin-left:-70pt;margin-top:191.9pt;width:594.5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" fillcolor="#c45911" stroked="f">
                <v:textbox style="mso-fit-shape-to-text:t">
                  <w:txbxContent>
                    <w:p w14:paraId="2DDEF966" w14:textId="6C579948" w:rsidR="00CF7E1A" w:rsidRPr="00DC3ED4" w:rsidRDefault="00CF7E1A" w:rsidP="00CF7E1A">
                      <w:pPr>
                        <w:spacing w:after="0"/>
                        <w:jc w:val="center"/>
                        <w:rPr>
                          <w:b/>
                          <w:bCs/>
                          <w:color w:val="FFFFFF" w:themeColor="background1"/>
                          <w:sz w:val="40"/>
                          <w:szCs w:val="40"/>
                        </w:rPr>
                      </w:pPr>
                      <w:r w:rsidRPr="00DC3ED4">
                        <w:rPr>
                          <w:b/>
                          <w:bCs/>
                          <w:color w:val="FFFFFF" w:themeColor="background1"/>
                          <w:sz w:val="40"/>
                          <w:szCs w:val="40"/>
                        </w:rPr>
                        <w:t xml:space="preserve">Strategia Rozwoju Gminy Opole Lubelskie </w:t>
                      </w:r>
                      <w:r w:rsidRPr="00DC3ED4">
                        <w:rPr>
                          <w:b/>
                          <w:bCs/>
                          <w:color w:val="FFFFFF" w:themeColor="background1"/>
                          <w:sz w:val="40"/>
                          <w:szCs w:val="40"/>
                        </w:rPr>
                        <w:br/>
                        <w:t>na lata 202</w:t>
                      </w:r>
                      <w:r w:rsidR="00933D60">
                        <w:rPr>
                          <w:b/>
                          <w:bCs/>
                          <w:color w:val="FFFFFF" w:themeColor="background1"/>
                          <w:sz w:val="40"/>
                          <w:szCs w:val="40"/>
                        </w:rPr>
                        <w:t>5</w:t>
                      </w:r>
                      <w:r w:rsidRPr="00DC3ED4">
                        <w:rPr>
                          <w:b/>
                          <w:bCs/>
                          <w:color w:val="FFFFFF" w:themeColor="background1"/>
                          <w:sz w:val="40"/>
                          <w:szCs w:val="40"/>
                        </w:rPr>
                        <w:t>-2030</w:t>
                      </w:r>
                    </w:p>
                  </w:txbxContent>
                </v:textbox>
                <w10:wrap type="square"/>
              </v:shape>
            </w:pict>
          </mc:Fallback>
        </mc:AlternateContent>
      </w:r>
      <w:r w:rsidR="009B2183">
        <w:rPr>
          <w:noProof/>
          <w:lang w:eastAsia="pl-PL"/>
        </w:rPr>
        <mc:AlternateContent>
          <mc:Choice Requires="wps">
            <w:drawing>
              <wp:anchor distT="45720" distB="45720" distL="114300" distR="114300" simplePos="0" relativeHeight="251852800" behindDoc="0" locked="0" layoutInCell="1" allowOverlap="1" wp14:anchorId="69AE10B5" wp14:editId="30765C6B">
                <wp:simplePos x="0" y="0"/>
                <wp:positionH relativeFrom="column">
                  <wp:posOffset>-99695</wp:posOffset>
                </wp:positionH>
                <wp:positionV relativeFrom="paragraph">
                  <wp:posOffset>8508365</wp:posOffset>
                </wp:positionV>
                <wp:extent cx="2360930" cy="1404620"/>
                <wp:effectExtent l="0" t="0" r="0" b="1905"/>
                <wp:wrapSquare wrapText="bothSides"/>
                <wp:docPr id="20899664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87F255" w14:textId="16961602" w:rsidR="00CF7E1A" w:rsidRPr="00AB649E" w:rsidRDefault="00CF7E1A" w:rsidP="00CF7E1A">
                            <w:pPr>
                              <w:rPr>
                                <w:b/>
                                <w:bCs/>
                                <w:color w:val="C45911" w:themeColor="accent2" w:themeShade="BF"/>
                              </w:rPr>
                            </w:pPr>
                            <w:r w:rsidRPr="00AB649E">
                              <w:rPr>
                                <w:b/>
                                <w:bCs/>
                                <w:color w:val="C45911" w:themeColor="accent2" w:themeShade="BF"/>
                              </w:rPr>
                              <w:t xml:space="preserve">Projekt – </w:t>
                            </w:r>
                            <w:r w:rsidR="00A252C4">
                              <w:rPr>
                                <w:b/>
                                <w:bCs/>
                                <w:color w:val="C45911" w:themeColor="accent2" w:themeShade="BF"/>
                              </w:rPr>
                              <w:t>marzec</w:t>
                            </w:r>
                            <w:r w:rsidR="004A458F">
                              <w:rPr>
                                <w:b/>
                                <w:bCs/>
                                <w:color w:val="C45911" w:themeColor="accent2" w:themeShade="BF"/>
                              </w:rPr>
                              <w:t xml:space="preserve"> 202</w:t>
                            </w:r>
                            <w:r w:rsidR="00A51891">
                              <w:rPr>
                                <w:b/>
                                <w:bCs/>
                                <w:color w:val="C45911" w:themeColor="accent2" w:themeShade="BF"/>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AE10B5" id="_x0000_s1027" type="#_x0000_t202" style="position:absolute;left:0;text-align:left;margin-left:-7.85pt;margin-top:669.95pt;width:185.9pt;height:110.6pt;z-index:251852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" filled="f" stroked="f">
                <v:textbox style="mso-fit-shape-to-text:t">
                  <w:txbxContent>
                    <w:p w14:paraId="7487F255" w14:textId="16961602" w:rsidR="00CF7E1A" w:rsidRPr="00AB649E" w:rsidRDefault="00CF7E1A" w:rsidP="00CF7E1A">
                      <w:pPr>
                        <w:rPr>
                          <w:b/>
                          <w:bCs/>
                          <w:color w:val="C45911" w:themeColor="accent2" w:themeShade="BF"/>
                        </w:rPr>
                      </w:pPr>
                      <w:r w:rsidRPr="00AB649E">
                        <w:rPr>
                          <w:b/>
                          <w:bCs/>
                          <w:color w:val="C45911" w:themeColor="accent2" w:themeShade="BF"/>
                        </w:rPr>
                        <w:t xml:space="preserve">Projekt – </w:t>
                      </w:r>
                      <w:r w:rsidR="00A252C4">
                        <w:rPr>
                          <w:b/>
                          <w:bCs/>
                          <w:color w:val="C45911" w:themeColor="accent2" w:themeShade="BF"/>
                        </w:rPr>
                        <w:t>marzec</w:t>
                      </w:r>
                      <w:r w:rsidR="004A458F">
                        <w:rPr>
                          <w:b/>
                          <w:bCs/>
                          <w:color w:val="C45911" w:themeColor="accent2" w:themeShade="BF"/>
                        </w:rPr>
                        <w:t xml:space="preserve"> 202</w:t>
                      </w:r>
                      <w:r w:rsidR="00A51891">
                        <w:rPr>
                          <w:b/>
                          <w:bCs/>
                          <w:color w:val="C45911" w:themeColor="accent2" w:themeShade="BF"/>
                        </w:rPr>
                        <w:t>5</w:t>
                      </w:r>
                    </w:p>
                  </w:txbxContent>
                </v:textbox>
                <w10:wrap type="square"/>
              </v:shape>
            </w:pict>
          </mc:Fallback>
        </mc:AlternateContent>
      </w:r>
      <w:r w:rsidR="00CF7E1A">
        <w:br w:type="page"/>
      </w:r>
      <w:bookmarkStart w:id="2" w:name="_Hlk137294520"/>
      <w:bookmarkEnd w:id="2"/>
    </w:p>
    <w:p w14:paraId="49B2AD23" w14:textId="5BC53D35" w:rsidR="008122A3" w:rsidRDefault="000F19F7" w:rsidP="00ED2393">
      <w:r w:rsidRPr="000F19F7">
        <w:rPr>
          <w:b/>
          <w:bCs/>
          <w:color w:val="C45911"/>
        </w:rPr>
        <w:lastRenderedPageBreak/>
        <w:t>Strategia Rozwoju Gminy Opole Lubelskie na lata 202</w:t>
      </w:r>
      <w:r w:rsidR="00933D60">
        <w:rPr>
          <w:b/>
          <w:bCs/>
          <w:color w:val="C45911"/>
        </w:rPr>
        <w:t>5</w:t>
      </w:r>
      <w:r w:rsidRPr="000F19F7">
        <w:rPr>
          <w:b/>
          <w:bCs/>
          <w:color w:val="C45911"/>
        </w:rPr>
        <w:t xml:space="preserve"> - 2030</w:t>
      </w:r>
      <w:r w:rsidRPr="000F19F7">
        <w:rPr>
          <w:color w:val="C45911"/>
        </w:rPr>
        <w:t xml:space="preserve"> </w:t>
      </w:r>
      <w:r w:rsidRPr="000F19F7">
        <w:t xml:space="preserve">została opracowana w formule ekspercko – partycypacyjnej </w:t>
      </w:r>
      <w:r w:rsidR="00447216" w:rsidRPr="00447216">
        <w:t xml:space="preserve">przez Regionalne Centrum Kompetencji </w:t>
      </w:r>
      <w:r w:rsidRPr="000F19F7">
        <w:t xml:space="preserve">we współpracy </w:t>
      </w:r>
      <w:r w:rsidR="00447216">
        <w:t>z</w:t>
      </w:r>
      <w:r w:rsidR="005E7EAD">
        <w:t> </w:t>
      </w:r>
      <w:r>
        <w:t>Gmin</w:t>
      </w:r>
      <w:r w:rsidR="005E7EAD">
        <w:t>ą</w:t>
      </w:r>
      <w:r w:rsidRPr="000F19F7">
        <w:t xml:space="preserve"> Opol</w:t>
      </w:r>
      <w:r w:rsidR="005E7EAD">
        <w:t>e</w:t>
      </w:r>
      <w:r w:rsidRPr="000F19F7">
        <w:t xml:space="preserve"> Lubelsk</w:t>
      </w:r>
      <w:r w:rsidR="005E7EAD">
        <w:t>ie</w:t>
      </w:r>
      <w:r w:rsidR="00447216">
        <w:t xml:space="preserve"> oraz lokalnymi interesariuszami</w:t>
      </w:r>
      <w:r>
        <w:t>.</w:t>
      </w:r>
    </w:p>
    <w:p w14:paraId="78171F79" w14:textId="77777777" w:rsidR="008122A3" w:rsidRDefault="008122A3"/>
    <w:p w14:paraId="1119CBFD" w14:textId="66A8B145" w:rsidR="008122A3" w:rsidRDefault="000F19F7">
      <w:r>
        <w:rPr>
          <w:noProof/>
          <w:lang w:eastAsia="pl-PL"/>
        </w:rPr>
        <w:drawing>
          <wp:inline distT="0" distB="0" distL="0" distR="0" wp14:anchorId="70A5A2B1" wp14:editId="253E0262">
            <wp:extent cx="1030056" cy="1303020"/>
            <wp:effectExtent l="0" t="0" r="0" b="0"/>
            <wp:docPr id="635802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0244" name="Obraz 63580244"/>
                    <pic:cNvPicPr/>
                  </pic:nvPicPr>
                  <pic:blipFill>
                    <a:blip r:embed="rId8">
                      <a:extLst>
                        <a:ext uri="{28A0092B-C50C-407E-A947-70E740481C1C}">
                          <a14:useLocalDpi xmlns:a14="http://schemas.microsoft.com/office/drawing/2010/main" val="0"/>
                        </a:ext>
                      </a:extLst>
                    </a:blip>
                    <a:stretch>
                      <a:fillRect/>
                    </a:stretch>
                  </pic:blipFill>
                  <pic:spPr>
                    <a:xfrm>
                      <a:off x="0" y="0"/>
                      <a:ext cx="1039366" cy="1314797"/>
                    </a:xfrm>
                    <a:prstGeom prst="rect">
                      <a:avLst/>
                    </a:prstGeom>
                  </pic:spPr>
                </pic:pic>
              </a:graphicData>
            </a:graphic>
          </wp:inline>
        </w:drawing>
      </w:r>
    </w:p>
    <w:p w14:paraId="6C53BA7D" w14:textId="77777777" w:rsidR="008122A3" w:rsidRDefault="008122A3"/>
    <w:p w14:paraId="4DA7C6C9" w14:textId="77777777" w:rsidR="008122A3" w:rsidRDefault="008122A3"/>
    <w:p w14:paraId="6D5F569D" w14:textId="77777777" w:rsidR="008122A3" w:rsidRDefault="008122A3"/>
    <w:p w14:paraId="4D6A819A" w14:textId="77777777" w:rsidR="008122A3" w:rsidRDefault="008122A3"/>
    <w:p w14:paraId="768FC3B0" w14:textId="559FA46C" w:rsidR="008122A3" w:rsidRDefault="00447216">
      <w:r>
        <w:rPr>
          <w:noProof/>
          <w:lang w:eastAsia="pl-PL"/>
        </w:rPr>
        <w:drawing>
          <wp:inline distT="0" distB="0" distL="0" distR="0" wp14:anchorId="0DF027BE" wp14:editId="6E266056">
            <wp:extent cx="873930" cy="620234"/>
            <wp:effectExtent l="0" t="0" r="2540" b="8890"/>
            <wp:docPr id="7008240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133" cy="628895"/>
                    </a:xfrm>
                    <a:prstGeom prst="rect">
                      <a:avLst/>
                    </a:prstGeom>
                    <a:noFill/>
                  </pic:spPr>
                </pic:pic>
              </a:graphicData>
            </a:graphic>
          </wp:inline>
        </w:drawing>
      </w:r>
    </w:p>
    <w:p w14:paraId="04BF9120" w14:textId="77777777" w:rsidR="008122A3" w:rsidRDefault="008122A3"/>
    <w:p w14:paraId="61B0081F" w14:textId="77777777" w:rsidR="008122A3" w:rsidRDefault="008122A3"/>
    <w:p w14:paraId="2F520958" w14:textId="77777777" w:rsidR="008122A3" w:rsidRDefault="008122A3"/>
    <w:p w14:paraId="3F0B181F" w14:textId="77777777" w:rsidR="008122A3" w:rsidRDefault="008122A3"/>
    <w:p w14:paraId="23A21BE0" w14:textId="77777777" w:rsidR="008122A3" w:rsidRDefault="008122A3"/>
    <w:p w14:paraId="293B81FC" w14:textId="77777777" w:rsidR="008122A3" w:rsidRDefault="008122A3"/>
    <w:p w14:paraId="0BDC03FC" w14:textId="77777777" w:rsidR="008122A3" w:rsidRDefault="008122A3"/>
    <w:p w14:paraId="7860A70D" w14:textId="77777777" w:rsidR="008122A3" w:rsidRDefault="008122A3"/>
    <w:p w14:paraId="1E59AEA0" w14:textId="77777777" w:rsidR="008122A3" w:rsidRDefault="008122A3"/>
    <w:p w14:paraId="4699AA62" w14:textId="77777777" w:rsidR="008122A3" w:rsidRDefault="008122A3"/>
    <w:p w14:paraId="40B70A12" w14:textId="77777777" w:rsidR="008122A3" w:rsidRDefault="008122A3"/>
    <w:p w14:paraId="243AEC96" w14:textId="77777777" w:rsidR="008122A3" w:rsidRDefault="008122A3"/>
    <w:p w14:paraId="3BC3E01A" w14:textId="77777777" w:rsidR="008122A3" w:rsidRDefault="008122A3"/>
    <w:p w14:paraId="174A32D4" w14:textId="77777777" w:rsidR="008122A3" w:rsidRDefault="008122A3"/>
    <w:p w14:paraId="767B5CD1" w14:textId="77777777" w:rsidR="008122A3" w:rsidRDefault="008122A3"/>
    <w:p w14:paraId="49CEA460" w14:textId="77777777" w:rsidR="008122A3" w:rsidRDefault="008122A3"/>
    <w:p w14:paraId="1CC46BFC" w14:textId="77777777" w:rsidR="008122A3" w:rsidRDefault="008122A3"/>
    <w:p w14:paraId="3ED8C646" w14:textId="626406D2" w:rsidR="008122A3" w:rsidRPr="000F19F7" w:rsidRDefault="000F19F7">
      <w:pPr>
        <w:rPr>
          <w:b/>
          <w:bCs/>
          <w:color w:val="C45911"/>
          <w:sz w:val="28"/>
          <w:szCs w:val="32"/>
        </w:rPr>
      </w:pPr>
      <w:r w:rsidRPr="000F19F7">
        <w:rPr>
          <w:b/>
          <w:bCs/>
          <w:color w:val="C45911"/>
          <w:sz w:val="28"/>
          <w:szCs w:val="32"/>
        </w:rPr>
        <w:lastRenderedPageBreak/>
        <w:t>Spis treści</w:t>
      </w:r>
    </w:p>
    <w:p w14:paraId="6E2F9F76" w14:textId="5E1304FD" w:rsidR="00976044" w:rsidRDefault="000D4659">
      <w:pPr>
        <w:pStyle w:val="Spistreci1"/>
        <w:tabs>
          <w:tab w:val="right" w:leader="hyphen" w:pos="9062"/>
        </w:tabs>
        <w:rPr>
          <w:rFonts w:asciiTheme="minorHAnsi" w:eastAsiaTheme="minorEastAsia" w:hAnsiTheme="minorHAnsi"/>
          <w:noProof/>
          <w:sz w:val="24"/>
          <w:szCs w:val="24"/>
          <w:lang w:eastAsia="pl-PL"/>
        </w:rPr>
      </w:pPr>
      <w:r>
        <w:fldChar w:fldCharType="begin"/>
      </w:r>
      <w:r>
        <w:instrText xml:space="preserve"> TOC \o "1-3" \h \z \u </w:instrText>
      </w:r>
      <w:r>
        <w:fldChar w:fldCharType="separate"/>
      </w:r>
      <w:hyperlink w:anchor="_Toc191908742" w:history="1">
        <w:r w:rsidR="00976044" w:rsidRPr="00E1713D">
          <w:rPr>
            <w:rStyle w:val="Hipercze"/>
            <w:noProof/>
          </w:rPr>
          <w:t>1. Wprowadzenie</w:t>
        </w:r>
        <w:r w:rsidR="00976044">
          <w:rPr>
            <w:noProof/>
            <w:webHidden/>
          </w:rPr>
          <w:tab/>
        </w:r>
        <w:r w:rsidR="00976044">
          <w:rPr>
            <w:noProof/>
            <w:webHidden/>
          </w:rPr>
          <w:fldChar w:fldCharType="begin"/>
        </w:r>
        <w:r w:rsidR="00976044">
          <w:rPr>
            <w:noProof/>
            <w:webHidden/>
          </w:rPr>
          <w:instrText xml:space="preserve"> PAGEREF _Toc191908742 \h </w:instrText>
        </w:r>
        <w:r w:rsidR="00976044">
          <w:rPr>
            <w:noProof/>
            <w:webHidden/>
          </w:rPr>
        </w:r>
        <w:r w:rsidR="00976044">
          <w:rPr>
            <w:noProof/>
            <w:webHidden/>
          </w:rPr>
          <w:fldChar w:fldCharType="separate"/>
        </w:r>
        <w:r w:rsidR="00976044">
          <w:rPr>
            <w:noProof/>
            <w:webHidden/>
          </w:rPr>
          <w:t>6</w:t>
        </w:r>
        <w:r w:rsidR="00976044">
          <w:rPr>
            <w:noProof/>
            <w:webHidden/>
          </w:rPr>
          <w:fldChar w:fldCharType="end"/>
        </w:r>
      </w:hyperlink>
    </w:p>
    <w:p w14:paraId="34056230" w14:textId="1217011F"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43" w:history="1">
        <w:r w:rsidR="00976044" w:rsidRPr="00E1713D">
          <w:rPr>
            <w:rStyle w:val="Hipercze"/>
            <w:noProof/>
          </w:rPr>
          <w:t>A. CZĘŚĆ DIAGNOSTYCZNA</w:t>
        </w:r>
        <w:r w:rsidR="00976044">
          <w:rPr>
            <w:noProof/>
            <w:webHidden/>
          </w:rPr>
          <w:tab/>
        </w:r>
        <w:r w:rsidR="00976044">
          <w:rPr>
            <w:noProof/>
            <w:webHidden/>
          </w:rPr>
          <w:fldChar w:fldCharType="begin"/>
        </w:r>
        <w:r w:rsidR="00976044">
          <w:rPr>
            <w:noProof/>
            <w:webHidden/>
          </w:rPr>
          <w:instrText xml:space="preserve"> PAGEREF _Toc191908743 \h </w:instrText>
        </w:r>
        <w:r w:rsidR="00976044">
          <w:rPr>
            <w:noProof/>
            <w:webHidden/>
          </w:rPr>
        </w:r>
        <w:r w:rsidR="00976044">
          <w:rPr>
            <w:noProof/>
            <w:webHidden/>
          </w:rPr>
          <w:fldChar w:fldCharType="separate"/>
        </w:r>
        <w:r w:rsidR="00976044">
          <w:rPr>
            <w:noProof/>
            <w:webHidden/>
          </w:rPr>
          <w:t>9</w:t>
        </w:r>
        <w:r w:rsidR="00976044">
          <w:rPr>
            <w:noProof/>
            <w:webHidden/>
          </w:rPr>
          <w:fldChar w:fldCharType="end"/>
        </w:r>
      </w:hyperlink>
    </w:p>
    <w:p w14:paraId="4D94953E" w14:textId="2499C2A4"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44" w:history="1">
        <w:r w:rsidR="00976044" w:rsidRPr="00E1713D">
          <w:rPr>
            <w:rStyle w:val="Hipercze"/>
            <w:noProof/>
          </w:rPr>
          <w:t>2. Diagnoza sytuacji społecznej, gospodarczej i przestrzennej oraz wnioski z diagnozy</w:t>
        </w:r>
        <w:r w:rsidR="00976044">
          <w:rPr>
            <w:noProof/>
            <w:webHidden/>
          </w:rPr>
          <w:tab/>
        </w:r>
        <w:r w:rsidR="00976044">
          <w:rPr>
            <w:noProof/>
            <w:webHidden/>
          </w:rPr>
          <w:fldChar w:fldCharType="begin"/>
        </w:r>
        <w:r w:rsidR="00976044">
          <w:rPr>
            <w:noProof/>
            <w:webHidden/>
          </w:rPr>
          <w:instrText xml:space="preserve"> PAGEREF _Toc191908744 \h </w:instrText>
        </w:r>
        <w:r w:rsidR="00976044">
          <w:rPr>
            <w:noProof/>
            <w:webHidden/>
          </w:rPr>
        </w:r>
        <w:r w:rsidR="00976044">
          <w:rPr>
            <w:noProof/>
            <w:webHidden/>
          </w:rPr>
          <w:fldChar w:fldCharType="separate"/>
        </w:r>
        <w:r w:rsidR="00976044">
          <w:rPr>
            <w:noProof/>
            <w:webHidden/>
          </w:rPr>
          <w:t>9</w:t>
        </w:r>
        <w:r w:rsidR="00976044">
          <w:rPr>
            <w:noProof/>
            <w:webHidden/>
          </w:rPr>
          <w:fldChar w:fldCharType="end"/>
        </w:r>
      </w:hyperlink>
    </w:p>
    <w:p w14:paraId="582E4224" w14:textId="75D63C98"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45" w:history="1">
        <w:r w:rsidR="00976044" w:rsidRPr="00E1713D">
          <w:rPr>
            <w:rStyle w:val="Hipercze"/>
            <w:noProof/>
            <w:lang w:bidi="en-US"/>
          </w:rPr>
          <w:t>2.1 Położenie, przestrzeń i środowisko</w:t>
        </w:r>
        <w:r w:rsidR="00976044">
          <w:rPr>
            <w:noProof/>
            <w:webHidden/>
          </w:rPr>
          <w:tab/>
        </w:r>
        <w:r w:rsidR="00976044">
          <w:rPr>
            <w:noProof/>
            <w:webHidden/>
          </w:rPr>
          <w:fldChar w:fldCharType="begin"/>
        </w:r>
        <w:r w:rsidR="00976044">
          <w:rPr>
            <w:noProof/>
            <w:webHidden/>
          </w:rPr>
          <w:instrText xml:space="preserve"> PAGEREF _Toc191908745 \h </w:instrText>
        </w:r>
        <w:r w:rsidR="00976044">
          <w:rPr>
            <w:noProof/>
            <w:webHidden/>
          </w:rPr>
        </w:r>
        <w:r w:rsidR="00976044">
          <w:rPr>
            <w:noProof/>
            <w:webHidden/>
          </w:rPr>
          <w:fldChar w:fldCharType="separate"/>
        </w:r>
        <w:r w:rsidR="00976044">
          <w:rPr>
            <w:noProof/>
            <w:webHidden/>
          </w:rPr>
          <w:t>10</w:t>
        </w:r>
        <w:r w:rsidR="00976044">
          <w:rPr>
            <w:noProof/>
            <w:webHidden/>
          </w:rPr>
          <w:fldChar w:fldCharType="end"/>
        </w:r>
      </w:hyperlink>
    </w:p>
    <w:p w14:paraId="01AC3806" w14:textId="0279C864"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46" w:history="1">
        <w:r w:rsidR="00976044" w:rsidRPr="00E1713D">
          <w:rPr>
            <w:rStyle w:val="Hipercze"/>
            <w:noProof/>
            <w:lang w:bidi="en-US"/>
          </w:rPr>
          <w:t>2.1.1 Położenie</w:t>
        </w:r>
        <w:r w:rsidR="00976044">
          <w:rPr>
            <w:noProof/>
            <w:webHidden/>
          </w:rPr>
          <w:tab/>
        </w:r>
        <w:r w:rsidR="00976044">
          <w:rPr>
            <w:noProof/>
            <w:webHidden/>
          </w:rPr>
          <w:fldChar w:fldCharType="begin"/>
        </w:r>
        <w:r w:rsidR="00976044">
          <w:rPr>
            <w:noProof/>
            <w:webHidden/>
          </w:rPr>
          <w:instrText xml:space="preserve"> PAGEREF _Toc191908746 \h </w:instrText>
        </w:r>
        <w:r w:rsidR="00976044">
          <w:rPr>
            <w:noProof/>
            <w:webHidden/>
          </w:rPr>
        </w:r>
        <w:r w:rsidR="00976044">
          <w:rPr>
            <w:noProof/>
            <w:webHidden/>
          </w:rPr>
          <w:fldChar w:fldCharType="separate"/>
        </w:r>
        <w:r w:rsidR="00976044">
          <w:rPr>
            <w:noProof/>
            <w:webHidden/>
          </w:rPr>
          <w:t>10</w:t>
        </w:r>
        <w:r w:rsidR="00976044">
          <w:rPr>
            <w:noProof/>
            <w:webHidden/>
          </w:rPr>
          <w:fldChar w:fldCharType="end"/>
        </w:r>
      </w:hyperlink>
    </w:p>
    <w:p w14:paraId="46EDE298" w14:textId="23176020"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47" w:history="1">
        <w:r w:rsidR="00976044" w:rsidRPr="00E1713D">
          <w:rPr>
            <w:rStyle w:val="Hipercze"/>
            <w:noProof/>
            <w:lang w:bidi="en-US"/>
          </w:rPr>
          <w:t>2.1.2 Rzeźba terenu</w:t>
        </w:r>
        <w:r w:rsidR="00976044">
          <w:rPr>
            <w:noProof/>
            <w:webHidden/>
          </w:rPr>
          <w:tab/>
        </w:r>
        <w:r w:rsidR="00976044">
          <w:rPr>
            <w:noProof/>
            <w:webHidden/>
          </w:rPr>
          <w:fldChar w:fldCharType="begin"/>
        </w:r>
        <w:r w:rsidR="00976044">
          <w:rPr>
            <w:noProof/>
            <w:webHidden/>
          </w:rPr>
          <w:instrText xml:space="preserve"> PAGEREF _Toc191908747 \h </w:instrText>
        </w:r>
        <w:r w:rsidR="00976044">
          <w:rPr>
            <w:noProof/>
            <w:webHidden/>
          </w:rPr>
        </w:r>
        <w:r w:rsidR="00976044">
          <w:rPr>
            <w:noProof/>
            <w:webHidden/>
          </w:rPr>
          <w:fldChar w:fldCharType="separate"/>
        </w:r>
        <w:r w:rsidR="00976044">
          <w:rPr>
            <w:noProof/>
            <w:webHidden/>
          </w:rPr>
          <w:t>12</w:t>
        </w:r>
        <w:r w:rsidR="00976044">
          <w:rPr>
            <w:noProof/>
            <w:webHidden/>
          </w:rPr>
          <w:fldChar w:fldCharType="end"/>
        </w:r>
      </w:hyperlink>
    </w:p>
    <w:p w14:paraId="2F1AC5B4" w14:textId="4A5ECBFC"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48" w:history="1">
        <w:r w:rsidR="00976044" w:rsidRPr="00E1713D">
          <w:rPr>
            <w:rStyle w:val="Hipercze"/>
            <w:noProof/>
            <w:lang w:bidi="en-US"/>
          </w:rPr>
          <w:t>2.1.3 Zasoby wodne</w:t>
        </w:r>
        <w:r w:rsidR="00976044">
          <w:rPr>
            <w:noProof/>
            <w:webHidden/>
          </w:rPr>
          <w:tab/>
        </w:r>
        <w:r w:rsidR="00976044">
          <w:rPr>
            <w:noProof/>
            <w:webHidden/>
          </w:rPr>
          <w:fldChar w:fldCharType="begin"/>
        </w:r>
        <w:r w:rsidR="00976044">
          <w:rPr>
            <w:noProof/>
            <w:webHidden/>
          </w:rPr>
          <w:instrText xml:space="preserve"> PAGEREF _Toc191908748 \h </w:instrText>
        </w:r>
        <w:r w:rsidR="00976044">
          <w:rPr>
            <w:noProof/>
            <w:webHidden/>
          </w:rPr>
        </w:r>
        <w:r w:rsidR="00976044">
          <w:rPr>
            <w:noProof/>
            <w:webHidden/>
          </w:rPr>
          <w:fldChar w:fldCharType="separate"/>
        </w:r>
        <w:r w:rsidR="00976044">
          <w:rPr>
            <w:noProof/>
            <w:webHidden/>
          </w:rPr>
          <w:t>13</w:t>
        </w:r>
        <w:r w:rsidR="00976044">
          <w:rPr>
            <w:noProof/>
            <w:webHidden/>
          </w:rPr>
          <w:fldChar w:fldCharType="end"/>
        </w:r>
      </w:hyperlink>
    </w:p>
    <w:p w14:paraId="311F44C3" w14:textId="2E9DD2E2"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49" w:history="1">
        <w:r w:rsidR="00976044" w:rsidRPr="00E1713D">
          <w:rPr>
            <w:rStyle w:val="Hipercze"/>
            <w:noProof/>
            <w:lang w:bidi="en-US"/>
          </w:rPr>
          <w:t>2.1.4 Warunki klimatyczne</w:t>
        </w:r>
        <w:r w:rsidR="00976044">
          <w:rPr>
            <w:noProof/>
            <w:webHidden/>
          </w:rPr>
          <w:tab/>
        </w:r>
        <w:r w:rsidR="00976044">
          <w:rPr>
            <w:noProof/>
            <w:webHidden/>
          </w:rPr>
          <w:fldChar w:fldCharType="begin"/>
        </w:r>
        <w:r w:rsidR="00976044">
          <w:rPr>
            <w:noProof/>
            <w:webHidden/>
          </w:rPr>
          <w:instrText xml:space="preserve"> PAGEREF _Toc191908749 \h </w:instrText>
        </w:r>
        <w:r w:rsidR="00976044">
          <w:rPr>
            <w:noProof/>
            <w:webHidden/>
          </w:rPr>
        </w:r>
        <w:r w:rsidR="00976044">
          <w:rPr>
            <w:noProof/>
            <w:webHidden/>
          </w:rPr>
          <w:fldChar w:fldCharType="separate"/>
        </w:r>
        <w:r w:rsidR="00976044">
          <w:rPr>
            <w:noProof/>
            <w:webHidden/>
          </w:rPr>
          <w:t>14</w:t>
        </w:r>
        <w:r w:rsidR="00976044">
          <w:rPr>
            <w:noProof/>
            <w:webHidden/>
          </w:rPr>
          <w:fldChar w:fldCharType="end"/>
        </w:r>
      </w:hyperlink>
    </w:p>
    <w:p w14:paraId="179DB36D" w14:textId="632AE583"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50" w:history="1">
        <w:r w:rsidR="00976044" w:rsidRPr="00E1713D">
          <w:rPr>
            <w:rStyle w:val="Hipercze"/>
            <w:noProof/>
            <w:lang w:bidi="en-US"/>
          </w:rPr>
          <w:t>2.1.5 Zasoby naturalne</w:t>
        </w:r>
        <w:r w:rsidR="00976044">
          <w:rPr>
            <w:noProof/>
            <w:webHidden/>
          </w:rPr>
          <w:tab/>
        </w:r>
        <w:r w:rsidR="00976044">
          <w:rPr>
            <w:noProof/>
            <w:webHidden/>
          </w:rPr>
          <w:fldChar w:fldCharType="begin"/>
        </w:r>
        <w:r w:rsidR="00976044">
          <w:rPr>
            <w:noProof/>
            <w:webHidden/>
          </w:rPr>
          <w:instrText xml:space="preserve"> PAGEREF _Toc191908750 \h </w:instrText>
        </w:r>
        <w:r w:rsidR="00976044">
          <w:rPr>
            <w:noProof/>
            <w:webHidden/>
          </w:rPr>
        </w:r>
        <w:r w:rsidR="00976044">
          <w:rPr>
            <w:noProof/>
            <w:webHidden/>
          </w:rPr>
          <w:fldChar w:fldCharType="separate"/>
        </w:r>
        <w:r w:rsidR="00976044">
          <w:rPr>
            <w:noProof/>
            <w:webHidden/>
          </w:rPr>
          <w:t>14</w:t>
        </w:r>
        <w:r w:rsidR="00976044">
          <w:rPr>
            <w:noProof/>
            <w:webHidden/>
          </w:rPr>
          <w:fldChar w:fldCharType="end"/>
        </w:r>
      </w:hyperlink>
    </w:p>
    <w:p w14:paraId="17F9141F" w14:textId="7DDDE2E7"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51" w:history="1">
        <w:r w:rsidR="00976044" w:rsidRPr="00E1713D">
          <w:rPr>
            <w:rStyle w:val="Hipercze"/>
            <w:noProof/>
            <w:lang w:bidi="en-US"/>
          </w:rPr>
          <w:t>2.1.6 Obszary chronione</w:t>
        </w:r>
        <w:r w:rsidR="00976044">
          <w:rPr>
            <w:noProof/>
            <w:webHidden/>
          </w:rPr>
          <w:tab/>
        </w:r>
        <w:r w:rsidR="00976044">
          <w:rPr>
            <w:noProof/>
            <w:webHidden/>
          </w:rPr>
          <w:fldChar w:fldCharType="begin"/>
        </w:r>
        <w:r w:rsidR="00976044">
          <w:rPr>
            <w:noProof/>
            <w:webHidden/>
          </w:rPr>
          <w:instrText xml:space="preserve"> PAGEREF _Toc191908751 \h </w:instrText>
        </w:r>
        <w:r w:rsidR="00976044">
          <w:rPr>
            <w:noProof/>
            <w:webHidden/>
          </w:rPr>
        </w:r>
        <w:r w:rsidR="00976044">
          <w:rPr>
            <w:noProof/>
            <w:webHidden/>
          </w:rPr>
          <w:fldChar w:fldCharType="separate"/>
        </w:r>
        <w:r w:rsidR="00976044">
          <w:rPr>
            <w:noProof/>
            <w:webHidden/>
          </w:rPr>
          <w:t>14</w:t>
        </w:r>
        <w:r w:rsidR="00976044">
          <w:rPr>
            <w:noProof/>
            <w:webHidden/>
          </w:rPr>
          <w:fldChar w:fldCharType="end"/>
        </w:r>
      </w:hyperlink>
    </w:p>
    <w:p w14:paraId="4985B397" w14:textId="5A6E76A1"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52" w:history="1">
        <w:r w:rsidR="00976044" w:rsidRPr="00E1713D">
          <w:rPr>
            <w:rStyle w:val="Hipercze"/>
            <w:noProof/>
            <w:lang w:bidi="en-US"/>
          </w:rPr>
          <w:t>2.1.7 Stan i ochrona środowiska</w:t>
        </w:r>
        <w:r w:rsidR="00976044">
          <w:rPr>
            <w:noProof/>
            <w:webHidden/>
          </w:rPr>
          <w:tab/>
        </w:r>
        <w:r w:rsidR="00976044">
          <w:rPr>
            <w:noProof/>
            <w:webHidden/>
          </w:rPr>
          <w:fldChar w:fldCharType="begin"/>
        </w:r>
        <w:r w:rsidR="00976044">
          <w:rPr>
            <w:noProof/>
            <w:webHidden/>
          </w:rPr>
          <w:instrText xml:space="preserve"> PAGEREF _Toc191908752 \h </w:instrText>
        </w:r>
        <w:r w:rsidR="00976044">
          <w:rPr>
            <w:noProof/>
            <w:webHidden/>
          </w:rPr>
        </w:r>
        <w:r w:rsidR="00976044">
          <w:rPr>
            <w:noProof/>
            <w:webHidden/>
          </w:rPr>
          <w:fldChar w:fldCharType="separate"/>
        </w:r>
        <w:r w:rsidR="00976044">
          <w:rPr>
            <w:noProof/>
            <w:webHidden/>
          </w:rPr>
          <w:t>16</w:t>
        </w:r>
        <w:r w:rsidR="00976044">
          <w:rPr>
            <w:noProof/>
            <w:webHidden/>
          </w:rPr>
          <w:fldChar w:fldCharType="end"/>
        </w:r>
      </w:hyperlink>
    </w:p>
    <w:p w14:paraId="294788E4" w14:textId="54F25F2C"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53" w:history="1">
        <w:r w:rsidR="00976044" w:rsidRPr="00E1713D">
          <w:rPr>
            <w:rStyle w:val="Hipercze"/>
            <w:noProof/>
            <w:lang w:bidi="en-US"/>
          </w:rPr>
          <w:t>2.1.8 Dziedzictwo kulturowe</w:t>
        </w:r>
        <w:r w:rsidR="00976044">
          <w:rPr>
            <w:noProof/>
            <w:webHidden/>
          </w:rPr>
          <w:tab/>
        </w:r>
        <w:r w:rsidR="00976044">
          <w:rPr>
            <w:noProof/>
            <w:webHidden/>
          </w:rPr>
          <w:fldChar w:fldCharType="begin"/>
        </w:r>
        <w:r w:rsidR="00976044">
          <w:rPr>
            <w:noProof/>
            <w:webHidden/>
          </w:rPr>
          <w:instrText xml:space="preserve"> PAGEREF _Toc191908753 \h </w:instrText>
        </w:r>
        <w:r w:rsidR="00976044">
          <w:rPr>
            <w:noProof/>
            <w:webHidden/>
          </w:rPr>
        </w:r>
        <w:r w:rsidR="00976044">
          <w:rPr>
            <w:noProof/>
            <w:webHidden/>
          </w:rPr>
          <w:fldChar w:fldCharType="separate"/>
        </w:r>
        <w:r w:rsidR="00976044">
          <w:rPr>
            <w:noProof/>
            <w:webHidden/>
          </w:rPr>
          <w:t>18</w:t>
        </w:r>
        <w:r w:rsidR="00976044">
          <w:rPr>
            <w:noProof/>
            <w:webHidden/>
          </w:rPr>
          <w:fldChar w:fldCharType="end"/>
        </w:r>
      </w:hyperlink>
    </w:p>
    <w:p w14:paraId="385B4EEC" w14:textId="4E25364C"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54" w:history="1">
        <w:r w:rsidR="00976044" w:rsidRPr="00E1713D">
          <w:rPr>
            <w:rStyle w:val="Hipercze"/>
            <w:noProof/>
            <w:lang w:bidi="en-US"/>
          </w:rPr>
          <w:t>2.1.9 Podsumowanie i wnioski</w:t>
        </w:r>
        <w:r w:rsidR="00976044">
          <w:rPr>
            <w:noProof/>
            <w:webHidden/>
          </w:rPr>
          <w:tab/>
        </w:r>
        <w:r w:rsidR="00976044">
          <w:rPr>
            <w:noProof/>
            <w:webHidden/>
          </w:rPr>
          <w:fldChar w:fldCharType="begin"/>
        </w:r>
        <w:r w:rsidR="00976044">
          <w:rPr>
            <w:noProof/>
            <w:webHidden/>
          </w:rPr>
          <w:instrText xml:space="preserve"> PAGEREF _Toc191908754 \h </w:instrText>
        </w:r>
        <w:r w:rsidR="00976044">
          <w:rPr>
            <w:noProof/>
            <w:webHidden/>
          </w:rPr>
        </w:r>
        <w:r w:rsidR="00976044">
          <w:rPr>
            <w:noProof/>
            <w:webHidden/>
          </w:rPr>
          <w:fldChar w:fldCharType="separate"/>
        </w:r>
        <w:r w:rsidR="00976044">
          <w:rPr>
            <w:noProof/>
            <w:webHidden/>
          </w:rPr>
          <w:t>19</w:t>
        </w:r>
        <w:r w:rsidR="00976044">
          <w:rPr>
            <w:noProof/>
            <w:webHidden/>
          </w:rPr>
          <w:fldChar w:fldCharType="end"/>
        </w:r>
      </w:hyperlink>
    </w:p>
    <w:p w14:paraId="21EF8123" w14:textId="6369D74D"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55" w:history="1">
        <w:r w:rsidR="00976044" w:rsidRPr="00E1713D">
          <w:rPr>
            <w:rStyle w:val="Hipercze"/>
            <w:noProof/>
            <w:lang w:bidi="en-US"/>
          </w:rPr>
          <w:t>2.2 Demografia i potencjał społeczny</w:t>
        </w:r>
        <w:r w:rsidR="00976044">
          <w:rPr>
            <w:noProof/>
            <w:webHidden/>
          </w:rPr>
          <w:tab/>
        </w:r>
        <w:r w:rsidR="00976044">
          <w:rPr>
            <w:noProof/>
            <w:webHidden/>
          </w:rPr>
          <w:fldChar w:fldCharType="begin"/>
        </w:r>
        <w:r w:rsidR="00976044">
          <w:rPr>
            <w:noProof/>
            <w:webHidden/>
          </w:rPr>
          <w:instrText xml:space="preserve"> PAGEREF _Toc191908755 \h </w:instrText>
        </w:r>
        <w:r w:rsidR="00976044">
          <w:rPr>
            <w:noProof/>
            <w:webHidden/>
          </w:rPr>
        </w:r>
        <w:r w:rsidR="00976044">
          <w:rPr>
            <w:noProof/>
            <w:webHidden/>
          </w:rPr>
          <w:fldChar w:fldCharType="separate"/>
        </w:r>
        <w:r w:rsidR="00976044">
          <w:rPr>
            <w:noProof/>
            <w:webHidden/>
          </w:rPr>
          <w:t>21</w:t>
        </w:r>
        <w:r w:rsidR="00976044">
          <w:rPr>
            <w:noProof/>
            <w:webHidden/>
          </w:rPr>
          <w:fldChar w:fldCharType="end"/>
        </w:r>
      </w:hyperlink>
    </w:p>
    <w:p w14:paraId="7C39E78A" w14:textId="3E428FDB"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56" w:history="1">
        <w:r w:rsidR="00976044" w:rsidRPr="00E1713D">
          <w:rPr>
            <w:rStyle w:val="Hipercze"/>
            <w:noProof/>
            <w:lang w:bidi="en-US"/>
          </w:rPr>
          <w:t>2.2.1 Liczba ludności</w:t>
        </w:r>
        <w:r w:rsidR="00976044">
          <w:rPr>
            <w:noProof/>
            <w:webHidden/>
          </w:rPr>
          <w:tab/>
        </w:r>
        <w:r w:rsidR="00976044">
          <w:rPr>
            <w:noProof/>
            <w:webHidden/>
          </w:rPr>
          <w:fldChar w:fldCharType="begin"/>
        </w:r>
        <w:r w:rsidR="00976044">
          <w:rPr>
            <w:noProof/>
            <w:webHidden/>
          </w:rPr>
          <w:instrText xml:space="preserve"> PAGEREF _Toc191908756 \h </w:instrText>
        </w:r>
        <w:r w:rsidR="00976044">
          <w:rPr>
            <w:noProof/>
            <w:webHidden/>
          </w:rPr>
        </w:r>
        <w:r w:rsidR="00976044">
          <w:rPr>
            <w:noProof/>
            <w:webHidden/>
          </w:rPr>
          <w:fldChar w:fldCharType="separate"/>
        </w:r>
        <w:r w:rsidR="00976044">
          <w:rPr>
            <w:noProof/>
            <w:webHidden/>
          </w:rPr>
          <w:t>21</w:t>
        </w:r>
        <w:r w:rsidR="00976044">
          <w:rPr>
            <w:noProof/>
            <w:webHidden/>
          </w:rPr>
          <w:fldChar w:fldCharType="end"/>
        </w:r>
      </w:hyperlink>
    </w:p>
    <w:p w14:paraId="54749271" w14:textId="38112C31"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57" w:history="1">
        <w:r w:rsidR="00976044" w:rsidRPr="00E1713D">
          <w:rPr>
            <w:rStyle w:val="Hipercze"/>
            <w:noProof/>
            <w:lang w:bidi="en-US"/>
          </w:rPr>
          <w:t>2.2.2 Ruch naturalny i migracje</w:t>
        </w:r>
        <w:r w:rsidR="00976044">
          <w:rPr>
            <w:noProof/>
            <w:webHidden/>
          </w:rPr>
          <w:tab/>
        </w:r>
        <w:r w:rsidR="00976044">
          <w:rPr>
            <w:noProof/>
            <w:webHidden/>
          </w:rPr>
          <w:fldChar w:fldCharType="begin"/>
        </w:r>
        <w:r w:rsidR="00976044">
          <w:rPr>
            <w:noProof/>
            <w:webHidden/>
          </w:rPr>
          <w:instrText xml:space="preserve"> PAGEREF _Toc191908757 \h </w:instrText>
        </w:r>
        <w:r w:rsidR="00976044">
          <w:rPr>
            <w:noProof/>
            <w:webHidden/>
          </w:rPr>
        </w:r>
        <w:r w:rsidR="00976044">
          <w:rPr>
            <w:noProof/>
            <w:webHidden/>
          </w:rPr>
          <w:fldChar w:fldCharType="separate"/>
        </w:r>
        <w:r w:rsidR="00976044">
          <w:rPr>
            <w:noProof/>
            <w:webHidden/>
          </w:rPr>
          <w:t>22</w:t>
        </w:r>
        <w:r w:rsidR="00976044">
          <w:rPr>
            <w:noProof/>
            <w:webHidden/>
          </w:rPr>
          <w:fldChar w:fldCharType="end"/>
        </w:r>
      </w:hyperlink>
    </w:p>
    <w:p w14:paraId="1722D5E4" w14:textId="3130E1C2"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58" w:history="1">
        <w:r w:rsidR="00976044" w:rsidRPr="00E1713D">
          <w:rPr>
            <w:rStyle w:val="Hipercze"/>
            <w:noProof/>
            <w:lang w:bidi="en-US"/>
          </w:rPr>
          <w:t>2.2.3 Struktura wieku i płci ludności</w:t>
        </w:r>
        <w:r w:rsidR="00976044">
          <w:rPr>
            <w:noProof/>
            <w:webHidden/>
          </w:rPr>
          <w:tab/>
        </w:r>
        <w:r w:rsidR="00976044">
          <w:rPr>
            <w:noProof/>
            <w:webHidden/>
          </w:rPr>
          <w:fldChar w:fldCharType="begin"/>
        </w:r>
        <w:r w:rsidR="00976044">
          <w:rPr>
            <w:noProof/>
            <w:webHidden/>
          </w:rPr>
          <w:instrText xml:space="preserve"> PAGEREF _Toc191908758 \h </w:instrText>
        </w:r>
        <w:r w:rsidR="00976044">
          <w:rPr>
            <w:noProof/>
            <w:webHidden/>
          </w:rPr>
        </w:r>
        <w:r w:rsidR="00976044">
          <w:rPr>
            <w:noProof/>
            <w:webHidden/>
          </w:rPr>
          <w:fldChar w:fldCharType="separate"/>
        </w:r>
        <w:r w:rsidR="00976044">
          <w:rPr>
            <w:noProof/>
            <w:webHidden/>
          </w:rPr>
          <w:t>25</w:t>
        </w:r>
        <w:r w:rsidR="00976044">
          <w:rPr>
            <w:noProof/>
            <w:webHidden/>
          </w:rPr>
          <w:fldChar w:fldCharType="end"/>
        </w:r>
      </w:hyperlink>
    </w:p>
    <w:p w14:paraId="2E744154" w14:textId="399D3EED"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59" w:history="1">
        <w:r w:rsidR="00976044" w:rsidRPr="00E1713D">
          <w:rPr>
            <w:rStyle w:val="Hipercze"/>
            <w:noProof/>
            <w:lang w:bidi="en-US"/>
          </w:rPr>
          <w:t>2.2.4 Kapitał ludzki i społeczny</w:t>
        </w:r>
        <w:r w:rsidR="00976044">
          <w:rPr>
            <w:noProof/>
            <w:webHidden/>
          </w:rPr>
          <w:tab/>
        </w:r>
        <w:r w:rsidR="00976044">
          <w:rPr>
            <w:noProof/>
            <w:webHidden/>
          </w:rPr>
          <w:fldChar w:fldCharType="begin"/>
        </w:r>
        <w:r w:rsidR="00976044">
          <w:rPr>
            <w:noProof/>
            <w:webHidden/>
          </w:rPr>
          <w:instrText xml:space="preserve"> PAGEREF _Toc191908759 \h </w:instrText>
        </w:r>
        <w:r w:rsidR="00976044">
          <w:rPr>
            <w:noProof/>
            <w:webHidden/>
          </w:rPr>
        </w:r>
        <w:r w:rsidR="00976044">
          <w:rPr>
            <w:noProof/>
            <w:webHidden/>
          </w:rPr>
          <w:fldChar w:fldCharType="separate"/>
        </w:r>
        <w:r w:rsidR="00976044">
          <w:rPr>
            <w:noProof/>
            <w:webHidden/>
          </w:rPr>
          <w:t>28</w:t>
        </w:r>
        <w:r w:rsidR="00976044">
          <w:rPr>
            <w:noProof/>
            <w:webHidden/>
          </w:rPr>
          <w:fldChar w:fldCharType="end"/>
        </w:r>
      </w:hyperlink>
    </w:p>
    <w:p w14:paraId="3CFB0184" w14:textId="428E7D9C"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60" w:history="1">
        <w:r w:rsidR="00976044" w:rsidRPr="00E1713D">
          <w:rPr>
            <w:rStyle w:val="Hipercze"/>
            <w:noProof/>
            <w:lang w:bidi="en-US"/>
          </w:rPr>
          <w:t>2.2.5 Podsumowanie i wnioski</w:t>
        </w:r>
        <w:r w:rsidR="00976044">
          <w:rPr>
            <w:noProof/>
            <w:webHidden/>
          </w:rPr>
          <w:tab/>
        </w:r>
        <w:r w:rsidR="00976044">
          <w:rPr>
            <w:noProof/>
            <w:webHidden/>
          </w:rPr>
          <w:fldChar w:fldCharType="begin"/>
        </w:r>
        <w:r w:rsidR="00976044">
          <w:rPr>
            <w:noProof/>
            <w:webHidden/>
          </w:rPr>
          <w:instrText xml:space="preserve"> PAGEREF _Toc191908760 \h </w:instrText>
        </w:r>
        <w:r w:rsidR="00976044">
          <w:rPr>
            <w:noProof/>
            <w:webHidden/>
          </w:rPr>
        </w:r>
        <w:r w:rsidR="00976044">
          <w:rPr>
            <w:noProof/>
            <w:webHidden/>
          </w:rPr>
          <w:fldChar w:fldCharType="separate"/>
        </w:r>
        <w:r w:rsidR="00976044">
          <w:rPr>
            <w:noProof/>
            <w:webHidden/>
          </w:rPr>
          <w:t>34</w:t>
        </w:r>
        <w:r w:rsidR="00976044">
          <w:rPr>
            <w:noProof/>
            <w:webHidden/>
          </w:rPr>
          <w:fldChar w:fldCharType="end"/>
        </w:r>
      </w:hyperlink>
    </w:p>
    <w:p w14:paraId="0476022B" w14:textId="19277752"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61" w:history="1">
        <w:r w:rsidR="00976044" w:rsidRPr="00E1713D">
          <w:rPr>
            <w:rStyle w:val="Hipercze"/>
            <w:noProof/>
            <w:lang w:bidi="en-US"/>
          </w:rPr>
          <w:t>2.3 Rynek pracy</w:t>
        </w:r>
        <w:r w:rsidR="00976044">
          <w:rPr>
            <w:noProof/>
            <w:webHidden/>
          </w:rPr>
          <w:tab/>
        </w:r>
        <w:r w:rsidR="00976044">
          <w:rPr>
            <w:noProof/>
            <w:webHidden/>
          </w:rPr>
          <w:fldChar w:fldCharType="begin"/>
        </w:r>
        <w:r w:rsidR="00976044">
          <w:rPr>
            <w:noProof/>
            <w:webHidden/>
          </w:rPr>
          <w:instrText xml:space="preserve"> PAGEREF _Toc191908761 \h </w:instrText>
        </w:r>
        <w:r w:rsidR="00976044">
          <w:rPr>
            <w:noProof/>
            <w:webHidden/>
          </w:rPr>
        </w:r>
        <w:r w:rsidR="00976044">
          <w:rPr>
            <w:noProof/>
            <w:webHidden/>
          </w:rPr>
          <w:fldChar w:fldCharType="separate"/>
        </w:r>
        <w:r w:rsidR="00976044">
          <w:rPr>
            <w:noProof/>
            <w:webHidden/>
          </w:rPr>
          <w:t>37</w:t>
        </w:r>
        <w:r w:rsidR="00976044">
          <w:rPr>
            <w:noProof/>
            <w:webHidden/>
          </w:rPr>
          <w:fldChar w:fldCharType="end"/>
        </w:r>
      </w:hyperlink>
    </w:p>
    <w:p w14:paraId="3E3DDD99" w14:textId="55F2D813"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62" w:history="1">
        <w:r w:rsidR="00976044" w:rsidRPr="00E1713D">
          <w:rPr>
            <w:rStyle w:val="Hipercze"/>
            <w:noProof/>
            <w:lang w:bidi="en-US"/>
          </w:rPr>
          <w:t>2.3.1 Pracujący i struktura zatrudnienia</w:t>
        </w:r>
        <w:r w:rsidR="00976044">
          <w:rPr>
            <w:noProof/>
            <w:webHidden/>
          </w:rPr>
          <w:tab/>
        </w:r>
        <w:r w:rsidR="00976044">
          <w:rPr>
            <w:noProof/>
            <w:webHidden/>
          </w:rPr>
          <w:fldChar w:fldCharType="begin"/>
        </w:r>
        <w:r w:rsidR="00976044">
          <w:rPr>
            <w:noProof/>
            <w:webHidden/>
          </w:rPr>
          <w:instrText xml:space="preserve"> PAGEREF _Toc191908762 \h </w:instrText>
        </w:r>
        <w:r w:rsidR="00976044">
          <w:rPr>
            <w:noProof/>
            <w:webHidden/>
          </w:rPr>
        </w:r>
        <w:r w:rsidR="00976044">
          <w:rPr>
            <w:noProof/>
            <w:webHidden/>
          </w:rPr>
          <w:fldChar w:fldCharType="separate"/>
        </w:r>
        <w:r w:rsidR="00976044">
          <w:rPr>
            <w:noProof/>
            <w:webHidden/>
          </w:rPr>
          <w:t>37</w:t>
        </w:r>
        <w:r w:rsidR="00976044">
          <w:rPr>
            <w:noProof/>
            <w:webHidden/>
          </w:rPr>
          <w:fldChar w:fldCharType="end"/>
        </w:r>
      </w:hyperlink>
    </w:p>
    <w:p w14:paraId="666B1657" w14:textId="2A777DFE"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63" w:history="1">
        <w:r w:rsidR="00976044" w:rsidRPr="00E1713D">
          <w:rPr>
            <w:rStyle w:val="Hipercze"/>
            <w:noProof/>
            <w:lang w:bidi="en-US"/>
          </w:rPr>
          <w:t>2.3.2 Bezrobocie i jego struktura</w:t>
        </w:r>
        <w:r w:rsidR="00976044">
          <w:rPr>
            <w:noProof/>
            <w:webHidden/>
          </w:rPr>
          <w:tab/>
        </w:r>
        <w:r w:rsidR="00976044">
          <w:rPr>
            <w:noProof/>
            <w:webHidden/>
          </w:rPr>
          <w:fldChar w:fldCharType="begin"/>
        </w:r>
        <w:r w:rsidR="00976044">
          <w:rPr>
            <w:noProof/>
            <w:webHidden/>
          </w:rPr>
          <w:instrText xml:space="preserve"> PAGEREF _Toc191908763 \h </w:instrText>
        </w:r>
        <w:r w:rsidR="00976044">
          <w:rPr>
            <w:noProof/>
            <w:webHidden/>
          </w:rPr>
        </w:r>
        <w:r w:rsidR="00976044">
          <w:rPr>
            <w:noProof/>
            <w:webHidden/>
          </w:rPr>
          <w:fldChar w:fldCharType="separate"/>
        </w:r>
        <w:r w:rsidR="00976044">
          <w:rPr>
            <w:noProof/>
            <w:webHidden/>
          </w:rPr>
          <w:t>38</w:t>
        </w:r>
        <w:r w:rsidR="00976044">
          <w:rPr>
            <w:noProof/>
            <w:webHidden/>
          </w:rPr>
          <w:fldChar w:fldCharType="end"/>
        </w:r>
      </w:hyperlink>
    </w:p>
    <w:p w14:paraId="3544E6B1" w14:textId="6B21A645"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64" w:history="1">
        <w:r w:rsidR="00976044" w:rsidRPr="00E1713D">
          <w:rPr>
            <w:rStyle w:val="Hipercze"/>
            <w:noProof/>
            <w:lang w:bidi="en-US"/>
          </w:rPr>
          <w:t>2.3.3 Podsumowanie i wnioski</w:t>
        </w:r>
        <w:r w:rsidR="00976044">
          <w:rPr>
            <w:noProof/>
            <w:webHidden/>
          </w:rPr>
          <w:tab/>
        </w:r>
        <w:r w:rsidR="00976044">
          <w:rPr>
            <w:noProof/>
            <w:webHidden/>
          </w:rPr>
          <w:fldChar w:fldCharType="begin"/>
        </w:r>
        <w:r w:rsidR="00976044">
          <w:rPr>
            <w:noProof/>
            <w:webHidden/>
          </w:rPr>
          <w:instrText xml:space="preserve"> PAGEREF _Toc191908764 \h </w:instrText>
        </w:r>
        <w:r w:rsidR="00976044">
          <w:rPr>
            <w:noProof/>
            <w:webHidden/>
          </w:rPr>
        </w:r>
        <w:r w:rsidR="00976044">
          <w:rPr>
            <w:noProof/>
            <w:webHidden/>
          </w:rPr>
          <w:fldChar w:fldCharType="separate"/>
        </w:r>
        <w:r w:rsidR="00976044">
          <w:rPr>
            <w:noProof/>
            <w:webHidden/>
          </w:rPr>
          <w:t>41</w:t>
        </w:r>
        <w:r w:rsidR="00976044">
          <w:rPr>
            <w:noProof/>
            <w:webHidden/>
          </w:rPr>
          <w:fldChar w:fldCharType="end"/>
        </w:r>
      </w:hyperlink>
    </w:p>
    <w:p w14:paraId="2F52DB09" w14:textId="5A8E8510"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65" w:history="1">
        <w:r w:rsidR="00976044" w:rsidRPr="00E1713D">
          <w:rPr>
            <w:rStyle w:val="Hipercze"/>
            <w:noProof/>
            <w:lang w:bidi="en-US"/>
          </w:rPr>
          <w:t>2.4 Potencjał gospodarczy</w:t>
        </w:r>
        <w:r w:rsidR="00976044">
          <w:rPr>
            <w:noProof/>
            <w:webHidden/>
          </w:rPr>
          <w:tab/>
        </w:r>
        <w:r w:rsidR="00976044">
          <w:rPr>
            <w:noProof/>
            <w:webHidden/>
          </w:rPr>
          <w:fldChar w:fldCharType="begin"/>
        </w:r>
        <w:r w:rsidR="00976044">
          <w:rPr>
            <w:noProof/>
            <w:webHidden/>
          </w:rPr>
          <w:instrText xml:space="preserve"> PAGEREF _Toc191908765 \h </w:instrText>
        </w:r>
        <w:r w:rsidR="00976044">
          <w:rPr>
            <w:noProof/>
            <w:webHidden/>
          </w:rPr>
        </w:r>
        <w:r w:rsidR="00976044">
          <w:rPr>
            <w:noProof/>
            <w:webHidden/>
          </w:rPr>
          <w:fldChar w:fldCharType="separate"/>
        </w:r>
        <w:r w:rsidR="00976044">
          <w:rPr>
            <w:noProof/>
            <w:webHidden/>
          </w:rPr>
          <w:t>43</w:t>
        </w:r>
        <w:r w:rsidR="00976044">
          <w:rPr>
            <w:noProof/>
            <w:webHidden/>
          </w:rPr>
          <w:fldChar w:fldCharType="end"/>
        </w:r>
      </w:hyperlink>
    </w:p>
    <w:p w14:paraId="18A9ADBB" w14:textId="584DA2C2"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66" w:history="1">
        <w:r w:rsidR="00976044" w:rsidRPr="00E1713D">
          <w:rPr>
            <w:rStyle w:val="Hipercze"/>
            <w:noProof/>
            <w:lang w:bidi="en-US"/>
          </w:rPr>
          <w:t>2.4.1 Struktura funkcjonalno-przestrzenna</w:t>
        </w:r>
        <w:r w:rsidR="00976044">
          <w:rPr>
            <w:noProof/>
            <w:webHidden/>
          </w:rPr>
          <w:tab/>
        </w:r>
        <w:r w:rsidR="00976044">
          <w:rPr>
            <w:noProof/>
            <w:webHidden/>
          </w:rPr>
          <w:fldChar w:fldCharType="begin"/>
        </w:r>
        <w:r w:rsidR="00976044">
          <w:rPr>
            <w:noProof/>
            <w:webHidden/>
          </w:rPr>
          <w:instrText xml:space="preserve"> PAGEREF _Toc191908766 \h </w:instrText>
        </w:r>
        <w:r w:rsidR="00976044">
          <w:rPr>
            <w:noProof/>
            <w:webHidden/>
          </w:rPr>
        </w:r>
        <w:r w:rsidR="00976044">
          <w:rPr>
            <w:noProof/>
            <w:webHidden/>
          </w:rPr>
          <w:fldChar w:fldCharType="separate"/>
        </w:r>
        <w:r w:rsidR="00976044">
          <w:rPr>
            <w:noProof/>
            <w:webHidden/>
          </w:rPr>
          <w:t>43</w:t>
        </w:r>
        <w:r w:rsidR="00976044">
          <w:rPr>
            <w:noProof/>
            <w:webHidden/>
          </w:rPr>
          <w:fldChar w:fldCharType="end"/>
        </w:r>
      </w:hyperlink>
    </w:p>
    <w:p w14:paraId="407AA105" w14:textId="17B5B12F"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67" w:history="1">
        <w:r w:rsidR="00976044" w:rsidRPr="00E1713D">
          <w:rPr>
            <w:rStyle w:val="Hipercze"/>
            <w:noProof/>
            <w:lang w:bidi="en-US"/>
          </w:rPr>
          <w:t>2.4.2 Rolnictwo</w:t>
        </w:r>
        <w:r w:rsidR="00976044">
          <w:rPr>
            <w:noProof/>
            <w:webHidden/>
          </w:rPr>
          <w:tab/>
        </w:r>
        <w:r w:rsidR="00976044">
          <w:rPr>
            <w:noProof/>
            <w:webHidden/>
          </w:rPr>
          <w:fldChar w:fldCharType="begin"/>
        </w:r>
        <w:r w:rsidR="00976044">
          <w:rPr>
            <w:noProof/>
            <w:webHidden/>
          </w:rPr>
          <w:instrText xml:space="preserve"> PAGEREF _Toc191908767 \h </w:instrText>
        </w:r>
        <w:r w:rsidR="00976044">
          <w:rPr>
            <w:noProof/>
            <w:webHidden/>
          </w:rPr>
        </w:r>
        <w:r w:rsidR="00976044">
          <w:rPr>
            <w:noProof/>
            <w:webHidden/>
          </w:rPr>
          <w:fldChar w:fldCharType="separate"/>
        </w:r>
        <w:r w:rsidR="00976044">
          <w:rPr>
            <w:noProof/>
            <w:webHidden/>
          </w:rPr>
          <w:t>44</w:t>
        </w:r>
        <w:r w:rsidR="00976044">
          <w:rPr>
            <w:noProof/>
            <w:webHidden/>
          </w:rPr>
          <w:fldChar w:fldCharType="end"/>
        </w:r>
      </w:hyperlink>
    </w:p>
    <w:p w14:paraId="3B801E99" w14:textId="7D7EFB0D"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68" w:history="1">
        <w:r w:rsidR="00976044" w:rsidRPr="00E1713D">
          <w:rPr>
            <w:rStyle w:val="Hipercze"/>
            <w:noProof/>
            <w:lang w:bidi="en-US"/>
          </w:rPr>
          <w:t>2.4.3 Sektor pozarolniczy</w:t>
        </w:r>
        <w:r w:rsidR="00976044">
          <w:rPr>
            <w:noProof/>
            <w:webHidden/>
          </w:rPr>
          <w:tab/>
        </w:r>
        <w:r w:rsidR="00976044">
          <w:rPr>
            <w:noProof/>
            <w:webHidden/>
          </w:rPr>
          <w:fldChar w:fldCharType="begin"/>
        </w:r>
        <w:r w:rsidR="00976044">
          <w:rPr>
            <w:noProof/>
            <w:webHidden/>
          </w:rPr>
          <w:instrText xml:space="preserve"> PAGEREF _Toc191908768 \h </w:instrText>
        </w:r>
        <w:r w:rsidR="00976044">
          <w:rPr>
            <w:noProof/>
            <w:webHidden/>
          </w:rPr>
        </w:r>
        <w:r w:rsidR="00976044">
          <w:rPr>
            <w:noProof/>
            <w:webHidden/>
          </w:rPr>
          <w:fldChar w:fldCharType="separate"/>
        </w:r>
        <w:r w:rsidR="00976044">
          <w:rPr>
            <w:noProof/>
            <w:webHidden/>
          </w:rPr>
          <w:t>46</w:t>
        </w:r>
        <w:r w:rsidR="00976044">
          <w:rPr>
            <w:noProof/>
            <w:webHidden/>
          </w:rPr>
          <w:fldChar w:fldCharType="end"/>
        </w:r>
      </w:hyperlink>
    </w:p>
    <w:p w14:paraId="3D22AEFF" w14:textId="342554FC"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69" w:history="1">
        <w:r w:rsidR="00976044" w:rsidRPr="00E1713D">
          <w:rPr>
            <w:rStyle w:val="Hipercze"/>
            <w:noProof/>
            <w:lang w:bidi="en-US"/>
          </w:rPr>
          <w:t>2.4.4 Tereny inwestycyjne</w:t>
        </w:r>
        <w:r w:rsidR="00976044">
          <w:rPr>
            <w:noProof/>
            <w:webHidden/>
          </w:rPr>
          <w:tab/>
        </w:r>
        <w:r w:rsidR="00976044">
          <w:rPr>
            <w:noProof/>
            <w:webHidden/>
          </w:rPr>
          <w:fldChar w:fldCharType="begin"/>
        </w:r>
        <w:r w:rsidR="00976044">
          <w:rPr>
            <w:noProof/>
            <w:webHidden/>
          </w:rPr>
          <w:instrText xml:space="preserve"> PAGEREF _Toc191908769 \h </w:instrText>
        </w:r>
        <w:r w:rsidR="00976044">
          <w:rPr>
            <w:noProof/>
            <w:webHidden/>
          </w:rPr>
        </w:r>
        <w:r w:rsidR="00976044">
          <w:rPr>
            <w:noProof/>
            <w:webHidden/>
          </w:rPr>
          <w:fldChar w:fldCharType="separate"/>
        </w:r>
        <w:r w:rsidR="00976044">
          <w:rPr>
            <w:noProof/>
            <w:webHidden/>
          </w:rPr>
          <w:t>51</w:t>
        </w:r>
        <w:r w:rsidR="00976044">
          <w:rPr>
            <w:noProof/>
            <w:webHidden/>
          </w:rPr>
          <w:fldChar w:fldCharType="end"/>
        </w:r>
      </w:hyperlink>
    </w:p>
    <w:p w14:paraId="76A03730" w14:textId="39A0B312"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70" w:history="1">
        <w:r w:rsidR="00976044" w:rsidRPr="00E1713D">
          <w:rPr>
            <w:rStyle w:val="Hipercze"/>
            <w:noProof/>
            <w:lang w:bidi="en-US"/>
          </w:rPr>
          <w:t>2.4.5 Atrakcyjność turystyczna</w:t>
        </w:r>
        <w:r w:rsidR="00976044">
          <w:rPr>
            <w:noProof/>
            <w:webHidden/>
          </w:rPr>
          <w:tab/>
        </w:r>
        <w:r w:rsidR="00976044">
          <w:rPr>
            <w:noProof/>
            <w:webHidden/>
          </w:rPr>
          <w:fldChar w:fldCharType="begin"/>
        </w:r>
        <w:r w:rsidR="00976044">
          <w:rPr>
            <w:noProof/>
            <w:webHidden/>
          </w:rPr>
          <w:instrText xml:space="preserve"> PAGEREF _Toc191908770 \h </w:instrText>
        </w:r>
        <w:r w:rsidR="00976044">
          <w:rPr>
            <w:noProof/>
            <w:webHidden/>
          </w:rPr>
        </w:r>
        <w:r w:rsidR="00976044">
          <w:rPr>
            <w:noProof/>
            <w:webHidden/>
          </w:rPr>
          <w:fldChar w:fldCharType="separate"/>
        </w:r>
        <w:r w:rsidR="00976044">
          <w:rPr>
            <w:noProof/>
            <w:webHidden/>
          </w:rPr>
          <w:t>52</w:t>
        </w:r>
        <w:r w:rsidR="00976044">
          <w:rPr>
            <w:noProof/>
            <w:webHidden/>
          </w:rPr>
          <w:fldChar w:fldCharType="end"/>
        </w:r>
      </w:hyperlink>
    </w:p>
    <w:p w14:paraId="7B72225F" w14:textId="2571C653"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71" w:history="1">
        <w:r w:rsidR="00976044" w:rsidRPr="00E1713D">
          <w:rPr>
            <w:rStyle w:val="Hipercze"/>
            <w:noProof/>
            <w:lang w:bidi="en-US"/>
          </w:rPr>
          <w:t>2.4.6 Podsumowanie i wnioski</w:t>
        </w:r>
        <w:r w:rsidR="00976044">
          <w:rPr>
            <w:noProof/>
            <w:webHidden/>
          </w:rPr>
          <w:tab/>
        </w:r>
        <w:r w:rsidR="00976044">
          <w:rPr>
            <w:noProof/>
            <w:webHidden/>
          </w:rPr>
          <w:fldChar w:fldCharType="begin"/>
        </w:r>
        <w:r w:rsidR="00976044">
          <w:rPr>
            <w:noProof/>
            <w:webHidden/>
          </w:rPr>
          <w:instrText xml:space="preserve"> PAGEREF _Toc191908771 \h </w:instrText>
        </w:r>
        <w:r w:rsidR="00976044">
          <w:rPr>
            <w:noProof/>
            <w:webHidden/>
          </w:rPr>
        </w:r>
        <w:r w:rsidR="00976044">
          <w:rPr>
            <w:noProof/>
            <w:webHidden/>
          </w:rPr>
          <w:fldChar w:fldCharType="separate"/>
        </w:r>
        <w:r w:rsidR="00976044">
          <w:rPr>
            <w:noProof/>
            <w:webHidden/>
          </w:rPr>
          <w:t>56</w:t>
        </w:r>
        <w:r w:rsidR="00976044">
          <w:rPr>
            <w:noProof/>
            <w:webHidden/>
          </w:rPr>
          <w:fldChar w:fldCharType="end"/>
        </w:r>
      </w:hyperlink>
    </w:p>
    <w:p w14:paraId="649D931E" w14:textId="54D1F6BC"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72" w:history="1">
        <w:r w:rsidR="00976044" w:rsidRPr="00E1713D">
          <w:rPr>
            <w:rStyle w:val="Hipercze"/>
            <w:noProof/>
            <w:lang w:bidi="en-US"/>
          </w:rPr>
          <w:t>2.5 Infrastruktura techniczna</w:t>
        </w:r>
        <w:r w:rsidR="00976044">
          <w:rPr>
            <w:noProof/>
            <w:webHidden/>
          </w:rPr>
          <w:tab/>
        </w:r>
        <w:r w:rsidR="00976044">
          <w:rPr>
            <w:noProof/>
            <w:webHidden/>
          </w:rPr>
          <w:fldChar w:fldCharType="begin"/>
        </w:r>
        <w:r w:rsidR="00976044">
          <w:rPr>
            <w:noProof/>
            <w:webHidden/>
          </w:rPr>
          <w:instrText xml:space="preserve"> PAGEREF _Toc191908772 \h </w:instrText>
        </w:r>
        <w:r w:rsidR="00976044">
          <w:rPr>
            <w:noProof/>
            <w:webHidden/>
          </w:rPr>
        </w:r>
        <w:r w:rsidR="00976044">
          <w:rPr>
            <w:noProof/>
            <w:webHidden/>
          </w:rPr>
          <w:fldChar w:fldCharType="separate"/>
        </w:r>
        <w:r w:rsidR="00976044">
          <w:rPr>
            <w:noProof/>
            <w:webHidden/>
          </w:rPr>
          <w:t>60</w:t>
        </w:r>
        <w:r w:rsidR="00976044">
          <w:rPr>
            <w:noProof/>
            <w:webHidden/>
          </w:rPr>
          <w:fldChar w:fldCharType="end"/>
        </w:r>
      </w:hyperlink>
    </w:p>
    <w:p w14:paraId="0C21C270" w14:textId="5771197D"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73" w:history="1">
        <w:r w:rsidR="00976044" w:rsidRPr="00E1713D">
          <w:rPr>
            <w:rStyle w:val="Hipercze"/>
            <w:noProof/>
            <w:lang w:bidi="en-US"/>
          </w:rPr>
          <w:t>2.5.1 Infrastruktura komunikacyjna i dostępność transportowa</w:t>
        </w:r>
        <w:r w:rsidR="00976044">
          <w:rPr>
            <w:noProof/>
            <w:webHidden/>
          </w:rPr>
          <w:tab/>
        </w:r>
        <w:r w:rsidR="00976044">
          <w:rPr>
            <w:noProof/>
            <w:webHidden/>
          </w:rPr>
          <w:fldChar w:fldCharType="begin"/>
        </w:r>
        <w:r w:rsidR="00976044">
          <w:rPr>
            <w:noProof/>
            <w:webHidden/>
          </w:rPr>
          <w:instrText xml:space="preserve"> PAGEREF _Toc191908773 \h </w:instrText>
        </w:r>
        <w:r w:rsidR="00976044">
          <w:rPr>
            <w:noProof/>
            <w:webHidden/>
          </w:rPr>
        </w:r>
        <w:r w:rsidR="00976044">
          <w:rPr>
            <w:noProof/>
            <w:webHidden/>
          </w:rPr>
          <w:fldChar w:fldCharType="separate"/>
        </w:r>
        <w:r w:rsidR="00976044">
          <w:rPr>
            <w:noProof/>
            <w:webHidden/>
          </w:rPr>
          <w:t>60</w:t>
        </w:r>
        <w:r w:rsidR="00976044">
          <w:rPr>
            <w:noProof/>
            <w:webHidden/>
          </w:rPr>
          <w:fldChar w:fldCharType="end"/>
        </w:r>
      </w:hyperlink>
    </w:p>
    <w:p w14:paraId="062D02AE" w14:textId="7BAC5ACA"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74" w:history="1">
        <w:r w:rsidR="00976044" w:rsidRPr="00E1713D">
          <w:rPr>
            <w:rStyle w:val="Hipercze"/>
            <w:noProof/>
            <w:lang w:bidi="en-US"/>
          </w:rPr>
          <w:t>2.5.2 Infrastruktura wodno-kanalizacyjna</w:t>
        </w:r>
        <w:r w:rsidR="00976044">
          <w:rPr>
            <w:noProof/>
            <w:webHidden/>
          </w:rPr>
          <w:tab/>
        </w:r>
        <w:r w:rsidR="00976044">
          <w:rPr>
            <w:noProof/>
            <w:webHidden/>
          </w:rPr>
          <w:fldChar w:fldCharType="begin"/>
        </w:r>
        <w:r w:rsidR="00976044">
          <w:rPr>
            <w:noProof/>
            <w:webHidden/>
          </w:rPr>
          <w:instrText xml:space="preserve"> PAGEREF _Toc191908774 \h </w:instrText>
        </w:r>
        <w:r w:rsidR="00976044">
          <w:rPr>
            <w:noProof/>
            <w:webHidden/>
          </w:rPr>
        </w:r>
        <w:r w:rsidR="00976044">
          <w:rPr>
            <w:noProof/>
            <w:webHidden/>
          </w:rPr>
          <w:fldChar w:fldCharType="separate"/>
        </w:r>
        <w:r w:rsidR="00976044">
          <w:rPr>
            <w:noProof/>
            <w:webHidden/>
          </w:rPr>
          <w:t>61</w:t>
        </w:r>
        <w:r w:rsidR="00976044">
          <w:rPr>
            <w:noProof/>
            <w:webHidden/>
          </w:rPr>
          <w:fldChar w:fldCharType="end"/>
        </w:r>
      </w:hyperlink>
    </w:p>
    <w:p w14:paraId="07CC8556" w14:textId="03C6ECA4"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75" w:history="1">
        <w:r w:rsidR="00976044" w:rsidRPr="00E1713D">
          <w:rPr>
            <w:rStyle w:val="Hipercze"/>
            <w:noProof/>
            <w:lang w:bidi="en-US"/>
          </w:rPr>
          <w:t>2.5.3 Infrastruktura energetyczna</w:t>
        </w:r>
        <w:r w:rsidR="00976044">
          <w:rPr>
            <w:noProof/>
            <w:webHidden/>
          </w:rPr>
          <w:tab/>
        </w:r>
        <w:r w:rsidR="00976044">
          <w:rPr>
            <w:noProof/>
            <w:webHidden/>
          </w:rPr>
          <w:fldChar w:fldCharType="begin"/>
        </w:r>
        <w:r w:rsidR="00976044">
          <w:rPr>
            <w:noProof/>
            <w:webHidden/>
          </w:rPr>
          <w:instrText xml:space="preserve"> PAGEREF _Toc191908775 \h </w:instrText>
        </w:r>
        <w:r w:rsidR="00976044">
          <w:rPr>
            <w:noProof/>
            <w:webHidden/>
          </w:rPr>
        </w:r>
        <w:r w:rsidR="00976044">
          <w:rPr>
            <w:noProof/>
            <w:webHidden/>
          </w:rPr>
          <w:fldChar w:fldCharType="separate"/>
        </w:r>
        <w:r w:rsidR="00976044">
          <w:rPr>
            <w:noProof/>
            <w:webHidden/>
          </w:rPr>
          <w:t>64</w:t>
        </w:r>
        <w:r w:rsidR="00976044">
          <w:rPr>
            <w:noProof/>
            <w:webHidden/>
          </w:rPr>
          <w:fldChar w:fldCharType="end"/>
        </w:r>
      </w:hyperlink>
    </w:p>
    <w:p w14:paraId="4C23E997" w14:textId="231FCD79"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76" w:history="1">
        <w:r w:rsidR="00976044" w:rsidRPr="00E1713D">
          <w:rPr>
            <w:rStyle w:val="Hipercze"/>
            <w:noProof/>
            <w:lang w:bidi="en-US"/>
          </w:rPr>
          <w:t>2.5.4 Odnawialne źródła energii</w:t>
        </w:r>
        <w:r w:rsidR="00976044">
          <w:rPr>
            <w:noProof/>
            <w:webHidden/>
          </w:rPr>
          <w:tab/>
        </w:r>
        <w:r w:rsidR="00976044">
          <w:rPr>
            <w:noProof/>
            <w:webHidden/>
          </w:rPr>
          <w:fldChar w:fldCharType="begin"/>
        </w:r>
        <w:r w:rsidR="00976044">
          <w:rPr>
            <w:noProof/>
            <w:webHidden/>
          </w:rPr>
          <w:instrText xml:space="preserve"> PAGEREF _Toc191908776 \h </w:instrText>
        </w:r>
        <w:r w:rsidR="00976044">
          <w:rPr>
            <w:noProof/>
            <w:webHidden/>
          </w:rPr>
        </w:r>
        <w:r w:rsidR="00976044">
          <w:rPr>
            <w:noProof/>
            <w:webHidden/>
          </w:rPr>
          <w:fldChar w:fldCharType="separate"/>
        </w:r>
        <w:r w:rsidR="00976044">
          <w:rPr>
            <w:noProof/>
            <w:webHidden/>
          </w:rPr>
          <w:t>67</w:t>
        </w:r>
        <w:r w:rsidR="00976044">
          <w:rPr>
            <w:noProof/>
            <w:webHidden/>
          </w:rPr>
          <w:fldChar w:fldCharType="end"/>
        </w:r>
      </w:hyperlink>
    </w:p>
    <w:p w14:paraId="18C52C49" w14:textId="404F4837"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77" w:history="1">
        <w:r w:rsidR="00976044" w:rsidRPr="00E1713D">
          <w:rPr>
            <w:rStyle w:val="Hipercze"/>
            <w:noProof/>
            <w:lang w:bidi="en-US"/>
          </w:rPr>
          <w:t>2.5.5 Gospodarka odpadami</w:t>
        </w:r>
        <w:r w:rsidR="00976044">
          <w:rPr>
            <w:noProof/>
            <w:webHidden/>
          </w:rPr>
          <w:tab/>
        </w:r>
        <w:r w:rsidR="00976044">
          <w:rPr>
            <w:noProof/>
            <w:webHidden/>
          </w:rPr>
          <w:fldChar w:fldCharType="begin"/>
        </w:r>
        <w:r w:rsidR="00976044">
          <w:rPr>
            <w:noProof/>
            <w:webHidden/>
          </w:rPr>
          <w:instrText xml:space="preserve"> PAGEREF _Toc191908777 \h </w:instrText>
        </w:r>
        <w:r w:rsidR="00976044">
          <w:rPr>
            <w:noProof/>
            <w:webHidden/>
          </w:rPr>
        </w:r>
        <w:r w:rsidR="00976044">
          <w:rPr>
            <w:noProof/>
            <w:webHidden/>
          </w:rPr>
          <w:fldChar w:fldCharType="separate"/>
        </w:r>
        <w:r w:rsidR="00976044">
          <w:rPr>
            <w:noProof/>
            <w:webHidden/>
          </w:rPr>
          <w:t>68</w:t>
        </w:r>
        <w:r w:rsidR="00976044">
          <w:rPr>
            <w:noProof/>
            <w:webHidden/>
          </w:rPr>
          <w:fldChar w:fldCharType="end"/>
        </w:r>
      </w:hyperlink>
    </w:p>
    <w:p w14:paraId="5F40AB9C" w14:textId="155595A7"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78" w:history="1">
        <w:r w:rsidR="00976044" w:rsidRPr="00E1713D">
          <w:rPr>
            <w:rStyle w:val="Hipercze"/>
            <w:noProof/>
            <w:lang w:bidi="en-US"/>
          </w:rPr>
          <w:t>2.5.6 Podsumowanie i wnioski</w:t>
        </w:r>
        <w:r w:rsidR="00976044">
          <w:rPr>
            <w:noProof/>
            <w:webHidden/>
          </w:rPr>
          <w:tab/>
        </w:r>
        <w:r w:rsidR="00976044">
          <w:rPr>
            <w:noProof/>
            <w:webHidden/>
          </w:rPr>
          <w:fldChar w:fldCharType="begin"/>
        </w:r>
        <w:r w:rsidR="00976044">
          <w:rPr>
            <w:noProof/>
            <w:webHidden/>
          </w:rPr>
          <w:instrText xml:space="preserve"> PAGEREF _Toc191908778 \h </w:instrText>
        </w:r>
        <w:r w:rsidR="00976044">
          <w:rPr>
            <w:noProof/>
            <w:webHidden/>
          </w:rPr>
        </w:r>
        <w:r w:rsidR="00976044">
          <w:rPr>
            <w:noProof/>
            <w:webHidden/>
          </w:rPr>
          <w:fldChar w:fldCharType="separate"/>
        </w:r>
        <w:r w:rsidR="00976044">
          <w:rPr>
            <w:noProof/>
            <w:webHidden/>
          </w:rPr>
          <w:t>71</w:t>
        </w:r>
        <w:r w:rsidR="00976044">
          <w:rPr>
            <w:noProof/>
            <w:webHidden/>
          </w:rPr>
          <w:fldChar w:fldCharType="end"/>
        </w:r>
      </w:hyperlink>
    </w:p>
    <w:p w14:paraId="4F045743" w14:textId="6C523F56"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79" w:history="1">
        <w:r w:rsidR="00976044" w:rsidRPr="00E1713D">
          <w:rPr>
            <w:rStyle w:val="Hipercze"/>
            <w:noProof/>
            <w:lang w:bidi="en-US"/>
          </w:rPr>
          <w:t>2.6 Infrastruktura społeczna i zaspokajanie potrzeb mieszkańców</w:t>
        </w:r>
        <w:r w:rsidR="00976044">
          <w:rPr>
            <w:noProof/>
            <w:webHidden/>
          </w:rPr>
          <w:tab/>
        </w:r>
        <w:r w:rsidR="00976044">
          <w:rPr>
            <w:noProof/>
            <w:webHidden/>
          </w:rPr>
          <w:fldChar w:fldCharType="begin"/>
        </w:r>
        <w:r w:rsidR="00976044">
          <w:rPr>
            <w:noProof/>
            <w:webHidden/>
          </w:rPr>
          <w:instrText xml:space="preserve"> PAGEREF _Toc191908779 \h </w:instrText>
        </w:r>
        <w:r w:rsidR="00976044">
          <w:rPr>
            <w:noProof/>
            <w:webHidden/>
          </w:rPr>
        </w:r>
        <w:r w:rsidR="00976044">
          <w:rPr>
            <w:noProof/>
            <w:webHidden/>
          </w:rPr>
          <w:fldChar w:fldCharType="separate"/>
        </w:r>
        <w:r w:rsidR="00976044">
          <w:rPr>
            <w:noProof/>
            <w:webHidden/>
          </w:rPr>
          <w:t>76</w:t>
        </w:r>
        <w:r w:rsidR="00976044">
          <w:rPr>
            <w:noProof/>
            <w:webHidden/>
          </w:rPr>
          <w:fldChar w:fldCharType="end"/>
        </w:r>
      </w:hyperlink>
    </w:p>
    <w:p w14:paraId="74948C23" w14:textId="397C3018"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80" w:history="1">
        <w:r w:rsidR="00976044" w:rsidRPr="00E1713D">
          <w:rPr>
            <w:rStyle w:val="Hipercze"/>
            <w:noProof/>
            <w:lang w:bidi="en-US"/>
          </w:rPr>
          <w:t>2.6.1 Edukacja i wychowanie</w:t>
        </w:r>
        <w:r w:rsidR="00976044">
          <w:rPr>
            <w:noProof/>
            <w:webHidden/>
          </w:rPr>
          <w:tab/>
        </w:r>
        <w:r w:rsidR="00976044">
          <w:rPr>
            <w:noProof/>
            <w:webHidden/>
          </w:rPr>
          <w:fldChar w:fldCharType="begin"/>
        </w:r>
        <w:r w:rsidR="00976044">
          <w:rPr>
            <w:noProof/>
            <w:webHidden/>
          </w:rPr>
          <w:instrText xml:space="preserve"> PAGEREF _Toc191908780 \h </w:instrText>
        </w:r>
        <w:r w:rsidR="00976044">
          <w:rPr>
            <w:noProof/>
            <w:webHidden/>
          </w:rPr>
        </w:r>
        <w:r w:rsidR="00976044">
          <w:rPr>
            <w:noProof/>
            <w:webHidden/>
          </w:rPr>
          <w:fldChar w:fldCharType="separate"/>
        </w:r>
        <w:r w:rsidR="00976044">
          <w:rPr>
            <w:noProof/>
            <w:webHidden/>
          </w:rPr>
          <w:t>76</w:t>
        </w:r>
        <w:r w:rsidR="00976044">
          <w:rPr>
            <w:noProof/>
            <w:webHidden/>
          </w:rPr>
          <w:fldChar w:fldCharType="end"/>
        </w:r>
      </w:hyperlink>
    </w:p>
    <w:p w14:paraId="01D12303" w14:textId="24E51711"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81" w:history="1">
        <w:r w:rsidR="00976044" w:rsidRPr="00E1713D">
          <w:rPr>
            <w:rStyle w:val="Hipercze"/>
            <w:noProof/>
            <w:lang w:bidi="en-US"/>
          </w:rPr>
          <w:t>2.6.2 Ochrona zdrowia</w:t>
        </w:r>
        <w:r w:rsidR="00976044">
          <w:rPr>
            <w:noProof/>
            <w:webHidden/>
          </w:rPr>
          <w:tab/>
        </w:r>
        <w:r w:rsidR="00976044">
          <w:rPr>
            <w:noProof/>
            <w:webHidden/>
          </w:rPr>
          <w:fldChar w:fldCharType="begin"/>
        </w:r>
        <w:r w:rsidR="00976044">
          <w:rPr>
            <w:noProof/>
            <w:webHidden/>
          </w:rPr>
          <w:instrText xml:space="preserve"> PAGEREF _Toc191908781 \h </w:instrText>
        </w:r>
        <w:r w:rsidR="00976044">
          <w:rPr>
            <w:noProof/>
            <w:webHidden/>
          </w:rPr>
        </w:r>
        <w:r w:rsidR="00976044">
          <w:rPr>
            <w:noProof/>
            <w:webHidden/>
          </w:rPr>
          <w:fldChar w:fldCharType="separate"/>
        </w:r>
        <w:r w:rsidR="00976044">
          <w:rPr>
            <w:noProof/>
            <w:webHidden/>
          </w:rPr>
          <w:t>83</w:t>
        </w:r>
        <w:r w:rsidR="00976044">
          <w:rPr>
            <w:noProof/>
            <w:webHidden/>
          </w:rPr>
          <w:fldChar w:fldCharType="end"/>
        </w:r>
      </w:hyperlink>
    </w:p>
    <w:p w14:paraId="4F38ED26" w14:textId="2729C87B"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82" w:history="1">
        <w:r w:rsidR="00976044" w:rsidRPr="00E1713D">
          <w:rPr>
            <w:rStyle w:val="Hipercze"/>
            <w:noProof/>
            <w:lang w:bidi="en-US"/>
          </w:rPr>
          <w:t>2.6.3 Pomoc społeczna</w:t>
        </w:r>
        <w:r w:rsidR="00976044">
          <w:rPr>
            <w:noProof/>
            <w:webHidden/>
          </w:rPr>
          <w:tab/>
        </w:r>
        <w:r w:rsidR="00976044">
          <w:rPr>
            <w:noProof/>
            <w:webHidden/>
          </w:rPr>
          <w:fldChar w:fldCharType="begin"/>
        </w:r>
        <w:r w:rsidR="00976044">
          <w:rPr>
            <w:noProof/>
            <w:webHidden/>
          </w:rPr>
          <w:instrText xml:space="preserve"> PAGEREF _Toc191908782 \h </w:instrText>
        </w:r>
        <w:r w:rsidR="00976044">
          <w:rPr>
            <w:noProof/>
            <w:webHidden/>
          </w:rPr>
        </w:r>
        <w:r w:rsidR="00976044">
          <w:rPr>
            <w:noProof/>
            <w:webHidden/>
          </w:rPr>
          <w:fldChar w:fldCharType="separate"/>
        </w:r>
        <w:r w:rsidR="00976044">
          <w:rPr>
            <w:noProof/>
            <w:webHidden/>
          </w:rPr>
          <w:t>87</w:t>
        </w:r>
        <w:r w:rsidR="00976044">
          <w:rPr>
            <w:noProof/>
            <w:webHidden/>
          </w:rPr>
          <w:fldChar w:fldCharType="end"/>
        </w:r>
      </w:hyperlink>
    </w:p>
    <w:p w14:paraId="55EEBA73" w14:textId="78F9C875"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83" w:history="1">
        <w:r w:rsidR="00976044" w:rsidRPr="00E1713D">
          <w:rPr>
            <w:rStyle w:val="Hipercze"/>
            <w:noProof/>
            <w:lang w:bidi="en-US"/>
          </w:rPr>
          <w:t>2.6.4 Kultura i sport</w:t>
        </w:r>
        <w:r w:rsidR="00976044">
          <w:rPr>
            <w:noProof/>
            <w:webHidden/>
          </w:rPr>
          <w:tab/>
        </w:r>
        <w:r w:rsidR="00976044">
          <w:rPr>
            <w:noProof/>
            <w:webHidden/>
          </w:rPr>
          <w:fldChar w:fldCharType="begin"/>
        </w:r>
        <w:r w:rsidR="00976044">
          <w:rPr>
            <w:noProof/>
            <w:webHidden/>
          </w:rPr>
          <w:instrText xml:space="preserve"> PAGEREF _Toc191908783 \h </w:instrText>
        </w:r>
        <w:r w:rsidR="00976044">
          <w:rPr>
            <w:noProof/>
            <w:webHidden/>
          </w:rPr>
        </w:r>
        <w:r w:rsidR="00976044">
          <w:rPr>
            <w:noProof/>
            <w:webHidden/>
          </w:rPr>
          <w:fldChar w:fldCharType="separate"/>
        </w:r>
        <w:r w:rsidR="00976044">
          <w:rPr>
            <w:noProof/>
            <w:webHidden/>
          </w:rPr>
          <w:t>90</w:t>
        </w:r>
        <w:r w:rsidR="00976044">
          <w:rPr>
            <w:noProof/>
            <w:webHidden/>
          </w:rPr>
          <w:fldChar w:fldCharType="end"/>
        </w:r>
      </w:hyperlink>
    </w:p>
    <w:p w14:paraId="4273B0FC" w14:textId="214294CE"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84" w:history="1">
        <w:r w:rsidR="00976044" w:rsidRPr="00E1713D">
          <w:rPr>
            <w:rStyle w:val="Hipercze"/>
            <w:noProof/>
            <w:lang w:bidi="en-US"/>
          </w:rPr>
          <w:t>2.6.5 Bezpieczeństwo publiczne</w:t>
        </w:r>
        <w:r w:rsidR="00976044">
          <w:rPr>
            <w:noProof/>
            <w:webHidden/>
          </w:rPr>
          <w:tab/>
        </w:r>
        <w:r w:rsidR="00976044">
          <w:rPr>
            <w:noProof/>
            <w:webHidden/>
          </w:rPr>
          <w:fldChar w:fldCharType="begin"/>
        </w:r>
        <w:r w:rsidR="00976044">
          <w:rPr>
            <w:noProof/>
            <w:webHidden/>
          </w:rPr>
          <w:instrText xml:space="preserve"> PAGEREF _Toc191908784 \h </w:instrText>
        </w:r>
        <w:r w:rsidR="00976044">
          <w:rPr>
            <w:noProof/>
            <w:webHidden/>
          </w:rPr>
        </w:r>
        <w:r w:rsidR="00976044">
          <w:rPr>
            <w:noProof/>
            <w:webHidden/>
          </w:rPr>
          <w:fldChar w:fldCharType="separate"/>
        </w:r>
        <w:r w:rsidR="00976044">
          <w:rPr>
            <w:noProof/>
            <w:webHidden/>
          </w:rPr>
          <w:t>93</w:t>
        </w:r>
        <w:r w:rsidR="00976044">
          <w:rPr>
            <w:noProof/>
            <w:webHidden/>
          </w:rPr>
          <w:fldChar w:fldCharType="end"/>
        </w:r>
      </w:hyperlink>
    </w:p>
    <w:p w14:paraId="6B5979E7" w14:textId="0A2130CA"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85" w:history="1">
        <w:r w:rsidR="00976044" w:rsidRPr="00E1713D">
          <w:rPr>
            <w:rStyle w:val="Hipercze"/>
            <w:noProof/>
            <w:lang w:bidi="en-US"/>
          </w:rPr>
          <w:t>2.6.6 Podsumowanie i wnioski</w:t>
        </w:r>
        <w:r w:rsidR="00976044">
          <w:rPr>
            <w:noProof/>
            <w:webHidden/>
          </w:rPr>
          <w:tab/>
        </w:r>
        <w:r w:rsidR="00976044">
          <w:rPr>
            <w:noProof/>
            <w:webHidden/>
          </w:rPr>
          <w:fldChar w:fldCharType="begin"/>
        </w:r>
        <w:r w:rsidR="00976044">
          <w:rPr>
            <w:noProof/>
            <w:webHidden/>
          </w:rPr>
          <w:instrText xml:space="preserve"> PAGEREF _Toc191908785 \h </w:instrText>
        </w:r>
        <w:r w:rsidR="00976044">
          <w:rPr>
            <w:noProof/>
            <w:webHidden/>
          </w:rPr>
        </w:r>
        <w:r w:rsidR="00976044">
          <w:rPr>
            <w:noProof/>
            <w:webHidden/>
          </w:rPr>
          <w:fldChar w:fldCharType="separate"/>
        </w:r>
        <w:r w:rsidR="00976044">
          <w:rPr>
            <w:noProof/>
            <w:webHidden/>
          </w:rPr>
          <w:t>94</w:t>
        </w:r>
        <w:r w:rsidR="00976044">
          <w:rPr>
            <w:noProof/>
            <w:webHidden/>
          </w:rPr>
          <w:fldChar w:fldCharType="end"/>
        </w:r>
      </w:hyperlink>
    </w:p>
    <w:p w14:paraId="62A68242" w14:textId="61687407"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86" w:history="1">
        <w:r w:rsidR="00976044" w:rsidRPr="00E1713D">
          <w:rPr>
            <w:rStyle w:val="Hipercze"/>
            <w:noProof/>
          </w:rPr>
          <w:t>2.7 Jakość zarządzania i sytuacja finansowa</w:t>
        </w:r>
        <w:r w:rsidR="00976044">
          <w:rPr>
            <w:noProof/>
            <w:webHidden/>
          </w:rPr>
          <w:tab/>
        </w:r>
        <w:r w:rsidR="00976044">
          <w:rPr>
            <w:noProof/>
            <w:webHidden/>
          </w:rPr>
          <w:fldChar w:fldCharType="begin"/>
        </w:r>
        <w:r w:rsidR="00976044">
          <w:rPr>
            <w:noProof/>
            <w:webHidden/>
          </w:rPr>
          <w:instrText xml:space="preserve"> PAGEREF _Toc191908786 \h </w:instrText>
        </w:r>
        <w:r w:rsidR="00976044">
          <w:rPr>
            <w:noProof/>
            <w:webHidden/>
          </w:rPr>
        </w:r>
        <w:r w:rsidR="00976044">
          <w:rPr>
            <w:noProof/>
            <w:webHidden/>
          </w:rPr>
          <w:fldChar w:fldCharType="separate"/>
        </w:r>
        <w:r w:rsidR="00976044">
          <w:rPr>
            <w:noProof/>
            <w:webHidden/>
          </w:rPr>
          <w:t>98</w:t>
        </w:r>
        <w:r w:rsidR="00976044">
          <w:rPr>
            <w:noProof/>
            <w:webHidden/>
          </w:rPr>
          <w:fldChar w:fldCharType="end"/>
        </w:r>
      </w:hyperlink>
    </w:p>
    <w:p w14:paraId="28E01B2F" w14:textId="31E97908"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87" w:history="1">
        <w:r w:rsidR="00976044" w:rsidRPr="00E1713D">
          <w:rPr>
            <w:rStyle w:val="Hipercze"/>
            <w:noProof/>
            <w:lang w:bidi="en-US"/>
          </w:rPr>
          <w:t>2.7.1 Struktura budżetu Gminy</w:t>
        </w:r>
        <w:r w:rsidR="00976044">
          <w:rPr>
            <w:noProof/>
            <w:webHidden/>
          </w:rPr>
          <w:tab/>
        </w:r>
        <w:r w:rsidR="00976044">
          <w:rPr>
            <w:noProof/>
            <w:webHidden/>
          </w:rPr>
          <w:fldChar w:fldCharType="begin"/>
        </w:r>
        <w:r w:rsidR="00976044">
          <w:rPr>
            <w:noProof/>
            <w:webHidden/>
          </w:rPr>
          <w:instrText xml:space="preserve"> PAGEREF _Toc191908787 \h </w:instrText>
        </w:r>
        <w:r w:rsidR="00976044">
          <w:rPr>
            <w:noProof/>
            <w:webHidden/>
          </w:rPr>
        </w:r>
        <w:r w:rsidR="00976044">
          <w:rPr>
            <w:noProof/>
            <w:webHidden/>
          </w:rPr>
          <w:fldChar w:fldCharType="separate"/>
        </w:r>
        <w:r w:rsidR="00976044">
          <w:rPr>
            <w:noProof/>
            <w:webHidden/>
          </w:rPr>
          <w:t>98</w:t>
        </w:r>
        <w:r w:rsidR="00976044">
          <w:rPr>
            <w:noProof/>
            <w:webHidden/>
          </w:rPr>
          <w:fldChar w:fldCharType="end"/>
        </w:r>
      </w:hyperlink>
    </w:p>
    <w:p w14:paraId="387FA18E" w14:textId="57E2D8C1"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88" w:history="1">
        <w:r w:rsidR="00976044" w:rsidRPr="00E1713D">
          <w:rPr>
            <w:rStyle w:val="Hipercze"/>
            <w:noProof/>
            <w:lang w:bidi="en-US"/>
          </w:rPr>
          <w:t>2.7.2 Projekty współfinansowane ze środków Unii Europejskiej</w:t>
        </w:r>
        <w:r w:rsidR="00976044">
          <w:rPr>
            <w:noProof/>
            <w:webHidden/>
          </w:rPr>
          <w:tab/>
        </w:r>
        <w:r w:rsidR="00976044">
          <w:rPr>
            <w:noProof/>
            <w:webHidden/>
          </w:rPr>
          <w:fldChar w:fldCharType="begin"/>
        </w:r>
        <w:r w:rsidR="00976044">
          <w:rPr>
            <w:noProof/>
            <w:webHidden/>
          </w:rPr>
          <w:instrText xml:space="preserve"> PAGEREF _Toc191908788 \h </w:instrText>
        </w:r>
        <w:r w:rsidR="00976044">
          <w:rPr>
            <w:noProof/>
            <w:webHidden/>
          </w:rPr>
        </w:r>
        <w:r w:rsidR="00976044">
          <w:rPr>
            <w:noProof/>
            <w:webHidden/>
          </w:rPr>
          <w:fldChar w:fldCharType="separate"/>
        </w:r>
        <w:r w:rsidR="00976044">
          <w:rPr>
            <w:noProof/>
            <w:webHidden/>
          </w:rPr>
          <w:t>100</w:t>
        </w:r>
        <w:r w:rsidR="00976044">
          <w:rPr>
            <w:noProof/>
            <w:webHidden/>
          </w:rPr>
          <w:fldChar w:fldCharType="end"/>
        </w:r>
      </w:hyperlink>
    </w:p>
    <w:p w14:paraId="1365A95E" w14:textId="7F1E5A06"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89" w:history="1">
        <w:r w:rsidR="00976044" w:rsidRPr="00E1713D">
          <w:rPr>
            <w:rStyle w:val="Hipercze"/>
            <w:noProof/>
            <w:lang w:bidi="en-US"/>
          </w:rPr>
          <w:t>2.7.3 Podsumowanie i wnioski</w:t>
        </w:r>
        <w:r w:rsidR="00976044">
          <w:rPr>
            <w:noProof/>
            <w:webHidden/>
          </w:rPr>
          <w:tab/>
        </w:r>
        <w:r w:rsidR="00976044">
          <w:rPr>
            <w:noProof/>
            <w:webHidden/>
          </w:rPr>
          <w:fldChar w:fldCharType="begin"/>
        </w:r>
        <w:r w:rsidR="00976044">
          <w:rPr>
            <w:noProof/>
            <w:webHidden/>
          </w:rPr>
          <w:instrText xml:space="preserve"> PAGEREF _Toc191908789 \h </w:instrText>
        </w:r>
        <w:r w:rsidR="00976044">
          <w:rPr>
            <w:noProof/>
            <w:webHidden/>
          </w:rPr>
        </w:r>
        <w:r w:rsidR="00976044">
          <w:rPr>
            <w:noProof/>
            <w:webHidden/>
          </w:rPr>
          <w:fldChar w:fldCharType="separate"/>
        </w:r>
        <w:r w:rsidR="00976044">
          <w:rPr>
            <w:noProof/>
            <w:webHidden/>
          </w:rPr>
          <w:t>103</w:t>
        </w:r>
        <w:r w:rsidR="00976044">
          <w:rPr>
            <w:noProof/>
            <w:webHidden/>
          </w:rPr>
          <w:fldChar w:fldCharType="end"/>
        </w:r>
      </w:hyperlink>
    </w:p>
    <w:p w14:paraId="3E1F3A63" w14:textId="6E532D94"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90" w:history="1">
        <w:r w:rsidR="00976044" w:rsidRPr="00E1713D">
          <w:rPr>
            <w:rStyle w:val="Hipercze"/>
            <w:noProof/>
            <w:lang w:bidi="en-US"/>
          </w:rPr>
          <w:t>B. CZĘŚĆ STRATEGICZNA</w:t>
        </w:r>
        <w:r w:rsidR="00976044">
          <w:rPr>
            <w:noProof/>
            <w:webHidden/>
          </w:rPr>
          <w:tab/>
        </w:r>
        <w:r w:rsidR="00976044">
          <w:rPr>
            <w:noProof/>
            <w:webHidden/>
          </w:rPr>
          <w:fldChar w:fldCharType="begin"/>
        </w:r>
        <w:r w:rsidR="00976044">
          <w:rPr>
            <w:noProof/>
            <w:webHidden/>
          </w:rPr>
          <w:instrText xml:space="preserve"> PAGEREF _Toc191908790 \h </w:instrText>
        </w:r>
        <w:r w:rsidR="00976044">
          <w:rPr>
            <w:noProof/>
            <w:webHidden/>
          </w:rPr>
        </w:r>
        <w:r w:rsidR="00976044">
          <w:rPr>
            <w:noProof/>
            <w:webHidden/>
          </w:rPr>
          <w:fldChar w:fldCharType="separate"/>
        </w:r>
        <w:r w:rsidR="00976044">
          <w:rPr>
            <w:noProof/>
            <w:webHidden/>
          </w:rPr>
          <w:t>105</w:t>
        </w:r>
        <w:r w:rsidR="00976044">
          <w:rPr>
            <w:noProof/>
            <w:webHidden/>
          </w:rPr>
          <w:fldChar w:fldCharType="end"/>
        </w:r>
      </w:hyperlink>
    </w:p>
    <w:p w14:paraId="4F0FCD7E" w14:textId="57C3513E"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91" w:history="1">
        <w:r w:rsidR="00976044" w:rsidRPr="00E1713D">
          <w:rPr>
            <w:rStyle w:val="Hipercze"/>
            <w:noProof/>
            <w:lang w:bidi="en-US"/>
          </w:rPr>
          <w:t>3. Przesłanki opracowania Strategii</w:t>
        </w:r>
        <w:r w:rsidR="00976044">
          <w:rPr>
            <w:noProof/>
            <w:webHidden/>
          </w:rPr>
          <w:tab/>
        </w:r>
        <w:r w:rsidR="00976044">
          <w:rPr>
            <w:noProof/>
            <w:webHidden/>
          </w:rPr>
          <w:fldChar w:fldCharType="begin"/>
        </w:r>
        <w:r w:rsidR="00976044">
          <w:rPr>
            <w:noProof/>
            <w:webHidden/>
          </w:rPr>
          <w:instrText xml:space="preserve"> PAGEREF _Toc191908791 \h </w:instrText>
        </w:r>
        <w:r w:rsidR="00976044">
          <w:rPr>
            <w:noProof/>
            <w:webHidden/>
          </w:rPr>
        </w:r>
        <w:r w:rsidR="00976044">
          <w:rPr>
            <w:noProof/>
            <w:webHidden/>
          </w:rPr>
          <w:fldChar w:fldCharType="separate"/>
        </w:r>
        <w:r w:rsidR="00976044">
          <w:rPr>
            <w:noProof/>
            <w:webHidden/>
          </w:rPr>
          <w:t>105</w:t>
        </w:r>
        <w:r w:rsidR="00976044">
          <w:rPr>
            <w:noProof/>
            <w:webHidden/>
          </w:rPr>
          <w:fldChar w:fldCharType="end"/>
        </w:r>
      </w:hyperlink>
    </w:p>
    <w:p w14:paraId="2C4B3956" w14:textId="5C5C65EE"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92" w:history="1">
        <w:r w:rsidR="00976044" w:rsidRPr="00E1713D">
          <w:rPr>
            <w:rStyle w:val="Hipercze"/>
            <w:noProof/>
            <w:lang w:bidi="en-US"/>
          </w:rPr>
          <w:t>3.1. Samorząd wobec wyzwań społecznych i gospodarczych</w:t>
        </w:r>
        <w:r w:rsidR="00976044">
          <w:rPr>
            <w:noProof/>
            <w:webHidden/>
          </w:rPr>
          <w:tab/>
        </w:r>
        <w:r w:rsidR="00976044">
          <w:rPr>
            <w:noProof/>
            <w:webHidden/>
          </w:rPr>
          <w:fldChar w:fldCharType="begin"/>
        </w:r>
        <w:r w:rsidR="00976044">
          <w:rPr>
            <w:noProof/>
            <w:webHidden/>
          </w:rPr>
          <w:instrText xml:space="preserve"> PAGEREF _Toc191908792 \h </w:instrText>
        </w:r>
        <w:r w:rsidR="00976044">
          <w:rPr>
            <w:noProof/>
            <w:webHidden/>
          </w:rPr>
        </w:r>
        <w:r w:rsidR="00976044">
          <w:rPr>
            <w:noProof/>
            <w:webHidden/>
          </w:rPr>
          <w:fldChar w:fldCharType="separate"/>
        </w:r>
        <w:r w:rsidR="00976044">
          <w:rPr>
            <w:noProof/>
            <w:webHidden/>
          </w:rPr>
          <w:t>105</w:t>
        </w:r>
        <w:r w:rsidR="00976044">
          <w:rPr>
            <w:noProof/>
            <w:webHidden/>
          </w:rPr>
          <w:fldChar w:fldCharType="end"/>
        </w:r>
      </w:hyperlink>
    </w:p>
    <w:p w14:paraId="5CE3548F" w14:textId="23E2FF52"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793" w:history="1">
        <w:r w:rsidR="00976044" w:rsidRPr="00E1713D">
          <w:rPr>
            <w:rStyle w:val="Hipercze"/>
            <w:noProof/>
            <w:lang w:bidi="en-US"/>
          </w:rPr>
          <w:t>3.2 Wpływ europejskiej i krajowej Polityki regionalnej</w:t>
        </w:r>
        <w:r w:rsidR="00976044">
          <w:rPr>
            <w:noProof/>
            <w:webHidden/>
          </w:rPr>
          <w:tab/>
        </w:r>
        <w:r w:rsidR="00976044">
          <w:rPr>
            <w:noProof/>
            <w:webHidden/>
          </w:rPr>
          <w:fldChar w:fldCharType="begin"/>
        </w:r>
        <w:r w:rsidR="00976044">
          <w:rPr>
            <w:noProof/>
            <w:webHidden/>
          </w:rPr>
          <w:instrText xml:space="preserve"> PAGEREF _Toc191908793 \h </w:instrText>
        </w:r>
        <w:r w:rsidR="00976044">
          <w:rPr>
            <w:noProof/>
            <w:webHidden/>
          </w:rPr>
        </w:r>
        <w:r w:rsidR="00976044">
          <w:rPr>
            <w:noProof/>
            <w:webHidden/>
          </w:rPr>
          <w:fldChar w:fldCharType="separate"/>
        </w:r>
        <w:r w:rsidR="00976044">
          <w:rPr>
            <w:noProof/>
            <w:webHidden/>
          </w:rPr>
          <w:t>106</w:t>
        </w:r>
        <w:r w:rsidR="00976044">
          <w:rPr>
            <w:noProof/>
            <w:webHidden/>
          </w:rPr>
          <w:fldChar w:fldCharType="end"/>
        </w:r>
      </w:hyperlink>
    </w:p>
    <w:p w14:paraId="182FD442" w14:textId="41D33925"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94" w:history="1">
        <w:r w:rsidR="00976044" w:rsidRPr="00E1713D">
          <w:rPr>
            <w:rStyle w:val="Hipercze"/>
            <w:noProof/>
            <w:lang w:bidi="en-US"/>
          </w:rPr>
          <w:t>4. Zakres, tryb i metodyka opracowania Strategii</w:t>
        </w:r>
        <w:r w:rsidR="00976044">
          <w:rPr>
            <w:noProof/>
            <w:webHidden/>
          </w:rPr>
          <w:tab/>
        </w:r>
        <w:r w:rsidR="00976044">
          <w:rPr>
            <w:noProof/>
            <w:webHidden/>
          </w:rPr>
          <w:fldChar w:fldCharType="begin"/>
        </w:r>
        <w:r w:rsidR="00976044">
          <w:rPr>
            <w:noProof/>
            <w:webHidden/>
          </w:rPr>
          <w:instrText xml:space="preserve"> PAGEREF _Toc191908794 \h </w:instrText>
        </w:r>
        <w:r w:rsidR="00976044">
          <w:rPr>
            <w:noProof/>
            <w:webHidden/>
          </w:rPr>
        </w:r>
        <w:r w:rsidR="00976044">
          <w:rPr>
            <w:noProof/>
            <w:webHidden/>
          </w:rPr>
          <w:fldChar w:fldCharType="separate"/>
        </w:r>
        <w:r w:rsidR="00976044">
          <w:rPr>
            <w:noProof/>
            <w:webHidden/>
          </w:rPr>
          <w:t>107</w:t>
        </w:r>
        <w:r w:rsidR="00976044">
          <w:rPr>
            <w:noProof/>
            <w:webHidden/>
          </w:rPr>
          <w:fldChar w:fldCharType="end"/>
        </w:r>
      </w:hyperlink>
    </w:p>
    <w:p w14:paraId="7DEEA770" w14:textId="10FEA0BC"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95" w:history="1">
        <w:r w:rsidR="00976044" w:rsidRPr="00E1713D">
          <w:rPr>
            <w:rStyle w:val="Hipercze"/>
            <w:noProof/>
            <w:lang w:bidi="en-US"/>
          </w:rPr>
          <w:t>5. Analiza SWOT</w:t>
        </w:r>
        <w:r w:rsidR="00976044">
          <w:rPr>
            <w:noProof/>
            <w:webHidden/>
          </w:rPr>
          <w:tab/>
        </w:r>
        <w:r w:rsidR="00976044">
          <w:rPr>
            <w:noProof/>
            <w:webHidden/>
          </w:rPr>
          <w:fldChar w:fldCharType="begin"/>
        </w:r>
        <w:r w:rsidR="00976044">
          <w:rPr>
            <w:noProof/>
            <w:webHidden/>
          </w:rPr>
          <w:instrText xml:space="preserve"> PAGEREF _Toc191908795 \h </w:instrText>
        </w:r>
        <w:r w:rsidR="00976044">
          <w:rPr>
            <w:noProof/>
            <w:webHidden/>
          </w:rPr>
        </w:r>
        <w:r w:rsidR="00976044">
          <w:rPr>
            <w:noProof/>
            <w:webHidden/>
          </w:rPr>
          <w:fldChar w:fldCharType="separate"/>
        </w:r>
        <w:r w:rsidR="00976044">
          <w:rPr>
            <w:noProof/>
            <w:webHidden/>
          </w:rPr>
          <w:t>110</w:t>
        </w:r>
        <w:r w:rsidR="00976044">
          <w:rPr>
            <w:noProof/>
            <w:webHidden/>
          </w:rPr>
          <w:fldChar w:fldCharType="end"/>
        </w:r>
      </w:hyperlink>
    </w:p>
    <w:p w14:paraId="479A6E1F" w14:textId="44E1A6EE"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96" w:history="1">
        <w:r w:rsidR="00976044" w:rsidRPr="00E1713D">
          <w:rPr>
            <w:rStyle w:val="Hipercze"/>
            <w:noProof/>
            <w:lang w:bidi="en-US"/>
          </w:rPr>
          <w:t>6. Misja i wizja Gminy Opole Lubelskie</w:t>
        </w:r>
        <w:r w:rsidR="00976044">
          <w:rPr>
            <w:noProof/>
            <w:webHidden/>
          </w:rPr>
          <w:tab/>
        </w:r>
        <w:r w:rsidR="00976044">
          <w:rPr>
            <w:noProof/>
            <w:webHidden/>
          </w:rPr>
          <w:fldChar w:fldCharType="begin"/>
        </w:r>
        <w:r w:rsidR="00976044">
          <w:rPr>
            <w:noProof/>
            <w:webHidden/>
          </w:rPr>
          <w:instrText xml:space="preserve"> PAGEREF _Toc191908796 \h </w:instrText>
        </w:r>
        <w:r w:rsidR="00976044">
          <w:rPr>
            <w:noProof/>
            <w:webHidden/>
          </w:rPr>
        </w:r>
        <w:r w:rsidR="00976044">
          <w:rPr>
            <w:noProof/>
            <w:webHidden/>
          </w:rPr>
          <w:fldChar w:fldCharType="separate"/>
        </w:r>
        <w:r w:rsidR="00976044">
          <w:rPr>
            <w:noProof/>
            <w:webHidden/>
          </w:rPr>
          <w:t>113</w:t>
        </w:r>
        <w:r w:rsidR="00976044">
          <w:rPr>
            <w:noProof/>
            <w:webHidden/>
          </w:rPr>
          <w:fldChar w:fldCharType="end"/>
        </w:r>
      </w:hyperlink>
    </w:p>
    <w:p w14:paraId="0A7F6D9D" w14:textId="48C3E740"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97" w:history="1">
        <w:r w:rsidR="00976044" w:rsidRPr="00E1713D">
          <w:rPr>
            <w:rStyle w:val="Hipercze"/>
            <w:noProof/>
            <w:lang w:bidi="en-US"/>
          </w:rPr>
          <w:t>7. Cele strategiczne i kierunki działań</w:t>
        </w:r>
        <w:r w:rsidR="00976044">
          <w:rPr>
            <w:noProof/>
            <w:webHidden/>
          </w:rPr>
          <w:tab/>
        </w:r>
        <w:r w:rsidR="00976044">
          <w:rPr>
            <w:noProof/>
            <w:webHidden/>
          </w:rPr>
          <w:fldChar w:fldCharType="begin"/>
        </w:r>
        <w:r w:rsidR="00976044">
          <w:rPr>
            <w:noProof/>
            <w:webHidden/>
          </w:rPr>
          <w:instrText xml:space="preserve"> PAGEREF _Toc191908797 \h </w:instrText>
        </w:r>
        <w:r w:rsidR="00976044">
          <w:rPr>
            <w:noProof/>
            <w:webHidden/>
          </w:rPr>
        </w:r>
        <w:r w:rsidR="00976044">
          <w:rPr>
            <w:noProof/>
            <w:webHidden/>
          </w:rPr>
          <w:fldChar w:fldCharType="separate"/>
        </w:r>
        <w:r w:rsidR="00976044">
          <w:rPr>
            <w:noProof/>
            <w:webHidden/>
          </w:rPr>
          <w:t>114</w:t>
        </w:r>
        <w:r w:rsidR="00976044">
          <w:rPr>
            <w:noProof/>
            <w:webHidden/>
          </w:rPr>
          <w:fldChar w:fldCharType="end"/>
        </w:r>
      </w:hyperlink>
    </w:p>
    <w:p w14:paraId="559CC50C" w14:textId="38B46F80"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98" w:history="1">
        <w:r w:rsidR="00976044" w:rsidRPr="00E1713D">
          <w:rPr>
            <w:rStyle w:val="Hipercze"/>
            <w:noProof/>
            <w:lang w:bidi="en-US"/>
          </w:rPr>
          <w:t>8. Oczekiwane rezultaty planowanych działań oraz wskaźniki ich osiągniecia</w:t>
        </w:r>
        <w:r w:rsidR="00976044">
          <w:rPr>
            <w:noProof/>
            <w:webHidden/>
          </w:rPr>
          <w:tab/>
        </w:r>
        <w:r w:rsidR="00976044">
          <w:rPr>
            <w:noProof/>
            <w:webHidden/>
          </w:rPr>
          <w:fldChar w:fldCharType="begin"/>
        </w:r>
        <w:r w:rsidR="00976044">
          <w:rPr>
            <w:noProof/>
            <w:webHidden/>
          </w:rPr>
          <w:instrText xml:space="preserve"> PAGEREF _Toc191908798 \h </w:instrText>
        </w:r>
        <w:r w:rsidR="00976044">
          <w:rPr>
            <w:noProof/>
            <w:webHidden/>
          </w:rPr>
        </w:r>
        <w:r w:rsidR="00976044">
          <w:rPr>
            <w:noProof/>
            <w:webHidden/>
          </w:rPr>
          <w:fldChar w:fldCharType="separate"/>
        </w:r>
        <w:r w:rsidR="00976044">
          <w:rPr>
            <w:noProof/>
            <w:webHidden/>
          </w:rPr>
          <w:t>115</w:t>
        </w:r>
        <w:r w:rsidR="00976044">
          <w:rPr>
            <w:noProof/>
            <w:webHidden/>
          </w:rPr>
          <w:fldChar w:fldCharType="end"/>
        </w:r>
      </w:hyperlink>
    </w:p>
    <w:p w14:paraId="7A405338" w14:textId="3F5D9A06"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799" w:history="1">
        <w:r w:rsidR="00976044" w:rsidRPr="00E1713D">
          <w:rPr>
            <w:rStyle w:val="Hipercze"/>
            <w:noProof/>
            <w:lang w:bidi="en-US"/>
          </w:rPr>
          <w:t>9 A. Model struktury funkcjonalno - przestrzennej</w:t>
        </w:r>
        <w:r w:rsidR="00976044">
          <w:rPr>
            <w:noProof/>
            <w:webHidden/>
          </w:rPr>
          <w:tab/>
        </w:r>
        <w:r w:rsidR="00976044">
          <w:rPr>
            <w:noProof/>
            <w:webHidden/>
          </w:rPr>
          <w:fldChar w:fldCharType="begin"/>
        </w:r>
        <w:r w:rsidR="00976044">
          <w:rPr>
            <w:noProof/>
            <w:webHidden/>
          </w:rPr>
          <w:instrText xml:space="preserve"> PAGEREF _Toc191908799 \h </w:instrText>
        </w:r>
        <w:r w:rsidR="00976044">
          <w:rPr>
            <w:noProof/>
            <w:webHidden/>
          </w:rPr>
        </w:r>
        <w:r w:rsidR="00976044">
          <w:rPr>
            <w:noProof/>
            <w:webHidden/>
          </w:rPr>
          <w:fldChar w:fldCharType="separate"/>
        </w:r>
        <w:r w:rsidR="00976044">
          <w:rPr>
            <w:noProof/>
            <w:webHidden/>
          </w:rPr>
          <w:t>121</w:t>
        </w:r>
        <w:r w:rsidR="00976044">
          <w:rPr>
            <w:noProof/>
            <w:webHidden/>
          </w:rPr>
          <w:fldChar w:fldCharType="end"/>
        </w:r>
      </w:hyperlink>
    </w:p>
    <w:p w14:paraId="10C580D6" w14:textId="1994E468"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800" w:history="1">
        <w:r w:rsidR="00976044" w:rsidRPr="00E1713D">
          <w:rPr>
            <w:rStyle w:val="Hipercze"/>
            <w:noProof/>
            <w:lang w:bidi="en-US"/>
          </w:rPr>
          <w:t xml:space="preserve">9 B. </w:t>
        </w:r>
        <w:r w:rsidR="00976044" w:rsidRPr="00E1713D">
          <w:rPr>
            <w:rStyle w:val="Hipercze"/>
            <w:noProof/>
          </w:rPr>
          <w:t>Ustalenia i rekomendacje do lokalnych dokumentów planistycznych</w:t>
        </w:r>
        <w:r w:rsidR="00976044">
          <w:rPr>
            <w:noProof/>
            <w:webHidden/>
          </w:rPr>
          <w:tab/>
        </w:r>
        <w:r w:rsidR="00976044">
          <w:rPr>
            <w:noProof/>
            <w:webHidden/>
          </w:rPr>
          <w:fldChar w:fldCharType="begin"/>
        </w:r>
        <w:r w:rsidR="00976044">
          <w:rPr>
            <w:noProof/>
            <w:webHidden/>
          </w:rPr>
          <w:instrText xml:space="preserve"> PAGEREF _Toc191908800 \h </w:instrText>
        </w:r>
        <w:r w:rsidR="00976044">
          <w:rPr>
            <w:noProof/>
            <w:webHidden/>
          </w:rPr>
        </w:r>
        <w:r w:rsidR="00976044">
          <w:rPr>
            <w:noProof/>
            <w:webHidden/>
          </w:rPr>
          <w:fldChar w:fldCharType="separate"/>
        </w:r>
        <w:r w:rsidR="00976044">
          <w:rPr>
            <w:noProof/>
            <w:webHidden/>
          </w:rPr>
          <w:t>128</w:t>
        </w:r>
        <w:r w:rsidR="00976044">
          <w:rPr>
            <w:noProof/>
            <w:webHidden/>
          </w:rPr>
          <w:fldChar w:fldCharType="end"/>
        </w:r>
      </w:hyperlink>
    </w:p>
    <w:p w14:paraId="03EC3E07" w14:textId="1B0515B6"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801" w:history="1">
        <w:r w:rsidR="00976044" w:rsidRPr="00E1713D">
          <w:rPr>
            <w:rStyle w:val="Hipercze"/>
            <w:noProof/>
            <w:lang w:bidi="en-US"/>
          </w:rPr>
          <w:t>10. Terytorialny wymiar wsparcia, obszary strategicznej interwencji</w:t>
        </w:r>
        <w:r w:rsidR="00976044">
          <w:rPr>
            <w:noProof/>
            <w:webHidden/>
          </w:rPr>
          <w:tab/>
        </w:r>
        <w:r w:rsidR="00976044">
          <w:rPr>
            <w:noProof/>
            <w:webHidden/>
          </w:rPr>
          <w:fldChar w:fldCharType="begin"/>
        </w:r>
        <w:r w:rsidR="00976044">
          <w:rPr>
            <w:noProof/>
            <w:webHidden/>
          </w:rPr>
          <w:instrText xml:space="preserve"> PAGEREF _Toc191908801 \h </w:instrText>
        </w:r>
        <w:r w:rsidR="00976044">
          <w:rPr>
            <w:noProof/>
            <w:webHidden/>
          </w:rPr>
        </w:r>
        <w:r w:rsidR="00976044">
          <w:rPr>
            <w:noProof/>
            <w:webHidden/>
          </w:rPr>
          <w:fldChar w:fldCharType="separate"/>
        </w:r>
        <w:r w:rsidR="00976044">
          <w:rPr>
            <w:noProof/>
            <w:webHidden/>
          </w:rPr>
          <w:t>137</w:t>
        </w:r>
        <w:r w:rsidR="00976044">
          <w:rPr>
            <w:noProof/>
            <w:webHidden/>
          </w:rPr>
          <w:fldChar w:fldCharType="end"/>
        </w:r>
      </w:hyperlink>
    </w:p>
    <w:p w14:paraId="1914536F" w14:textId="35722748"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802" w:history="1">
        <w:r w:rsidR="00976044" w:rsidRPr="00E1713D">
          <w:rPr>
            <w:rStyle w:val="Hipercze"/>
            <w:noProof/>
            <w:lang w:bidi="en-US"/>
          </w:rPr>
          <w:t>10.1 Podejście terytorialne – uwarunkowania krajowe i regionalne</w:t>
        </w:r>
        <w:r w:rsidR="00976044">
          <w:rPr>
            <w:noProof/>
            <w:webHidden/>
          </w:rPr>
          <w:tab/>
        </w:r>
        <w:r w:rsidR="00976044">
          <w:rPr>
            <w:noProof/>
            <w:webHidden/>
          </w:rPr>
          <w:fldChar w:fldCharType="begin"/>
        </w:r>
        <w:r w:rsidR="00976044">
          <w:rPr>
            <w:noProof/>
            <w:webHidden/>
          </w:rPr>
          <w:instrText xml:space="preserve"> PAGEREF _Toc191908802 \h </w:instrText>
        </w:r>
        <w:r w:rsidR="00976044">
          <w:rPr>
            <w:noProof/>
            <w:webHidden/>
          </w:rPr>
        </w:r>
        <w:r w:rsidR="00976044">
          <w:rPr>
            <w:noProof/>
            <w:webHidden/>
          </w:rPr>
          <w:fldChar w:fldCharType="separate"/>
        </w:r>
        <w:r w:rsidR="00976044">
          <w:rPr>
            <w:noProof/>
            <w:webHidden/>
          </w:rPr>
          <w:t>137</w:t>
        </w:r>
        <w:r w:rsidR="00976044">
          <w:rPr>
            <w:noProof/>
            <w:webHidden/>
          </w:rPr>
          <w:fldChar w:fldCharType="end"/>
        </w:r>
      </w:hyperlink>
    </w:p>
    <w:p w14:paraId="3BD18857" w14:textId="03B61E6D"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803" w:history="1">
        <w:r w:rsidR="00976044" w:rsidRPr="00E1713D">
          <w:rPr>
            <w:rStyle w:val="Hipercze"/>
            <w:noProof/>
            <w:lang w:bidi="en-US"/>
          </w:rPr>
          <w:t>10.2 Potencjalne kierunki interwencji w wymiarze terytorialnym</w:t>
        </w:r>
        <w:r w:rsidR="00976044">
          <w:rPr>
            <w:noProof/>
            <w:webHidden/>
          </w:rPr>
          <w:tab/>
        </w:r>
        <w:r w:rsidR="00976044">
          <w:rPr>
            <w:noProof/>
            <w:webHidden/>
          </w:rPr>
          <w:fldChar w:fldCharType="begin"/>
        </w:r>
        <w:r w:rsidR="00976044">
          <w:rPr>
            <w:noProof/>
            <w:webHidden/>
          </w:rPr>
          <w:instrText xml:space="preserve"> PAGEREF _Toc191908803 \h </w:instrText>
        </w:r>
        <w:r w:rsidR="00976044">
          <w:rPr>
            <w:noProof/>
            <w:webHidden/>
          </w:rPr>
        </w:r>
        <w:r w:rsidR="00976044">
          <w:rPr>
            <w:noProof/>
            <w:webHidden/>
          </w:rPr>
          <w:fldChar w:fldCharType="separate"/>
        </w:r>
        <w:r w:rsidR="00976044">
          <w:rPr>
            <w:noProof/>
            <w:webHidden/>
          </w:rPr>
          <w:t>140</w:t>
        </w:r>
        <w:r w:rsidR="00976044">
          <w:rPr>
            <w:noProof/>
            <w:webHidden/>
          </w:rPr>
          <w:fldChar w:fldCharType="end"/>
        </w:r>
      </w:hyperlink>
    </w:p>
    <w:p w14:paraId="7068423A" w14:textId="6B4FCD67"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804" w:history="1">
        <w:r w:rsidR="00976044" w:rsidRPr="00E1713D">
          <w:rPr>
            <w:rStyle w:val="Hipercze"/>
            <w:noProof/>
            <w:lang w:bidi="en-US"/>
          </w:rPr>
          <w:t>10.3 Obszary strategicznej interwencji kluczowe dla gminy wraz z zakresem planowanych działań</w:t>
        </w:r>
        <w:r w:rsidR="00976044">
          <w:rPr>
            <w:noProof/>
            <w:webHidden/>
          </w:rPr>
          <w:tab/>
        </w:r>
        <w:r w:rsidR="00976044">
          <w:rPr>
            <w:noProof/>
            <w:webHidden/>
          </w:rPr>
          <w:fldChar w:fldCharType="begin"/>
        </w:r>
        <w:r w:rsidR="00976044">
          <w:rPr>
            <w:noProof/>
            <w:webHidden/>
          </w:rPr>
          <w:instrText xml:space="preserve"> PAGEREF _Toc191908804 \h </w:instrText>
        </w:r>
        <w:r w:rsidR="00976044">
          <w:rPr>
            <w:noProof/>
            <w:webHidden/>
          </w:rPr>
        </w:r>
        <w:r w:rsidR="00976044">
          <w:rPr>
            <w:noProof/>
            <w:webHidden/>
          </w:rPr>
          <w:fldChar w:fldCharType="separate"/>
        </w:r>
        <w:r w:rsidR="00976044">
          <w:rPr>
            <w:noProof/>
            <w:webHidden/>
          </w:rPr>
          <w:t>142</w:t>
        </w:r>
        <w:r w:rsidR="00976044">
          <w:rPr>
            <w:noProof/>
            <w:webHidden/>
          </w:rPr>
          <w:fldChar w:fldCharType="end"/>
        </w:r>
      </w:hyperlink>
    </w:p>
    <w:p w14:paraId="6AC195FE" w14:textId="030A697A"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805" w:history="1">
        <w:r w:rsidR="00976044" w:rsidRPr="00E1713D">
          <w:rPr>
            <w:rStyle w:val="Hipercze"/>
            <w:noProof/>
            <w:lang w:bidi="en-US"/>
          </w:rPr>
          <w:t>10.4 Zagadnienia dotyczące gospodarki wodnej</w:t>
        </w:r>
        <w:r w:rsidR="00976044">
          <w:rPr>
            <w:noProof/>
            <w:webHidden/>
          </w:rPr>
          <w:tab/>
        </w:r>
        <w:r w:rsidR="00976044">
          <w:rPr>
            <w:noProof/>
            <w:webHidden/>
          </w:rPr>
          <w:fldChar w:fldCharType="begin"/>
        </w:r>
        <w:r w:rsidR="00976044">
          <w:rPr>
            <w:noProof/>
            <w:webHidden/>
          </w:rPr>
          <w:instrText xml:space="preserve"> PAGEREF _Toc191908805 \h </w:instrText>
        </w:r>
        <w:r w:rsidR="00976044">
          <w:rPr>
            <w:noProof/>
            <w:webHidden/>
          </w:rPr>
        </w:r>
        <w:r w:rsidR="00976044">
          <w:rPr>
            <w:noProof/>
            <w:webHidden/>
          </w:rPr>
          <w:fldChar w:fldCharType="separate"/>
        </w:r>
        <w:r w:rsidR="00976044">
          <w:rPr>
            <w:noProof/>
            <w:webHidden/>
          </w:rPr>
          <w:t>145</w:t>
        </w:r>
        <w:r w:rsidR="00976044">
          <w:rPr>
            <w:noProof/>
            <w:webHidden/>
          </w:rPr>
          <w:fldChar w:fldCharType="end"/>
        </w:r>
      </w:hyperlink>
    </w:p>
    <w:p w14:paraId="1FA412E8" w14:textId="63B49636"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806" w:history="1">
        <w:r w:rsidR="00976044" w:rsidRPr="00E1713D">
          <w:rPr>
            <w:rStyle w:val="Hipercze"/>
            <w:noProof/>
            <w:lang w:bidi="en-US"/>
          </w:rPr>
          <w:t>11. Ramy finansowe i źródła finansowania Strategii</w:t>
        </w:r>
        <w:r w:rsidR="00976044">
          <w:rPr>
            <w:noProof/>
            <w:webHidden/>
          </w:rPr>
          <w:tab/>
        </w:r>
        <w:r w:rsidR="00976044">
          <w:rPr>
            <w:noProof/>
            <w:webHidden/>
          </w:rPr>
          <w:fldChar w:fldCharType="begin"/>
        </w:r>
        <w:r w:rsidR="00976044">
          <w:rPr>
            <w:noProof/>
            <w:webHidden/>
          </w:rPr>
          <w:instrText xml:space="preserve"> PAGEREF _Toc191908806 \h </w:instrText>
        </w:r>
        <w:r w:rsidR="00976044">
          <w:rPr>
            <w:noProof/>
            <w:webHidden/>
          </w:rPr>
        </w:r>
        <w:r w:rsidR="00976044">
          <w:rPr>
            <w:noProof/>
            <w:webHidden/>
          </w:rPr>
          <w:fldChar w:fldCharType="separate"/>
        </w:r>
        <w:r w:rsidR="00976044">
          <w:rPr>
            <w:noProof/>
            <w:webHidden/>
          </w:rPr>
          <w:t>147</w:t>
        </w:r>
        <w:r w:rsidR="00976044">
          <w:rPr>
            <w:noProof/>
            <w:webHidden/>
          </w:rPr>
          <w:fldChar w:fldCharType="end"/>
        </w:r>
      </w:hyperlink>
    </w:p>
    <w:p w14:paraId="74761BC1" w14:textId="5B73F7AE"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807" w:history="1">
        <w:r w:rsidR="00976044" w:rsidRPr="00E1713D">
          <w:rPr>
            <w:rStyle w:val="Hipercze"/>
            <w:noProof/>
            <w:lang w:bidi="en-US"/>
          </w:rPr>
          <w:t>12. Zasady i struktura zarządzania procesem wdrażania Strategii</w:t>
        </w:r>
        <w:r w:rsidR="00976044">
          <w:rPr>
            <w:noProof/>
            <w:webHidden/>
          </w:rPr>
          <w:tab/>
        </w:r>
        <w:r w:rsidR="00976044">
          <w:rPr>
            <w:noProof/>
            <w:webHidden/>
          </w:rPr>
          <w:fldChar w:fldCharType="begin"/>
        </w:r>
        <w:r w:rsidR="00976044">
          <w:rPr>
            <w:noProof/>
            <w:webHidden/>
          </w:rPr>
          <w:instrText xml:space="preserve"> PAGEREF _Toc191908807 \h </w:instrText>
        </w:r>
        <w:r w:rsidR="00976044">
          <w:rPr>
            <w:noProof/>
            <w:webHidden/>
          </w:rPr>
        </w:r>
        <w:r w:rsidR="00976044">
          <w:rPr>
            <w:noProof/>
            <w:webHidden/>
          </w:rPr>
          <w:fldChar w:fldCharType="separate"/>
        </w:r>
        <w:r w:rsidR="00976044">
          <w:rPr>
            <w:noProof/>
            <w:webHidden/>
          </w:rPr>
          <w:t>151</w:t>
        </w:r>
        <w:r w:rsidR="00976044">
          <w:rPr>
            <w:noProof/>
            <w:webHidden/>
          </w:rPr>
          <w:fldChar w:fldCharType="end"/>
        </w:r>
      </w:hyperlink>
    </w:p>
    <w:p w14:paraId="7213B445" w14:textId="266AD5BA"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808" w:history="1">
        <w:r w:rsidR="00976044" w:rsidRPr="00E1713D">
          <w:rPr>
            <w:rStyle w:val="Hipercze"/>
            <w:noProof/>
            <w:lang w:bidi="en-US"/>
          </w:rPr>
          <w:t>12.1 Zasady współpracy interesariuszy</w:t>
        </w:r>
        <w:r w:rsidR="00976044">
          <w:rPr>
            <w:noProof/>
            <w:webHidden/>
          </w:rPr>
          <w:tab/>
        </w:r>
        <w:r w:rsidR="00976044">
          <w:rPr>
            <w:noProof/>
            <w:webHidden/>
          </w:rPr>
          <w:fldChar w:fldCharType="begin"/>
        </w:r>
        <w:r w:rsidR="00976044">
          <w:rPr>
            <w:noProof/>
            <w:webHidden/>
          </w:rPr>
          <w:instrText xml:space="preserve"> PAGEREF _Toc191908808 \h </w:instrText>
        </w:r>
        <w:r w:rsidR="00976044">
          <w:rPr>
            <w:noProof/>
            <w:webHidden/>
          </w:rPr>
        </w:r>
        <w:r w:rsidR="00976044">
          <w:rPr>
            <w:noProof/>
            <w:webHidden/>
          </w:rPr>
          <w:fldChar w:fldCharType="separate"/>
        </w:r>
        <w:r w:rsidR="00976044">
          <w:rPr>
            <w:noProof/>
            <w:webHidden/>
          </w:rPr>
          <w:t>151</w:t>
        </w:r>
        <w:r w:rsidR="00976044">
          <w:rPr>
            <w:noProof/>
            <w:webHidden/>
          </w:rPr>
          <w:fldChar w:fldCharType="end"/>
        </w:r>
      </w:hyperlink>
    </w:p>
    <w:p w14:paraId="78F7B053" w14:textId="4E047166"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809" w:history="1">
        <w:r w:rsidR="00976044" w:rsidRPr="00E1713D">
          <w:rPr>
            <w:rStyle w:val="Hipercze"/>
            <w:noProof/>
            <w:lang w:bidi="en-US"/>
          </w:rPr>
          <w:t>12.2 Struktura i system zarządzania Strategią</w:t>
        </w:r>
        <w:r w:rsidR="00976044">
          <w:rPr>
            <w:noProof/>
            <w:webHidden/>
          </w:rPr>
          <w:tab/>
        </w:r>
        <w:r w:rsidR="00976044">
          <w:rPr>
            <w:noProof/>
            <w:webHidden/>
          </w:rPr>
          <w:fldChar w:fldCharType="begin"/>
        </w:r>
        <w:r w:rsidR="00976044">
          <w:rPr>
            <w:noProof/>
            <w:webHidden/>
          </w:rPr>
          <w:instrText xml:space="preserve"> PAGEREF _Toc191908809 \h </w:instrText>
        </w:r>
        <w:r w:rsidR="00976044">
          <w:rPr>
            <w:noProof/>
            <w:webHidden/>
          </w:rPr>
        </w:r>
        <w:r w:rsidR="00976044">
          <w:rPr>
            <w:noProof/>
            <w:webHidden/>
          </w:rPr>
          <w:fldChar w:fldCharType="separate"/>
        </w:r>
        <w:r w:rsidR="00976044">
          <w:rPr>
            <w:noProof/>
            <w:webHidden/>
          </w:rPr>
          <w:t>153</w:t>
        </w:r>
        <w:r w:rsidR="00976044">
          <w:rPr>
            <w:noProof/>
            <w:webHidden/>
          </w:rPr>
          <w:fldChar w:fldCharType="end"/>
        </w:r>
      </w:hyperlink>
    </w:p>
    <w:p w14:paraId="51346AB2" w14:textId="7C026BDC"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810" w:history="1">
        <w:r w:rsidR="00976044" w:rsidRPr="00E1713D">
          <w:rPr>
            <w:rStyle w:val="Hipercze"/>
            <w:noProof/>
            <w:lang w:bidi="en-US"/>
          </w:rPr>
          <w:t>13. Monitoring i ewaluacja Strategii</w:t>
        </w:r>
        <w:r w:rsidR="00976044">
          <w:rPr>
            <w:noProof/>
            <w:webHidden/>
          </w:rPr>
          <w:tab/>
        </w:r>
        <w:r w:rsidR="00976044">
          <w:rPr>
            <w:noProof/>
            <w:webHidden/>
          </w:rPr>
          <w:fldChar w:fldCharType="begin"/>
        </w:r>
        <w:r w:rsidR="00976044">
          <w:rPr>
            <w:noProof/>
            <w:webHidden/>
          </w:rPr>
          <w:instrText xml:space="preserve"> PAGEREF _Toc191908810 \h </w:instrText>
        </w:r>
        <w:r w:rsidR="00976044">
          <w:rPr>
            <w:noProof/>
            <w:webHidden/>
          </w:rPr>
        </w:r>
        <w:r w:rsidR="00976044">
          <w:rPr>
            <w:noProof/>
            <w:webHidden/>
          </w:rPr>
          <w:fldChar w:fldCharType="separate"/>
        </w:r>
        <w:r w:rsidR="00976044">
          <w:rPr>
            <w:noProof/>
            <w:webHidden/>
          </w:rPr>
          <w:t>155</w:t>
        </w:r>
        <w:r w:rsidR="00976044">
          <w:rPr>
            <w:noProof/>
            <w:webHidden/>
          </w:rPr>
          <w:fldChar w:fldCharType="end"/>
        </w:r>
      </w:hyperlink>
    </w:p>
    <w:p w14:paraId="62EE02F5" w14:textId="4BCA41A7"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811" w:history="1">
        <w:r w:rsidR="00976044" w:rsidRPr="00E1713D">
          <w:rPr>
            <w:rStyle w:val="Hipercze"/>
            <w:noProof/>
            <w:lang w:bidi="en-US"/>
          </w:rPr>
          <w:t xml:space="preserve">Załącznik 1 - Lista projektów </w:t>
        </w:r>
        <w:r w:rsidR="00976044" w:rsidRPr="00E1713D">
          <w:rPr>
            <w:rStyle w:val="Hipercze"/>
            <w:noProof/>
          </w:rPr>
          <w:t>realizujących</w:t>
        </w:r>
        <w:r w:rsidR="00976044" w:rsidRPr="00E1713D">
          <w:rPr>
            <w:rStyle w:val="Hipercze"/>
            <w:noProof/>
            <w:lang w:bidi="en-US"/>
          </w:rPr>
          <w:t xml:space="preserve"> cele strategiczne</w:t>
        </w:r>
        <w:r w:rsidR="00976044">
          <w:rPr>
            <w:noProof/>
            <w:webHidden/>
          </w:rPr>
          <w:tab/>
        </w:r>
        <w:r w:rsidR="00976044">
          <w:rPr>
            <w:noProof/>
            <w:webHidden/>
          </w:rPr>
          <w:fldChar w:fldCharType="begin"/>
        </w:r>
        <w:r w:rsidR="00976044">
          <w:rPr>
            <w:noProof/>
            <w:webHidden/>
          </w:rPr>
          <w:instrText xml:space="preserve"> PAGEREF _Toc191908811 \h </w:instrText>
        </w:r>
        <w:r w:rsidR="00976044">
          <w:rPr>
            <w:noProof/>
            <w:webHidden/>
          </w:rPr>
        </w:r>
        <w:r w:rsidR="00976044">
          <w:rPr>
            <w:noProof/>
            <w:webHidden/>
          </w:rPr>
          <w:fldChar w:fldCharType="separate"/>
        </w:r>
        <w:r w:rsidR="00976044">
          <w:rPr>
            <w:noProof/>
            <w:webHidden/>
          </w:rPr>
          <w:t>157</w:t>
        </w:r>
        <w:r w:rsidR="00976044">
          <w:rPr>
            <w:noProof/>
            <w:webHidden/>
          </w:rPr>
          <w:fldChar w:fldCharType="end"/>
        </w:r>
      </w:hyperlink>
    </w:p>
    <w:p w14:paraId="5FF4581B" w14:textId="6A0CB4D2"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812" w:history="1">
        <w:r w:rsidR="00976044" w:rsidRPr="00E1713D">
          <w:rPr>
            <w:rStyle w:val="Hipercze"/>
            <w:noProof/>
            <w:lang w:bidi="en-US"/>
          </w:rPr>
          <w:t>Załącznik 2</w:t>
        </w:r>
        <w:r w:rsidR="00976044" w:rsidRPr="00E1713D">
          <w:rPr>
            <w:rStyle w:val="Hipercze"/>
            <w:b/>
            <w:bCs/>
            <w:noProof/>
            <w:lang w:bidi="en-US"/>
          </w:rPr>
          <w:t xml:space="preserve"> </w:t>
        </w:r>
        <w:r w:rsidR="00976044" w:rsidRPr="00E1713D">
          <w:rPr>
            <w:rStyle w:val="Hipercze"/>
            <w:noProof/>
            <w:lang w:bidi="en-US"/>
          </w:rPr>
          <w:t>-</w:t>
        </w:r>
        <w:r w:rsidR="00976044" w:rsidRPr="00E1713D">
          <w:rPr>
            <w:rStyle w:val="Hipercze"/>
            <w:b/>
            <w:bCs/>
            <w:noProof/>
            <w:lang w:bidi="en-US"/>
          </w:rPr>
          <w:t xml:space="preserve"> </w:t>
        </w:r>
        <w:r w:rsidR="00976044" w:rsidRPr="00E1713D">
          <w:rPr>
            <w:rStyle w:val="Hipercze"/>
            <w:noProof/>
            <w:lang w:bidi="en-US"/>
          </w:rPr>
          <w:t>Sprawozdanie z przebiegu i wyników procesu partycypacji i konsultacji społecznych</w:t>
        </w:r>
        <w:r w:rsidR="00976044">
          <w:rPr>
            <w:noProof/>
            <w:webHidden/>
          </w:rPr>
          <w:tab/>
        </w:r>
        <w:r w:rsidR="00976044">
          <w:rPr>
            <w:noProof/>
            <w:webHidden/>
          </w:rPr>
          <w:fldChar w:fldCharType="begin"/>
        </w:r>
        <w:r w:rsidR="00976044">
          <w:rPr>
            <w:noProof/>
            <w:webHidden/>
          </w:rPr>
          <w:instrText xml:space="preserve"> PAGEREF _Toc191908812 \h </w:instrText>
        </w:r>
        <w:r w:rsidR="00976044">
          <w:rPr>
            <w:noProof/>
            <w:webHidden/>
          </w:rPr>
        </w:r>
        <w:r w:rsidR="00976044">
          <w:rPr>
            <w:noProof/>
            <w:webHidden/>
          </w:rPr>
          <w:fldChar w:fldCharType="separate"/>
        </w:r>
        <w:r w:rsidR="00976044">
          <w:rPr>
            <w:noProof/>
            <w:webHidden/>
          </w:rPr>
          <w:t>166</w:t>
        </w:r>
        <w:r w:rsidR="00976044">
          <w:rPr>
            <w:noProof/>
            <w:webHidden/>
          </w:rPr>
          <w:fldChar w:fldCharType="end"/>
        </w:r>
      </w:hyperlink>
    </w:p>
    <w:p w14:paraId="3BE4DB40" w14:textId="496E6505"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813" w:history="1">
        <w:r w:rsidR="00976044" w:rsidRPr="00E1713D">
          <w:rPr>
            <w:rStyle w:val="Hipercze"/>
            <w:noProof/>
            <w:lang w:bidi="en-US"/>
          </w:rPr>
          <w:t>Załącznik 3 - Procedura strategicznej oceny oddziaływania na środowisko dla projektu Strategii</w:t>
        </w:r>
        <w:r w:rsidR="00976044">
          <w:rPr>
            <w:noProof/>
            <w:webHidden/>
          </w:rPr>
          <w:tab/>
        </w:r>
        <w:r w:rsidR="00976044">
          <w:rPr>
            <w:noProof/>
            <w:webHidden/>
          </w:rPr>
          <w:fldChar w:fldCharType="begin"/>
        </w:r>
        <w:r w:rsidR="00976044">
          <w:rPr>
            <w:noProof/>
            <w:webHidden/>
          </w:rPr>
          <w:instrText xml:space="preserve"> PAGEREF _Toc191908813 \h </w:instrText>
        </w:r>
        <w:r w:rsidR="00976044">
          <w:rPr>
            <w:noProof/>
            <w:webHidden/>
          </w:rPr>
        </w:r>
        <w:r w:rsidR="00976044">
          <w:rPr>
            <w:noProof/>
            <w:webHidden/>
          </w:rPr>
          <w:fldChar w:fldCharType="separate"/>
        </w:r>
        <w:r w:rsidR="00976044">
          <w:rPr>
            <w:noProof/>
            <w:webHidden/>
          </w:rPr>
          <w:t>170</w:t>
        </w:r>
        <w:r w:rsidR="00976044">
          <w:rPr>
            <w:noProof/>
            <w:webHidden/>
          </w:rPr>
          <w:fldChar w:fldCharType="end"/>
        </w:r>
      </w:hyperlink>
    </w:p>
    <w:p w14:paraId="55BBFF1D" w14:textId="18C85DD5"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814" w:history="1">
        <w:r w:rsidR="00976044" w:rsidRPr="00E1713D">
          <w:rPr>
            <w:rStyle w:val="Hipercze"/>
            <w:noProof/>
            <w:lang w:bidi="en-US"/>
          </w:rPr>
          <w:t>Załącznik 4 - Ewaluacja trafności, przewidywanej skuteczności i efektywności realizacji Strategii Rozwoju Gminy Opole Lubelskie na lata 2025 - 2030</w:t>
        </w:r>
        <w:r w:rsidR="00976044">
          <w:rPr>
            <w:noProof/>
            <w:webHidden/>
          </w:rPr>
          <w:tab/>
        </w:r>
        <w:r w:rsidR="00976044">
          <w:rPr>
            <w:noProof/>
            <w:webHidden/>
          </w:rPr>
          <w:fldChar w:fldCharType="begin"/>
        </w:r>
        <w:r w:rsidR="00976044">
          <w:rPr>
            <w:noProof/>
            <w:webHidden/>
          </w:rPr>
          <w:instrText xml:space="preserve"> PAGEREF _Toc191908814 \h </w:instrText>
        </w:r>
        <w:r w:rsidR="00976044">
          <w:rPr>
            <w:noProof/>
            <w:webHidden/>
          </w:rPr>
        </w:r>
        <w:r w:rsidR="00976044">
          <w:rPr>
            <w:noProof/>
            <w:webHidden/>
          </w:rPr>
          <w:fldChar w:fldCharType="separate"/>
        </w:r>
        <w:r w:rsidR="00976044">
          <w:rPr>
            <w:noProof/>
            <w:webHidden/>
          </w:rPr>
          <w:t>172</w:t>
        </w:r>
        <w:r w:rsidR="00976044">
          <w:rPr>
            <w:noProof/>
            <w:webHidden/>
          </w:rPr>
          <w:fldChar w:fldCharType="end"/>
        </w:r>
      </w:hyperlink>
    </w:p>
    <w:p w14:paraId="2836E5B6" w14:textId="779B8102" w:rsidR="00976044" w:rsidRDefault="00CC2DF8">
      <w:pPr>
        <w:pStyle w:val="Spistreci1"/>
        <w:tabs>
          <w:tab w:val="right" w:leader="hyphen" w:pos="9062"/>
        </w:tabs>
        <w:rPr>
          <w:rFonts w:asciiTheme="minorHAnsi" w:eastAsiaTheme="minorEastAsia" w:hAnsiTheme="minorHAnsi"/>
          <w:noProof/>
          <w:sz w:val="24"/>
          <w:szCs w:val="24"/>
          <w:lang w:eastAsia="pl-PL"/>
        </w:rPr>
      </w:pPr>
      <w:hyperlink w:anchor="_Toc191908815" w:history="1">
        <w:r w:rsidR="00976044" w:rsidRPr="00E1713D">
          <w:rPr>
            <w:rStyle w:val="Hipercze"/>
            <w:noProof/>
            <w:lang w:bidi="en-US"/>
          </w:rPr>
          <w:t>Spis rycin</w:t>
        </w:r>
        <w:r w:rsidR="00976044">
          <w:rPr>
            <w:noProof/>
            <w:webHidden/>
          </w:rPr>
          <w:tab/>
        </w:r>
        <w:r w:rsidR="00976044">
          <w:rPr>
            <w:noProof/>
            <w:webHidden/>
          </w:rPr>
          <w:fldChar w:fldCharType="begin"/>
        </w:r>
        <w:r w:rsidR="00976044">
          <w:rPr>
            <w:noProof/>
            <w:webHidden/>
          </w:rPr>
          <w:instrText xml:space="preserve"> PAGEREF _Toc191908815 \h </w:instrText>
        </w:r>
        <w:r w:rsidR="00976044">
          <w:rPr>
            <w:noProof/>
            <w:webHidden/>
          </w:rPr>
        </w:r>
        <w:r w:rsidR="00976044">
          <w:rPr>
            <w:noProof/>
            <w:webHidden/>
          </w:rPr>
          <w:fldChar w:fldCharType="separate"/>
        </w:r>
        <w:r w:rsidR="00976044">
          <w:rPr>
            <w:noProof/>
            <w:webHidden/>
          </w:rPr>
          <w:t>178</w:t>
        </w:r>
        <w:r w:rsidR="00976044">
          <w:rPr>
            <w:noProof/>
            <w:webHidden/>
          </w:rPr>
          <w:fldChar w:fldCharType="end"/>
        </w:r>
      </w:hyperlink>
    </w:p>
    <w:p w14:paraId="5D17395A" w14:textId="3E51B49F"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816" w:history="1">
        <w:r w:rsidR="00976044" w:rsidRPr="00E1713D">
          <w:rPr>
            <w:rStyle w:val="Hipercze"/>
            <w:noProof/>
            <w:lang w:bidi="en-US"/>
          </w:rPr>
          <w:t>Spis tabel</w:t>
        </w:r>
        <w:r w:rsidR="00976044">
          <w:rPr>
            <w:noProof/>
            <w:webHidden/>
          </w:rPr>
          <w:tab/>
        </w:r>
        <w:r w:rsidR="00976044">
          <w:rPr>
            <w:noProof/>
            <w:webHidden/>
          </w:rPr>
          <w:fldChar w:fldCharType="begin"/>
        </w:r>
        <w:r w:rsidR="00976044">
          <w:rPr>
            <w:noProof/>
            <w:webHidden/>
          </w:rPr>
          <w:instrText xml:space="preserve"> PAGEREF _Toc191908816 \h </w:instrText>
        </w:r>
        <w:r w:rsidR="00976044">
          <w:rPr>
            <w:noProof/>
            <w:webHidden/>
          </w:rPr>
        </w:r>
        <w:r w:rsidR="00976044">
          <w:rPr>
            <w:noProof/>
            <w:webHidden/>
          </w:rPr>
          <w:fldChar w:fldCharType="separate"/>
        </w:r>
        <w:r w:rsidR="00976044">
          <w:rPr>
            <w:noProof/>
            <w:webHidden/>
          </w:rPr>
          <w:t>178</w:t>
        </w:r>
        <w:r w:rsidR="00976044">
          <w:rPr>
            <w:noProof/>
            <w:webHidden/>
          </w:rPr>
          <w:fldChar w:fldCharType="end"/>
        </w:r>
      </w:hyperlink>
    </w:p>
    <w:p w14:paraId="5F002169" w14:textId="5311E933"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817" w:history="1">
        <w:r w:rsidR="00976044" w:rsidRPr="00E1713D">
          <w:rPr>
            <w:rStyle w:val="Hipercze"/>
            <w:noProof/>
            <w:lang w:bidi="en-US"/>
          </w:rPr>
          <w:t>Spis wykresów</w:t>
        </w:r>
        <w:r w:rsidR="00976044">
          <w:rPr>
            <w:noProof/>
            <w:webHidden/>
          </w:rPr>
          <w:tab/>
        </w:r>
        <w:r w:rsidR="00976044">
          <w:rPr>
            <w:noProof/>
            <w:webHidden/>
          </w:rPr>
          <w:fldChar w:fldCharType="begin"/>
        </w:r>
        <w:r w:rsidR="00976044">
          <w:rPr>
            <w:noProof/>
            <w:webHidden/>
          </w:rPr>
          <w:instrText xml:space="preserve"> PAGEREF _Toc191908817 \h </w:instrText>
        </w:r>
        <w:r w:rsidR="00976044">
          <w:rPr>
            <w:noProof/>
            <w:webHidden/>
          </w:rPr>
        </w:r>
        <w:r w:rsidR="00976044">
          <w:rPr>
            <w:noProof/>
            <w:webHidden/>
          </w:rPr>
          <w:fldChar w:fldCharType="separate"/>
        </w:r>
        <w:r w:rsidR="00976044">
          <w:rPr>
            <w:noProof/>
            <w:webHidden/>
          </w:rPr>
          <w:t>179</w:t>
        </w:r>
        <w:r w:rsidR="00976044">
          <w:rPr>
            <w:noProof/>
            <w:webHidden/>
          </w:rPr>
          <w:fldChar w:fldCharType="end"/>
        </w:r>
      </w:hyperlink>
    </w:p>
    <w:p w14:paraId="230EB2AE" w14:textId="6B5276B2" w:rsidR="00976044" w:rsidRDefault="00CC2DF8">
      <w:pPr>
        <w:pStyle w:val="Spistreci2"/>
        <w:tabs>
          <w:tab w:val="right" w:leader="hyphen" w:pos="9062"/>
        </w:tabs>
        <w:rPr>
          <w:rFonts w:asciiTheme="minorHAnsi" w:eastAsiaTheme="minorEastAsia" w:hAnsiTheme="minorHAnsi"/>
          <w:noProof/>
          <w:sz w:val="24"/>
          <w:szCs w:val="24"/>
          <w:lang w:eastAsia="pl-PL"/>
        </w:rPr>
      </w:pPr>
      <w:hyperlink w:anchor="_Toc191908818" w:history="1">
        <w:r w:rsidR="00976044" w:rsidRPr="00E1713D">
          <w:rPr>
            <w:rStyle w:val="Hipercze"/>
            <w:noProof/>
            <w:lang w:bidi="en-US"/>
          </w:rPr>
          <w:t>Spis map</w:t>
        </w:r>
        <w:r w:rsidR="00976044">
          <w:rPr>
            <w:noProof/>
            <w:webHidden/>
          </w:rPr>
          <w:tab/>
        </w:r>
        <w:r w:rsidR="00976044">
          <w:rPr>
            <w:noProof/>
            <w:webHidden/>
          </w:rPr>
          <w:fldChar w:fldCharType="begin"/>
        </w:r>
        <w:r w:rsidR="00976044">
          <w:rPr>
            <w:noProof/>
            <w:webHidden/>
          </w:rPr>
          <w:instrText xml:space="preserve"> PAGEREF _Toc191908818 \h </w:instrText>
        </w:r>
        <w:r w:rsidR="00976044">
          <w:rPr>
            <w:noProof/>
            <w:webHidden/>
          </w:rPr>
        </w:r>
        <w:r w:rsidR="00976044">
          <w:rPr>
            <w:noProof/>
            <w:webHidden/>
          </w:rPr>
          <w:fldChar w:fldCharType="separate"/>
        </w:r>
        <w:r w:rsidR="00976044">
          <w:rPr>
            <w:noProof/>
            <w:webHidden/>
          </w:rPr>
          <w:t>181</w:t>
        </w:r>
        <w:r w:rsidR="00976044">
          <w:rPr>
            <w:noProof/>
            <w:webHidden/>
          </w:rPr>
          <w:fldChar w:fldCharType="end"/>
        </w:r>
      </w:hyperlink>
    </w:p>
    <w:p w14:paraId="53EC5F8A" w14:textId="05E98885" w:rsidR="00FC5439" w:rsidRDefault="000D4659">
      <w:r>
        <w:fldChar w:fldCharType="end"/>
      </w:r>
    </w:p>
    <w:p w14:paraId="563A9CCF" w14:textId="219E8C8A" w:rsidR="00FC5439" w:rsidRDefault="00FC5439">
      <w:r>
        <w:br w:type="page"/>
      </w:r>
    </w:p>
    <w:p w14:paraId="3B1B955B" w14:textId="60938C98" w:rsidR="00F27FD5" w:rsidRDefault="00FC5439" w:rsidP="00FC5439">
      <w:pPr>
        <w:pStyle w:val="Nagwek1"/>
      </w:pPr>
      <w:bookmarkStart w:id="3" w:name="_Toc191908742"/>
      <w:r>
        <w:lastRenderedPageBreak/>
        <w:t xml:space="preserve">1. </w:t>
      </w:r>
      <w:r w:rsidR="00F27FD5">
        <w:t>Wprowadzenie</w:t>
      </w:r>
      <w:bookmarkEnd w:id="3"/>
    </w:p>
    <w:p w14:paraId="35FF550C" w14:textId="0EB7005E" w:rsidR="00AB649E" w:rsidRPr="006551BD" w:rsidRDefault="00AB649E" w:rsidP="00AB649E">
      <w:r w:rsidRPr="006551BD">
        <w:t xml:space="preserve">Strategia </w:t>
      </w:r>
      <w:r w:rsidR="00AA5235" w:rsidRPr="006551BD">
        <w:t>R</w:t>
      </w:r>
      <w:r w:rsidRPr="006551BD">
        <w:t>ozwoju Gminy Opole Lubelskie to podstawowy dokument zarządzania miastem – ogólny, długofalowy plan perspektywicznego rozwoju, określający wizję</w:t>
      </w:r>
      <w:r w:rsidR="00975C1F" w:rsidRPr="006551BD">
        <w:t xml:space="preserve">, </w:t>
      </w:r>
      <w:r w:rsidRPr="006551BD">
        <w:t xml:space="preserve">cele </w:t>
      </w:r>
      <w:r w:rsidR="00975C1F" w:rsidRPr="006551BD">
        <w:t>i</w:t>
      </w:r>
      <w:r w:rsidRPr="006551BD">
        <w:t xml:space="preserve"> kierunki rozwoju </w:t>
      </w:r>
      <w:r w:rsidR="000E43EB">
        <w:t>gminy</w:t>
      </w:r>
      <w:r w:rsidR="00975C1F" w:rsidRPr="006551BD">
        <w:t xml:space="preserve"> oraz przedsięwzięcia strategiczne służące realizacji przyjętych celów.</w:t>
      </w:r>
    </w:p>
    <w:p w14:paraId="444A6690" w14:textId="1D95D9A9" w:rsidR="00975C1F" w:rsidRPr="006551BD" w:rsidRDefault="00AB649E" w:rsidP="006E2A9A">
      <w:r w:rsidRPr="006551BD">
        <w:t>Planowanie strategiczne</w:t>
      </w:r>
      <w:r w:rsidR="006E2A9A" w:rsidRPr="006551BD">
        <w:t xml:space="preserve"> opiera się </w:t>
      </w:r>
      <w:r w:rsidRPr="006551BD">
        <w:t xml:space="preserve">w dużej mierze </w:t>
      </w:r>
      <w:r w:rsidR="006E2A9A" w:rsidRPr="006551BD">
        <w:t>na decyzjach i działaniach zamieszkującej tam społeczności lokalnej i władz samorządowych</w:t>
      </w:r>
      <w:r w:rsidR="00870EEC" w:rsidRPr="006551BD">
        <w:t xml:space="preserve">, a </w:t>
      </w:r>
      <w:r w:rsidR="006E2A9A" w:rsidRPr="006551BD">
        <w:t xml:space="preserve"> </w:t>
      </w:r>
      <w:r w:rsidR="00870EEC" w:rsidRPr="006551BD">
        <w:t>d</w:t>
      </w:r>
      <w:r w:rsidR="006E2A9A" w:rsidRPr="006551BD">
        <w:t xml:space="preserve">o efektywnego zarządzania obszarem potrzebny jest wieloletni plan, który będzie wskazywał kierunki jego dalszego rozwoju. </w:t>
      </w:r>
    </w:p>
    <w:p w14:paraId="325D9100" w14:textId="3661117F" w:rsidR="006E2A9A" w:rsidRDefault="00870EEC" w:rsidP="006E2A9A">
      <w:r w:rsidRPr="006551BD">
        <w:t>Nowe wyzwania wynikające z dynamicznie zmieniającej się sytuacji gospodarczej i społecznej na poziomie kraju</w:t>
      </w:r>
      <w:r w:rsidR="000E43EB">
        <w:t xml:space="preserve"> i</w:t>
      </w:r>
      <w:r w:rsidRPr="006551BD">
        <w:t xml:space="preserve"> województwa oraz doświadczenia związane z funkcjonowaniem administracji samorządowej stały się dla władz Gminy Opole Lubelskie  inspiracją do opracowania Strategii Rozwoju na lata 202</w:t>
      </w:r>
      <w:r w:rsidR="00933D60">
        <w:t>5</w:t>
      </w:r>
      <w:r w:rsidRPr="006551BD">
        <w:t xml:space="preserve"> – 2030 (dalej Strategii). Istotną przesłanką do przygotowania dokumentu jest również konieczność aktualizacji danych, analiz i diagnozy </w:t>
      </w:r>
      <w:r w:rsidR="000E43EB">
        <w:t xml:space="preserve">sytuacji </w:t>
      </w:r>
      <w:r w:rsidRPr="006551BD">
        <w:t>społeczn</w:t>
      </w:r>
      <w:r w:rsidR="000E43EB">
        <w:t xml:space="preserve">ej, </w:t>
      </w:r>
      <w:r w:rsidRPr="006551BD">
        <w:t xml:space="preserve">gospodarczej </w:t>
      </w:r>
      <w:r w:rsidR="000E43EB">
        <w:t xml:space="preserve">i przestrzennej </w:t>
      </w:r>
      <w:r w:rsidRPr="006551BD">
        <w:t xml:space="preserve">obszaru gminy oraz dynamicznie zmieniająca się sytuacja w zakresie zewnętrznych megatrendów na poziomie regionalnym, krajowym i </w:t>
      </w:r>
      <w:r w:rsidR="0004441B">
        <w:t> </w:t>
      </w:r>
      <w:r w:rsidRPr="006551BD">
        <w:t xml:space="preserve">europejskim. Uwarunkowania te, </w:t>
      </w:r>
      <w:r w:rsidR="006E2A9A" w:rsidRPr="006551BD">
        <w:t>wynikają</w:t>
      </w:r>
      <w:r w:rsidRPr="006551BD">
        <w:t xml:space="preserve">ce w dużej mierze </w:t>
      </w:r>
      <w:r w:rsidR="006E2A9A" w:rsidRPr="006551BD">
        <w:t>z celów i kierunków wsparcia jakie zaproponowała Komisja Europejska w ramach perspektywy finansowej 2021–2027 oraz zmieniające</w:t>
      </w:r>
      <w:r w:rsidRPr="006551BD">
        <w:t>go</w:t>
      </w:r>
      <w:r w:rsidR="006E2A9A" w:rsidRPr="006551BD">
        <w:t xml:space="preserve"> się podejści</w:t>
      </w:r>
      <w:r w:rsidRPr="006551BD">
        <w:t>a</w:t>
      </w:r>
      <w:r w:rsidR="006E2A9A" w:rsidRPr="006551BD">
        <w:t xml:space="preserve"> </w:t>
      </w:r>
      <w:r w:rsidRPr="006551BD">
        <w:t xml:space="preserve">administracji rządowej </w:t>
      </w:r>
      <w:r w:rsidR="006E2A9A" w:rsidRPr="006551BD">
        <w:t>do finansowania i współpracy z</w:t>
      </w:r>
      <w:r w:rsidR="005E7EAD">
        <w:t> </w:t>
      </w:r>
      <w:r w:rsidR="006E2A9A" w:rsidRPr="006551BD">
        <w:t xml:space="preserve"> samorządami, wpłynęły na zmiany dokumentów strategicznych na wszystkich szczeblach administracji publicznej w kraju.</w:t>
      </w:r>
    </w:p>
    <w:p w14:paraId="1CDF5CCC" w14:textId="715ABF42" w:rsidR="00D90DA1" w:rsidRPr="006551BD" w:rsidRDefault="00D90DA1" w:rsidP="006E2A9A">
      <w:r w:rsidRPr="00716294">
        <w:t>Istotną przesłanką aktualizacji Strategii była zmiana ustawy o planowaniu i zagospodarowaniu przestrzennym</w:t>
      </w:r>
      <w:r w:rsidR="00716294" w:rsidRPr="00716294">
        <w:t xml:space="preserve"> (Dz.U. 2024 poz. 1130 t.j.)</w:t>
      </w:r>
      <w:r w:rsidRPr="00716294">
        <w:t>, a w konsekwencji zmiana ustawy o samorządzie gminnym</w:t>
      </w:r>
      <w:r w:rsidR="00716294" w:rsidRPr="00716294">
        <w:t xml:space="preserve"> (Dz.U. 2024 poz. 609 </w:t>
      </w:r>
      <w:r w:rsidR="00684697">
        <w:t xml:space="preserve">oraz </w:t>
      </w:r>
      <w:r w:rsidR="00684697" w:rsidRPr="00684697">
        <w:t>Dz.U. 2024 poz.</w:t>
      </w:r>
      <w:r w:rsidR="00684697">
        <w:t xml:space="preserve"> 1465</w:t>
      </w:r>
      <w:r w:rsidR="00716294" w:rsidRPr="00716294">
        <w:t>).</w:t>
      </w:r>
      <w:r w:rsidRPr="00716294">
        <w:t xml:space="preserve"> Ustawy te zmieniają podejście, zakres i tryb opracowania dokumentów strategicznych na poziomie gminy oraz powodują konieczność większej integracji dokumentów strategicznych i planistycznych</w:t>
      </w:r>
      <w:r w:rsidR="00716294" w:rsidRPr="00716294">
        <w:t xml:space="preserve"> (m. in. strategia rozwoju gminy musi być spójna z Planem Ogólnym gminy).</w:t>
      </w:r>
    </w:p>
    <w:p w14:paraId="4A90772E" w14:textId="39723B34" w:rsidR="006E2A9A" w:rsidRPr="006551BD" w:rsidRDefault="006E2A9A" w:rsidP="006E2A9A">
      <w:r w:rsidRPr="006551BD">
        <w:t>Dokument Strategii Gminy Opole Lubelskie na lata 202</w:t>
      </w:r>
      <w:r w:rsidR="00933D60">
        <w:t>5</w:t>
      </w:r>
      <w:r w:rsidR="000E43EB">
        <w:t xml:space="preserve"> </w:t>
      </w:r>
      <w:r w:rsidRPr="006551BD">
        <w:t>-</w:t>
      </w:r>
      <w:r w:rsidR="000E43EB">
        <w:t xml:space="preserve"> </w:t>
      </w:r>
      <w:r w:rsidRPr="006551BD">
        <w:t>2030 uwzględnia przede wszystkim perspektywy i kierunki działań samorządu gminnego oparte o kompetencje wynikające z ustawy o samorządzie gminnym, zarówno w oparciu o dotychczasowe doświadczenia, jak też możliwości wynikające z celów regionalnej i krajowej polityki rozwoju. Dokument powstał w wyniku pracy interdyscyplinarnej grupy złożonej z przedstawicieli gminy</w:t>
      </w:r>
      <w:r w:rsidR="007C7ACE" w:rsidRPr="006551BD">
        <w:t>, lokalnych interesariuszy</w:t>
      </w:r>
      <w:r w:rsidRPr="006551BD">
        <w:t xml:space="preserve"> oraz zewnętrznych konsultantów i ekspertów. </w:t>
      </w:r>
    </w:p>
    <w:p w14:paraId="2338F2CF" w14:textId="01F9767D" w:rsidR="006E2A9A" w:rsidRDefault="006E2A9A" w:rsidP="006E2A9A">
      <w:r w:rsidRPr="006551BD">
        <w:t>Strategia przyjmuje horyzont czasowy do 2030 r. Wynika to m.in. z potrzeby zachowania zgodności z dokumentami strategicznymi i operacyjnymi na poziomie regionalnym i krajowym oraz uwzględnia okres rozliczeniowy projektów współfinansowanych ze środków Unii Europejskiej w perspektywie 2021</w:t>
      </w:r>
      <w:r w:rsidR="000E43EB">
        <w:t xml:space="preserve"> </w:t>
      </w:r>
      <w:r w:rsidRPr="006551BD">
        <w:t>-</w:t>
      </w:r>
      <w:r w:rsidR="000E43EB">
        <w:t xml:space="preserve"> </w:t>
      </w:r>
      <w:r w:rsidRPr="006551BD">
        <w:t>2027.</w:t>
      </w:r>
    </w:p>
    <w:p w14:paraId="3B84103C" w14:textId="6D89C7FA" w:rsidR="00323D48" w:rsidRDefault="00323D48" w:rsidP="00323D48">
      <w:pPr>
        <w:spacing w:after="0"/>
      </w:pPr>
      <w:r>
        <w:t xml:space="preserve">W obliczu nasilających się zmian globalnych oraz stale pojawiających się nowych uwarunkowań, polityka regionalna zarówno na poziomie województwa, jak i kraju, wyznaczyła cele i kierunki działania, które stały się kluczowym elementem determinującym powstanie Strategii Rozwoju. Wśród tych założeń szczególnie istotne znaczenie mają terytorialny wymiar </w:t>
      </w:r>
      <w:r>
        <w:lastRenderedPageBreak/>
        <w:t>wsparcia oraz cele polityki spójności, określone w ramach perspektywy finansowej na lata 2021–2027.</w:t>
      </w:r>
    </w:p>
    <w:p w14:paraId="5B4820D5" w14:textId="59C9A3C0" w:rsidR="00323D48" w:rsidRDefault="00323D48" w:rsidP="00323D48">
      <w:pPr>
        <w:spacing w:after="0"/>
      </w:pPr>
      <w:r>
        <w:t>Równie istotnym aspektem jest wprowadzona zmiana paradygmatu zarządzania rozwojem, wyrażona w kluczowych dokumentach strategicznych, takich jak Krajowa Strategia Rozwoju Regionalnego 2030, Strategia Rozwoju Województwa Lubelskiego 2030 oraz Umowa Partnerstwa dla realizacji polityki spójności na lata 2021–2027 w Polsce. Dokumenty te stanowią systemowe ramy prowadzenia polityki regionalnej, które mają na celu nie tylko wspieranie zrównoważonego rozwoju, ale także zmniejszanie różnic w poziomie rozwoju społeczno-gospodarczego pomiędzy poszczególnymi regionami kraju. Kluczowym założeniem jest zapewnienie większej spójności rozwojowej Polski poprzez ukierunkowane wsparcie dla obszarów o słabszym potencjale gospodarczym, określanych jako obszary strategicznej interwencji.</w:t>
      </w:r>
    </w:p>
    <w:p w14:paraId="4E91AD30" w14:textId="79207733" w:rsidR="00323D48" w:rsidRPr="006551BD" w:rsidRDefault="00323D48" w:rsidP="00323D48">
      <w:r>
        <w:t>W ramach tych systemowych ram dąży się do poprawy sytuacji społeczno-gospodarczej regionów wymagających szczególnej pomocy, co odbywa się poprzez realizację zintegrowanych działań, mających na celu zwiększenie dostępności infrastrukturalnej, rozwój kapitału ludzkiego oraz wspieranie innowacyjności. W ten sposób polityka regionalna staje się narzędziem nie tylko eliminowania istniejących dysproporcji, lecz także wzmacniania potencjału rozwojowego całego kraju, zgodnie z założeniami polityki spójności na szczeblu Unii Europejskiej.</w:t>
      </w:r>
    </w:p>
    <w:p w14:paraId="391801EC" w14:textId="30913A2E" w:rsidR="00AA5235" w:rsidRPr="006551BD" w:rsidRDefault="00AA5235" w:rsidP="006E2A9A">
      <w:r w:rsidRPr="006551BD">
        <w:t>Opracowanie i wdrażanie Strategii wymaga od władz gminy i lokalnych interesariuszy konsekwencji w działaniu oraz poszukiwania nowych rozwiązań i możliwości. Dlatego też dokument nie skupia się na ewidencji potrzeb lokalnej społeczności ale koncentruje się na tych przedsięwzięciach, które zapewniają realizację długofalowych celów, rozwój potencjałów oraz  rozwiązywanie najważniejszych problemów gminy.</w:t>
      </w:r>
    </w:p>
    <w:p w14:paraId="48889B48" w14:textId="254EAC50" w:rsidR="00AA5235" w:rsidRPr="006551BD" w:rsidRDefault="00AA5235" w:rsidP="006E2A9A">
      <w:r w:rsidRPr="006551BD">
        <w:t>Strategia Rozwoju Gminy Opole Lubelskie jest planem realistycznym, dlatego też system wdrażania i zasady współpracy interesariuszy dostosowane zostały do celów i kierunków działań. Te zaś realizowane będą w oparciu o możliwości prawne, organizacyjne i finansowe gminy z uwzględnieniem kompetencji ustawowych, specyfiki oraz uwarunkowań zewnętrznych i zasobów finansowych. Założeniem przyjętym w Strategii jest identyfikacja potencjałów rozwojowych oraz  zasobów (materialnych i niematerialnych) gminy, które mogą stać się źródłem przewagi konkurencyjnej Opola Lubelskiego.</w:t>
      </w:r>
    </w:p>
    <w:p w14:paraId="2BA3111B" w14:textId="5CB40A52" w:rsidR="006E2A9A" w:rsidRPr="006551BD" w:rsidRDefault="006E2A9A" w:rsidP="006E2A9A">
      <w:r w:rsidRPr="006551BD">
        <w:t xml:space="preserve">Część diagnostyczna Strategii obejmuje raport stanu, analizę i diagnozę strategiczną kluczowych uwarunkowań społecznych, gospodarczych i przestrzennych Gminy Opole Lubelskie. Analizę oparto na najbardziej aktualnych danych, dostępnych w statystyce publicznej oraz informacjach przekazanych przez samorząd </w:t>
      </w:r>
      <w:r w:rsidR="001D1C3E" w:rsidRPr="006551BD">
        <w:t>gminy</w:t>
      </w:r>
      <w:r w:rsidRPr="006551BD">
        <w:t xml:space="preserve"> i jego jednostki organizacyjne, opisujących zachodzące trendy i zjawiska. Takie podejście pozw</w:t>
      </w:r>
      <w:r w:rsidR="001D1C3E" w:rsidRPr="006551BD">
        <w:t>ala</w:t>
      </w:r>
      <w:r w:rsidRPr="006551BD">
        <w:t xml:space="preserve"> na wskazanie konkurencyjnej pozycji </w:t>
      </w:r>
      <w:r w:rsidR="001D1C3E" w:rsidRPr="006551BD">
        <w:t>gminy</w:t>
      </w:r>
      <w:r w:rsidRPr="006551BD">
        <w:t>, służy również opracowaniu towarzyszących dokumentów planistycznych oraz monitorowani</w:t>
      </w:r>
      <w:r w:rsidR="00D90DA1">
        <w:t>u</w:t>
      </w:r>
      <w:r w:rsidRPr="006551BD">
        <w:t xml:space="preserve"> rozwoju obszaru</w:t>
      </w:r>
      <w:r w:rsidR="001D1C3E" w:rsidRPr="006551BD">
        <w:t xml:space="preserve"> objętego Strategią</w:t>
      </w:r>
      <w:r w:rsidRPr="006551BD">
        <w:t>.</w:t>
      </w:r>
    </w:p>
    <w:p w14:paraId="43D39E43" w14:textId="32366BBB" w:rsidR="00AF429E" w:rsidRDefault="00AF429E" w:rsidP="006E2A9A">
      <w:r w:rsidRPr="006551BD">
        <w:t xml:space="preserve">Zarówno oddziaływania zewnętrzne, wynikające z niezależnych od samorządu gminy warunków oraz działań otoczenia społeczno - gospodarczego, jak też uwarunkowania wewnętrzne wynikające z zasobów, zjawisk, zdarzeń, mechanizmów i procesów </w:t>
      </w:r>
      <w:r w:rsidRPr="006551BD">
        <w:lastRenderedPageBreak/>
        <w:t xml:space="preserve">umiejscowionych w gminie, posłużyły ustaleniu, celów </w:t>
      </w:r>
      <w:r w:rsidR="00D90DA1">
        <w:t xml:space="preserve">strategicznych i </w:t>
      </w:r>
      <w:r w:rsidRPr="006551BD">
        <w:t>operacyjnych/</w:t>
      </w:r>
      <w:r w:rsidR="0004441B">
        <w:t xml:space="preserve"> </w:t>
      </w:r>
      <w:r w:rsidRPr="006551BD">
        <w:t>kierunków działań oraz propozycji przedsięwzięć do realizacji.</w:t>
      </w:r>
    </w:p>
    <w:p w14:paraId="2F363923" w14:textId="7CF6E8E6" w:rsidR="00323D48" w:rsidRDefault="00323D48" w:rsidP="00323D48">
      <w:pPr>
        <w:spacing w:after="0"/>
      </w:pPr>
      <w:r>
        <w:t>W procesie wdrażania i monitorowania Strategii kluczowe jest uwzględnienie dynamicznie zmieniającej się sytuacji makroekonomicznej zarówno w kraju, jak i na świecie, która jest wynikiem szeregu współczesnych wyzwań. W szczególności należy zwrócić uwagę na skutki postępującego kryzysu gospodarczego, który znacząco wpływa na stabilność finansową oraz struktury ekonomiczne, długofalowe konsekwencje pandemii COVID-19, które wciąż kształtują rzeczywistość społeczną i gospodarczą, a także głębokie skutki społeczne i gospodarcze trwającej wojny w Ukrainie.</w:t>
      </w:r>
    </w:p>
    <w:p w14:paraId="4173AC2E" w14:textId="4539B33B" w:rsidR="00323D48" w:rsidRDefault="00323D48" w:rsidP="00323D48">
      <w:pPr>
        <w:spacing w:after="0"/>
      </w:pPr>
      <w:r>
        <w:t>Każde z tych zjawisk oddziałuje na różne aspekty życia społeczno-gospodarczego, takich jak rynek pracy, łańcuchy dostaw, inflacja, czy kwestie bezpieczeństwa energetycznego. Ich efekty są nie tylko różnorodne, ale także zmienne w czasie, co wymaga elastycznego podejścia oraz systematycznej rewizji założeń strategicznych.</w:t>
      </w:r>
    </w:p>
    <w:p w14:paraId="5D96599D" w14:textId="7E0FAF41" w:rsidR="006529E3" w:rsidRDefault="00323D48" w:rsidP="006529E3">
      <w:r>
        <w:t>Jednocześnie należy zauważyć, że złożoność i dynamika procesów związanych z</w:t>
      </w:r>
      <w:r w:rsidR="00783FE0">
        <w:t> </w:t>
      </w:r>
      <w:r>
        <w:t>wymienionymi zjawiskami powodują, iż ich analiza wymaga wieloaspektowego podejścia badawczego. W związku z tym aspekty społeczne i gospodarcze powyższych zjawisk pozostają nieustannie w centrum zainteresowania ekspertów, stanowiąc przedmiot obecnych oraz przyszłych badań i analiz. Wnioski płynące z tych prac badawczych będą kluczowe dla bieżącego dostosowywania narzędzi wdrożeniowych i monitorujących Strategię do zmieniających się warunków, a także dla budowy bardziej odpornych i zrównoważonych mechanizmów rozwojowych.</w:t>
      </w:r>
    </w:p>
    <w:p w14:paraId="40B137F6" w14:textId="77777777" w:rsidR="00323D48" w:rsidRDefault="00323D48" w:rsidP="006529E3"/>
    <w:p w14:paraId="43574437" w14:textId="77777777" w:rsidR="00524457" w:rsidRDefault="00524457" w:rsidP="006529E3"/>
    <w:p w14:paraId="713A9C56" w14:textId="77777777" w:rsidR="00524457" w:rsidRDefault="00524457" w:rsidP="006529E3"/>
    <w:p w14:paraId="1CB2ED5E" w14:textId="77777777" w:rsidR="00524457" w:rsidRDefault="00524457" w:rsidP="006529E3"/>
    <w:p w14:paraId="25355E13" w14:textId="77777777" w:rsidR="00524457" w:rsidRDefault="00524457" w:rsidP="006529E3"/>
    <w:p w14:paraId="192EA2A8" w14:textId="77777777" w:rsidR="00524457" w:rsidRDefault="00524457" w:rsidP="006529E3"/>
    <w:p w14:paraId="0627BDAC" w14:textId="77777777" w:rsidR="00524457" w:rsidRDefault="00524457" w:rsidP="006529E3"/>
    <w:p w14:paraId="1AFE214E" w14:textId="77777777" w:rsidR="00524457" w:rsidRDefault="00524457" w:rsidP="006529E3"/>
    <w:p w14:paraId="50233D62" w14:textId="77777777" w:rsidR="00524457" w:rsidRDefault="00524457" w:rsidP="006529E3"/>
    <w:p w14:paraId="514BA1BE" w14:textId="77777777" w:rsidR="00524457" w:rsidRDefault="00524457" w:rsidP="006529E3"/>
    <w:p w14:paraId="7D9076B9" w14:textId="77777777" w:rsidR="00524457" w:rsidRDefault="00524457" w:rsidP="006529E3"/>
    <w:p w14:paraId="3AAAA027" w14:textId="77777777" w:rsidR="00524457" w:rsidRDefault="00524457" w:rsidP="006529E3"/>
    <w:p w14:paraId="69A85381" w14:textId="77777777" w:rsidR="00524457" w:rsidRDefault="00524457" w:rsidP="006529E3"/>
    <w:p w14:paraId="6C95E997" w14:textId="77777777" w:rsidR="00A22A70" w:rsidRDefault="00A22A70" w:rsidP="006529E3"/>
    <w:p w14:paraId="018F1973" w14:textId="77777777" w:rsidR="00A22A70" w:rsidRDefault="00A22A70" w:rsidP="006529E3"/>
    <w:p w14:paraId="6EC10672" w14:textId="77777777" w:rsidR="00A22A70" w:rsidRDefault="00A22A70" w:rsidP="006529E3"/>
    <w:p w14:paraId="261EEA11" w14:textId="0821A14E" w:rsidR="00A22A70" w:rsidRPr="009A6F89" w:rsidRDefault="00A22A70" w:rsidP="00A22A70">
      <w:pPr>
        <w:pStyle w:val="Styl2"/>
        <w:rPr>
          <w:u w:val="single"/>
        </w:rPr>
      </w:pPr>
      <w:bookmarkStart w:id="4" w:name="_Toc191908743"/>
      <w:r w:rsidRPr="009A6F89">
        <w:rPr>
          <w:u w:val="single"/>
        </w:rPr>
        <w:lastRenderedPageBreak/>
        <w:t>A. CZĘŚĆ DIAGNOSTYCZNA</w:t>
      </w:r>
      <w:bookmarkEnd w:id="4"/>
    </w:p>
    <w:p w14:paraId="48127DDB" w14:textId="7CC4746B" w:rsidR="00F27FD5" w:rsidRDefault="00FC5439" w:rsidP="00975C1F">
      <w:pPr>
        <w:pStyle w:val="Nagwek1"/>
        <w:jc w:val="left"/>
      </w:pPr>
      <w:bookmarkStart w:id="5" w:name="_Toc191908744"/>
      <w:r>
        <w:t xml:space="preserve">2. </w:t>
      </w:r>
      <w:r w:rsidR="003F2001">
        <w:t>D</w:t>
      </w:r>
      <w:r w:rsidR="00F27FD5">
        <w:t>iagnoz</w:t>
      </w:r>
      <w:r w:rsidR="00EA4E0B">
        <w:t>a</w:t>
      </w:r>
      <w:r w:rsidR="00F27FD5">
        <w:t xml:space="preserve"> sytuacji społecznej, gospodarczej i przestrzennej</w:t>
      </w:r>
      <w:r w:rsidR="0005404A">
        <w:t xml:space="preserve"> oraz wnioski z diagnozy</w:t>
      </w:r>
      <w:bookmarkEnd w:id="5"/>
    </w:p>
    <w:p w14:paraId="40E3A040" w14:textId="2F230EE4" w:rsidR="00305625" w:rsidRDefault="00305625" w:rsidP="00305625">
      <w:r>
        <w:t xml:space="preserve">Przeprowadzona dla obszaru Gminy Opole Lubelskie diagnoza przedstawia </w:t>
      </w:r>
      <w:r w:rsidR="004937E2">
        <w:t>obecną</w:t>
      </w:r>
      <w:r>
        <w:t xml:space="preserve"> sytuacj</w:t>
      </w:r>
      <w:r w:rsidR="004937E2">
        <w:t>ę</w:t>
      </w:r>
      <w:r>
        <w:t xml:space="preserve"> </w:t>
      </w:r>
      <w:r w:rsidR="004937E2">
        <w:t xml:space="preserve">obszaru gminy </w:t>
      </w:r>
      <w:r>
        <w:t xml:space="preserve">oraz </w:t>
      </w:r>
      <w:r w:rsidR="004937E2">
        <w:t xml:space="preserve">zmiany </w:t>
      </w:r>
      <w:r>
        <w:t>zachodzące w sferze społecznej, gospodarczej, przestrzennej i środowiskowej.</w:t>
      </w:r>
      <w:r w:rsidR="004937E2">
        <w:t xml:space="preserve"> </w:t>
      </w:r>
      <w:r>
        <w:t>Przedstawiony portret gminy zawiera informacje w formie opisowej i statystycznej. Na potrzeby przeprowadzonej analizy wykorzystano dostępne dane agregowane w wartościach bezwzględnych oraz w postaci wskaźników statystycznych, uwzględniających różnorodne aspekty szeroko rozumianego potencjału</w:t>
      </w:r>
      <w:r w:rsidR="004937E2">
        <w:t xml:space="preserve"> rozwojowego gminy</w:t>
      </w:r>
      <w:r>
        <w:t xml:space="preserve">. Podstawą do jej przeprowadzenia były bazy danych Głównego Urzędu Statystycznego oraz dane udostępnione przez jednostki organizacyjne gminy. </w:t>
      </w:r>
    </w:p>
    <w:p w14:paraId="764E4977" w14:textId="7CE3A1A1" w:rsidR="00933D60" w:rsidRDefault="0005404A" w:rsidP="00305625">
      <w:r w:rsidRPr="0005404A">
        <w:rPr>
          <w:b/>
          <w:bCs/>
        </w:rPr>
        <w:t xml:space="preserve">Diagnozie towarzyszą wnioski sformułowane dla </w:t>
      </w:r>
      <w:r w:rsidR="00933D60">
        <w:rPr>
          <w:b/>
          <w:bCs/>
        </w:rPr>
        <w:t>siedmiu</w:t>
      </w:r>
      <w:r w:rsidR="00305625" w:rsidRPr="0005404A">
        <w:rPr>
          <w:b/>
          <w:bCs/>
        </w:rPr>
        <w:t xml:space="preserve"> zasadniczych działów</w:t>
      </w:r>
      <w:r w:rsidR="00305625">
        <w:t xml:space="preserve">: </w:t>
      </w:r>
    </w:p>
    <w:p w14:paraId="32B78B3D" w14:textId="32C16617" w:rsidR="00933D60" w:rsidRDefault="00933D60">
      <w:pPr>
        <w:pStyle w:val="Akapitzlist"/>
        <w:numPr>
          <w:ilvl w:val="0"/>
          <w:numId w:val="99"/>
        </w:numPr>
      </w:pPr>
      <w:r>
        <w:t>P</w:t>
      </w:r>
      <w:r w:rsidR="0005404A">
        <w:t xml:space="preserve">ołożenie, </w:t>
      </w:r>
      <w:r w:rsidR="00305625">
        <w:t xml:space="preserve">przestrzeń i środowisko, </w:t>
      </w:r>
    </w:p>
    <w:p w14:paraId="3BA4DB43" w14:textId="1663ADDE" w:rsidR="00933D60" w:rsidRDefault="00933D60">
      <w:pPr>
        <w:pStyle w:val="Akapitzlist"/>
        <w:numPr>
          <w:ilvl w:val="0"/>
          <w:numId w:val="99"/>
        </w:numPr>
      </w:pPr>
      <w:r>
        <w:t>D</w:t>
      </w:r>
      <w:r w:rsidR="00305625">
        <w:t xml:space="preserve">emografia i </w:t>
      </w:r>
      <w:r w:rsidR="0005404A">
        <w:t>potencjał społeczny</w:t>
      </w:r>
      <w:r w:rsidR="00305625">
        <w:t xml:space="preserve">, </w:t>
      </w:r>
    </w:p>
    <w:p w14:paraId="47B1B981" w14:textId="0B70EBB9" w:rsidR="00933D60" w:rsidRDefault="00933D60">
      <w:pPr>
        <w:pStyle w:val="Akapitzlist"/>
        <w:numPr>
          <w:ilvl w:val="0"/>
          <w:numId w:val="99"/>
        </w:numPr>
      </w:pPr>
      <w:r>
        <w:t>R</w:t>
      </w:r>
      <w:r w:rsidR="0005404A">
        <w:t xml:space="preserve">ynek pracy, </w:t>
      </w:r>
    </w:p>
    <w:p w14:paraId="4272D195" w14:textId="27FFDEFF" w:rsidR="00933D60" w:rsidRDefault="00933D60">
      <w:pPr>
        <w:pStyle w:val="Akapitzlist"/>
        <w:numPr>
          <w:ilvl w:val="0"/>
          <w:numId w:val="99"/>
        </w:numPr>
      </w:pPr>
      <w:r>
        <w:t>P</w:t>
      </w:r>
      <w:r w:rsidR="00305625">
        <w:t xml:space="preserve">otencjał gospodarczy, </w:t>
      </w:r>
    </w:p>
    <w:p w14:paraId="0E6835CA" w14:textId="7FC92FA8" w:rsidR="00933D60" w:rsidRDefault="00933D60">
      <w:pPr>
        <w:pStyle w:val="Akapitzlist"/>
        <w:numPr>
          <w:ilvl w:val="0"/>
          <w:numId w:val="99"/>
        </w:numPr>
      </w:pPr>
      <w:r>
        <w:t>I</w:t>
      </w:r>
      <w:r w:rsidR="00305625">
        <w:t xml:space="preserve">nfrastruktura techniczna, </w:t>
      </w:r>
    </w:p>
    <w:p w14:paraId="23D45314" w14:textId="0E42C708" w:rsidR="00933D60" w:rsidRDefault="00933D60">
      <w:pPr>
        <w:pStyle w:val="Akapitzlist"/>
        <w:numPr>
          <w:ilvl w:val="0"/>
          <w:numId w:val="99"/>
        </w:numPr>
      </w:pPr>
      <w:r>
        <w:t>I</w:t>
      </w:r>
      <w:r w:rsidR="00305625">
        <w:t xml:space="preserve">nfrastruktura społeczna </w:t>
      </w:r>
      <w:r w:rsidR="0005404A">
        <w:t xml:space="preserve">i zaspokajanie potrzeb mieszkańców </w:t>
      </w:r>
    </w:p>
    <w:p w14:paraId="77877E94" w14:textId="76777BDA" w:rsidR="00305625" w:rsidRDefault="00933D60">
      <w:pPr>
        <w:pStyle w:val="Akapitzlist"/>
        <w:numPr>
          <w:ilvl w:val="0"/>
          <w:numId w:val="99"/>
        </w:numPr>
      </w:pPr>
      <w:r>
        <w:t>J</w:t>
      </w:r>
      <w:r w:rsidR="00305625">
        <w:t>akość zarządzania</w:t>
      </w:r>
      <w:r w:rsidR="0005404A">
        <w:t xml:space="preserve"> i sytuacja finansowa</w:t>
      </w:r>
      <w:r w:rsidR="00305625">
        <w:t xml:space="preserve">. </w:t>
      </w:r>
    </w:p>
    <w:p w14:paraId="240FF0F9" w14:textId="7C8451D1" w:rsidR="00305625" w:rsidRDefault="00305625" w:rsidP="00305625">
      <w:r>
        <w:t xml:space="preserve">Zakres przestrzenny obejmuje </w:t>
      </w:r>
      <w:r w:rsidRPr="0005404A">
        <w:t>granice administracyjne Gminy Opole Lubelskie, natomiast zakres czasowy obejmuje lata 201</w:t>
      </w:r>
      <w:r w:rsidR="0005404A" w:rsidRPr="0005404A">
        <w:t>4</w:t>
      </w:r>
      <w:r w:rsidR="00746A76" w:rsidRPr="0005404A">
        <w:t xml:space="preserve"> </w:t>
      </w:r>
      <w:r w:rsidRPr="0005404A">
        <w:t>-</w:t>
      </w:r>
      <w:r w:rsidR="00746A76" w:rsidRPr="0005404A">
        <w:t xml:space="preserve"> </w:t>
      </w:r>
      <w:r w:rsidRPr="0005404A">
        <w:t>202</w:t>
      </w:r>
      <w:r w:rsidR="0005404A" w:rsidRPr="0005404A">
        <w:t>3</w:t>
      </w:r>
      <w:r w:rsidRPr="0005404A">
        <w:t>. Jeżeli</w:t>
      </w:r>
      <w:r>
        <w:t xml:space="preserve"> było to możliwe, zaprezentowano nowsze informacje i dane, które wnoszą wartość dodaną do części analitycznej. W niektórych sytuacjach dane statystyczne obejmowały lata starsze, co wynika z określonej cykliczności przeprowadzania przez Główny Urząd Statystyczny spisów i badań tematycznych. </w:t>
      </w:r>
    </w:p>
    <w:p w14:paraId="293462CA" w14:textId="77777777" w:rsidR="0058289F" w:rsidRDefault="0058289F" w:rsidP="00FC15E9">
      <w:pPr>
        <w:spacing w:after="160" w:line="259" w:lineRule="auto"/>
        <w:jc w:val="left"/>
        <w:rPr>
          <w:b/>
          <w:bCs/>
          <w:color w:val="FF0000"/>
          <w:lang w:bidi="en-US"/>
        </w:rPr>
      </w:pPr>
    </w:p>
    <w:p w14:paraId="3E28C3BD" w14:textId="77777777" w:rsidR="003F2001" w:rsidRDefault="003F2001" w:rsidP="00FC15E9">
      <w:pPr>
        <w:spacing w:after="160" w:line="259" w:lineRule="auto"/>
        <w:jc w:val="left"/>
        <w:rPr>
          <w:b/>
          <w:bCs/>
          <w:color w:val="FF0000"/>
          <w:lang w:bidi="en-US"/>
        </w:rPr>
      </w:pPr>
    </w:p>
    <w:p w14:paraId="76F729CB" w14:textId="77777777" w:rsidR="003F2001" w:rsidRDefault="003F2001" w:rsidP="00FC15E9">
      <w:pPr>
        <w:spacing w:after="160" w:line="259" w:lineRule="auto"/>
        <w:jc w:val="left"/>
        <w:rPr>
          <w:b/>
          <w:bCs/>
          <w:color w:val="FF0000"/>
          <w:lang w:bidi="en-US"/>
        </w:rPr>
      </w:pPr>
    </w:p>
    <w:p w14:paraId="610E2FFA" w14:textId="77777777" w:rsidR="003F2001" w:rsidRDefault="003F2001" w:rsidP="00FC15E9">
      <w:pPr>
        <w:spacing w:after="160" w:line="259" w:lineRule="auto"/>
        <w:jc w:val="left"/>
        <w:rPr>
          <w:b/>
          <w:bCs/>
          <w:color w:val="FF0000"/>
          <w:lang w:bidi="en-US"/>
        </w:rPr>
      </w:pPr>
    </w:p>
    <w:p w14:paraId="325410DF" w14:textId="77777777" w:rsidR="003F2001" w:rsidRDefault="003F2001" w:rsidP="00FC15E9">
      <w:pPr>
        <w:spacing w:after="160" w:line="259" w:lineRule="auto"/>
        <w:jc w:val="left"/>
        <w:rPr>
          <w:b/>
          <w:bCs/>
          <w:color w:val="FF0000"/>
          <w:lang w:bidi="en-US"/>
        </w:rPr>
      </w:pPr>
    </w:p>
    <w:p w14:paraId="5C7D4585" w14:textId="77777777" w:rsidR="003F2001" w:rsidRDefault="003F2001" w:rsidP="00FC15E9">
      <w:pPr>
        <w:spacing w:after="160" w:line="259" w:lineRule="auto"/>
        <w:jc w:val="left"/>
        <w:rPr>
          <w:b/>
          <w:bCs/>
          <w:color w:val="FF0000"/>
          <w:lang w:bidi="en-US"/>
        </w:rPr>
      </w:pPr>
    </w:p>
    <w:p w14:paraId="6DE2AC8E" w14:textId="77777777" w:rsidR="003F2001" w:rsidRDefault="003F2001" w:rsidP="00FC15E9">
      <w:pPr>
        <w:spacing w:after="160" w:line="259" w:lineRule="auto"/>
        <w:jc w:val="left"/>
        <w:rPr>
          <w:b/>
          <w:bCs/>
          <w:color w:val="FF0000"/>
          <w:lang w:bidi="en-US"/>
        </w:rPr>
      </w:pPr>
    </w:p>
    <w:p w14:paraId="00C1F246" w14:textId="77777777" w:rsidR="003F2001" w:rsidRDefault="003F2001" w:rsidP="00FC15E9">
      <w:pPr>
        <w:spacing w:after="160" w:line="259" w:lineRule="auto"/>
        <w:jc w:val="left"/>
        <w:rPr>
          <w:b/>
          <w:bCs/>
          <w:color w:val="FF0000"/>
          <w:lang w:bidi="en-US"/>
        </w:rPr>
      </w:pPr>
    </w:p>
    <w:p w14:paraId="376B41F3" w14:textId="77777777" w:rsidR="003F2001" w:rsidRDefault="003F2001" w:rsidP="00FC15E9">
      <w:pPr>
        <w:spacing w:after="160" w:line="259" w:lineRule="auto"/>
        <w:jc w:val="left"/>
        <w:rPr>
          <w:b/>
          <w:bCs/>
          <w:color w:val="FF0000"/>
          <w:lang w:bidi="en-US"/>
        </w:rPr>
      </w:pPr>
    </w:p>
    <w:p w14:paraId="7C91457C" w14:textId="77777777" w:rsidR="003F2001" w:rsidRDefault="003F2001" w:rsidP="00FC15E9">
      <w:pPr>
        <w:spacing w:after="160" w:line="259" w:lineRule="auto"/>
        <w:jc w:val="left"/>
        <w:rPr>
          <w:b/>
          <w:bCs/>
          <w:color w:val="FF0000"/>
          <w:lang w:bidi="en-US"/>
        </w:rPr>
      </w:pPr>
    </w:p>
    <w:p w14:paraId="2BD397D9" w14:textId="77777777" w:rsidR="003F2001" w:rsidRDefault="003F2001" w:rsidP="00FC15E9">
      <w:pPr>
        <w:spacing w:after="160" w:line="259" w:lineRule="auto"/>
        <w:jc w:val="left"/>
        <w:rPr>
          <w:b/>
          <w:bCs/>
          <w:color w:val="FF0000"/>
          <w:lang w:bidi="en-US"/>
        </w:rPr>
      </w:pPr>
    </w:p>
    <w:p w14:paraId="29EE7055" w14:textId="77777777" w:rsidR="00F909DD" w:rsidRDefault="00F909DD" w:rsidP="00FC15E9">
      <w:pPr>
        <w:spacing w:after="160" w:line="259" w:lineRule="auto"/>
        <w:jc w:val="left"/>
        <w:rPr>
          <w:b/>
          <w:bCs/>
          <w:color w:val="FF0000"/>
          <w:lang w:bidi="en-US"/>
        </w:rPr>
      </w:pPr>
    </w:p>
    <w:p w14:paraId="432CD2A4" w14:textId="3E1D1FFC" w:rsidR="003F2001" w:rsidRPr="003F2001" w:rsidRDefault="003F2001" w:rsidP="00941F1D">
      <w:pPr>
        <w:pStyle w:val="Nagwek1"/>
        <w:rPr>
          <w:lang w:bidi="en-US"/>
        </w:rPr>
      </w:pPr>
      <w:bookmarkStart w:id="6" w:name="_Toc173435430"/>
      <w:bookmarkStart w:id="7" w:name="_Toc191908745"/>
      <w:r>
        <w:rPr>
          <w:lang w:bidi="en-US"/>
        </w:rPr>
        <w:lastRenderedPageBreak/>
        <w:t xml:space="preserve">2.1 </w:t>
      </w:r>
      <w:r w:rsidRPr="003F2001">
        <w:rPr>
          <w:lang w:bidi="en-US"/>
        </w:rPr>
        <w:t>Położenie, przestrzeń i środowisko</w:t>
      </w:r>
      <w:bookmarkEnd w:id="6"/>
      <w:bookmarkEnd w:id="7"/>
    </w:p>
    <w:p w14:paraId="2999B7B8" w14:textId="34A30953" w:rsidR="003F2001" w:rsidRPr="003F2001" w:rsidRDefault="003F2001" w:rsidP="00941F1D">
      <w:pPr>
        <w:pStyle w:val="Nagwek2"/>
      </w:pPr>
      <w:bookmarkStart w:id="8" w:name="_Toc173435431"/>
      <w:bookmarkStart w:id="9" w:name="_Toc191908746"/>
      <w:r>
        <w:t xml:space="preserve">2.1.1 </w:t>
      </w:r>
      <w:r w:rsidRPr="003F2001">
        <w:t>Położenie</w:t>
      </w:r>
      <w:bookmarkEnd w:id="8"/>
      <w:bookmarkEnd w:id="9"/>
    </w:p>
    <w:p w14:paraId="0929D508" w14:textId="77777777" w:rsidR="003F2001" w:rsidRPr="003F2001" w:rsidRDefault="003F2001" w:rsidP="003F2001">
      <w:pPr>
        <w:spacing w:line="276" w:lineRule="auto"/>
        <w:rPr>
          <w:rFonts w:eastAsia="Times New Roman" w:cs="Times New Roman"/>
          <w:kern w:val="0"/>
          <w:szCs w:val="20"/>
          <w14:ligatures w14:val="none"/>
        </w:rPr>
      </w:pPr>
      <w:bookmarkStart w:id="10" w:name="_Hlk170405898"/>
      <w:r w:rsidRPr="003F2001">
        <w:rPr>
          <w:rFonts w:eastAsia="Times New Roman" w:cs="Times New Roman"/>
          <w:b/>
          <w:bCs/>
          <w:color w:val="4D160F"/>
          <w:kern w:val="0"/>
          <w:szCs w:val="20"/>
          <w14:ligatures w14:val="none"/>
        </w:rPr>
        <w:t>Gmina miejsko-wiejska Opole Lubelskie</w:t>
      </w:r>
      <w:r w:rsidRPr="003F2001">
        <w:rPr>
          <w:rFonts w:eastAsia="Times New Roman" w:cs="Times New Roman"/>
          <w:color w:val="4D160F"/>
          <w:kern w:val="0"/>
          <w:szCs w:val="20"/>
          <w14:ligatures w14:val="none"/>
        </w:rPr>
        <w:t xml:space="preserve"> </w:t>
      </w:r>
      <w:r w:rsidRPr="003F2001">
        <w:rPr>
          <w:rFonts w:eastAsia="Times New Roman" w:cs="Times New Roman"/>
          <w:kern w:val="0"/>
          <w:szCs w:val="20"/>
          <w14:ligatures w14:val="none"/>
        </w:rPr>
        <w:t xml:space="preserve">położona jest w zachodniej części województwa lubelskiego i sąsiaduje z sześcioma gminami: Chodel, Poniatowa, Karczmiska, Urzędów, Łaziska, Józefów nad Wisłą. Powierzchnia administracyjna gminy wynosi 19 373 ha, </w:t>
      </w:r>
      <w:bookmarkEnd w:id="10"/>
      <w:r w:rsidRPr="003F2001">
        <w:rPr>
          <w:rFonts w:eastAsia="Times New Roman" w:cs="Times New Roman"/>
          <w:kern w:val="0"/>
          <w:szCs w:val="20"/>
          <w14:ligatures w14:val="none"/>
        </w:rPr>
        <w:t>co stanowi 23,9% powierzchni powiatu opolskiego oraz 0,8% powierzchni województwa lubelskiego.</w:t>
      </w:r>
    </w:p>
    <w:p w14:paraId="24DE3673" w14:textId="77777777" w:rsidR="003F2001" w:rsidRPr="003F2001" w:rsidRDefault="003F2001" w:rsidP="003F2001">
      <w:pPr>
        <w:spacing w:line="276" w:lineRule="auto"/>
        <w:rPr>
          <w:rFonts w:eastAsia="Times New Roman" w:cs="Times New Roman"/>
          <w:kern w:val="0"/>
          <w:szCs w:val="20"/>
          <w14:ligatures w14:val="none"/>
        </w:rPr>
      </w:pPr>
      <w:r w:rsidRPr="003F2001">
        <w:rPr>
          <w:rFonts w:eastAsia="Times New Roman" w:cs="Times New Roman"/>
          <w:kern w:val="0"/>
          <w:szCs w:val="20"/>
          <w14:ligatures w14:val="none"/>
        </w:rPr>
        <w:t>Opole Lubelskie położone jest w bliskiej odległości od stolicy województwa i kraju: Lublina – 50 km oraz Warszawy – 177 km. W zakresie zewnętrznych relacji przestrzennych decydujące znaczenie dla Gminy Opole Lubelskie ma względna bliskość Lublina i aglomeracji lubelskiej. Opole znajduje się w bliskiej zewnętrznej strefie aglomeracji, co oznacza, że ma z nią potencjalnie silne związki funkcjonalne, które powinny być wykorzystywane. Nie bez znaczenia dla gminy jest również kierunek powiązań Opola Lubelskiego z Kraśnikiem przez Urzędów. Jest to jednocześnie dogodne powiązanie gminy z przebiegającą przez Kraśnik trasą S19 o randze krajowej i międzynarodowej.</w:t>
      </w:r>
    </w:p>
    <w:p w14:paraId="7BDBA97F" w14:textId="37815852" w:rsidR="003F2001" w:rsidRPr="003F2001" w:rsidRDefault="003F2001" w:rsidP="003F2001">
      <w:pPr>
        <w:spacing w:line="276" w:lineRule="auto"/>
        <w:rPr>
          <w:rFonts w:eastAsia="Calibri" w:cs="Times New Roman"/>
          <w:b/>
          <w:bCs/>
          <w:color w:val="7B230B"/>
          <w:kern w:val="0"/>
          <w:sz w:val="16"/>
          <w:szCs w:val="19"/>
          <w14:ligatures w14:val="none"/>
        </w:rPr>
      </w:pPr>
      <w:bookmarkStart w:id="11" w:name="_Toc189166405"/>
      <w:r w:rsidRPr="003F2001">
        <w:rPr>
          <w:rFonts w:eastAsia="Calibri" w:cs="Times New Roman"/>
          <w:b/>
          <w:bCs/>
          <w:color w:val="7B230B"/>
          <w:kern w:val="0"/>
          <w:sz w:val="16"/>
          <w:szCs w:val="19"/>
          <w14:ligatures w14:val="none"/>
        </w:rPr>
        <w:t xml:space="preserve">Ryc.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Ryc.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Położenie Gminy Opole Lubelskie w województwie lubelskim</w:t>
      </w:r>
      <w:bookmarkEnd w:id="11"/>
    </w:p>
    <w:p w14:paraId="35027788" w14:textId="77777777" w:rsidR="003F2001" w:rsidRPr="003F2001" w:rsidRDefault="003F2001" w:rsidP="003F2001">
      <w:pPr>
        <w:spacing w:line="276" w:lineRule="auto"/>
        <w:jc w:val="center"/>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19443749" wp14:editId="6909A92F">
            <wp:extent cx="4140000" cy="5080446"/>
            <wp:effectExtent l="0" t="0" r="0" b="6350"/>
            <wp:docPr id="956968116" name="Obraz 956968116"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mapa&#10;&#10;Opis wygenerowany automatyczni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0000" cy="5080446"/>
                    </a:xfrm>
                    <a:prstGeom prst="rect">
                      <a:avLst/>
                    </a:prstGeom>
                  </pic:spPr>
                </pic:pic>
              </a:graphicData>
            </a:graphic>
          </wp:inline>
        </w:drawing>
      </w:r>
    </w:p>
    <w:p w14:paraId="3AB062C4" w14:textId="77777777" w:rsidR="003F2001" w:rsidRPr="003F2001" w:rsidRDefault="003F2001" w:rsidP="003F2001">
      <w:pPr>
        <w:spacing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w:t>
      </w:r>
    </w:p>
    <w:p w14:paraId="1BC9C230" w14:textId="77777777" w:rsidR="003F2001" w:rsidRPr="003F2001" w:rsidRDefault="003F2001" w:rsidP="003F2001">
      <w:pPr>
        <w:spacing w:before="240" w:line="276" w:lineRule="auto"/>
        <w:rPr>
          <w:rFonts w:eastAsia="Times New Roman" w:cs="Times New Roman"/>
          <w:kern w:val="0"/>
          <w:szCs w:val="20"/>
          <w14:ligatures w14:val="none"/>
        </w:rPr>
      </w:pPr>
      <w:r w:rsidRPr="003F2001">
        <w:rPr>
          <w:rFonts w:eastAsia="Times New Roman" w:cs="Times New Roman"/>
          <w:kern w:val="0"/>
          <w:szCs w:val="20"/>
          <w14:ligatures w14:val="none"/>
        </w:rPr>
        <w:lastRenderedPageBreak/>
        <w:t>W geograficznej strukturze gminy, w jej centrum znajduje się obszar miejski. Mimo częściowego wydzielenia administracyjnego oba obszary – miasto oraz otaczający je obszar wiejski – stanowią wspólną strukturę funkcjonalną. Miasto Opole Lubelskie jest dla mieszkańców gminy ośrodkiem centralnym – skupiskiem usług ponadpodstawowych i miejsc pracy, obszar wiejski gminy jest z kolei dla miasta bezpośrednią strefą podmiejską – terenem rekreacji, produkcji rolniczej, ogrodniczej, a także – potencjalnej ekspansji budownictwa mieszkaniowego, obiektów produkcyjnych i infrastruktury technicznej.</w:t>
      </w:r>
    </w:p>
    <w:p w14:paraId="262B5BC5" w14:textId="4D233FE2" w:rsidR="003F2001" w:rsidRPr="003F2001" w:rsidRDefault="003F2001" w:rsidP="003F2001">
      <w:pPr>
        <w:spacing w:line="276" w:lineRule="auto"/>
        <w:rPr>
          <w:rFonts w:eastAsia="Calibri" w:cs="Times New Roman"/>
          <w:b/>
          <w:bCs/>
          <w:color w:val="7B230B"/>
          <w:kern w:val="0"/>
          <w:sz w:val="16"/>
          <w:szCs w:val="19"/>
          <w14:ligatures w14:val="none"/>
        </w:rPr>
      </w:pPr>
      <w:bookmarkStart w:id="12" w:name="_Toc189166406"/>
      <w:r w:rsidRPr="003F2001">
        <w:rPr>
          <w:rFonts w:eastAsia="Calibri" w:cs="Times New Roman"/>
          <w:b/>
          <w:bCs/>
          <w:color w:val="7B230B"/>
          <w:kern w:val="0"/>
          <w:sz w:val="16"/>
          <w:szCs w:val="19"/>
          <w14:ligatures w14:val="none"/>
        </w:rPr>
        <w:t xml:space="preserve">Ryc.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Ryc.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Sieć osadnicza Gminy Opole Lubelskie</w:t>
      </w:r>
      <w:bookmarkEnd w:id="12"/>
    </w:p>
    <w:p w14:paraId="686C4E1C" w14:textId="77777777" w:rsidR="003F2001" w:rsidRPr="003F2001" w:rsidRDefault="003F2001" w:rsidP="003F2001">
      <w:pPr>
        <w:spacing w:before="240" w:line="276" w:lineRule="auto"/>
        <w:jc w:val="center"/>
        <w:rPr>
          <w:rFonts w:eastAsia="Times New Roman" w:cs="Times New Roman"/>
          <w:kern w:val="0"/>
          <w:szCs w:val="20"/>
          <w14:ligatures w14:val="none"/>
        </w:rPr>
      </w:pPr>
      <w:r w:rsidRPr="003F2001">
        <w:rPr>
          <w:rFonts w:eastAsia="Times New Roman" w:cs="Times New Roman"/>
          <w:noProof/>
          <w:kern w:val="0"/>
          <w:szCs w:val="20"/>
          <w:lang w:eastAsia="pl-PL"/>
          <w14:ligatures w14:val="none"/>
        </w:rPr>
        <w:drawing>
          <wp:inline distT="0" distB="0" distL="0" distR="0" wp14:anchorId="32AC6839" wp14:editId="1B272355">
            <wp:extent cx="4993645" cy="4680000"/>
            <wp:effectExtent l="0" t="0" r="0" b="6350"/>
            <wp:docPr id="1017826307"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map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3645" cy="4680000"/>
                    </a:xfrm>
                    <a:prstGeom prst="rect">
                      <a:avLst/>
                    </a:prstGeom>
                    <a:noFill/>
                    <a:ln>
                      <a:noFill/>
                    </a:ln>
                  </pic:spPr>
                </pic:pic>
              </a:graphicData>
            </a:graphic>
          </wp:inline>
        </w:drawing>
      </w:r>
    </w:p>
    <w:p w14:paraId="1DFD7532" w14:textId="77777777" w:rsidR="003F2001" w:rsidRPr="003F2001" w:rsidRDefault="003F2001" w:rsidP="003F2001">
      <w:pPr>
        <w:spacing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w:t>
      </w:r>
    </w:p>
    <w:p w14:paraId="1F85BDA8" w14:textId="77777777" w:rsidR="003F2001" w:rsidRPr="003F2001" w:rsidRDefault="003F2001" w:rsidP="003F2001">
      <w:pPr>
        <w:spacing w:before="240" w:line="276" w:lineRule="auto"/>
        <w:rPr>
          <w:rFonts w:eastAsia="Times New Roman" w:cs="Times New Roman"/>
          <w:kern w:val="0"/>
          <w:szCs w:val="20"/>
          <w14:ligatures w14:val="none"/>
        </w:rPr>
      </w:pPr>
      <w:r w:rsidRPr="003F2001">
        <w:rPr>
          <w:rFonts w:eastAsia="Times New Roman" w:cs="Times New Roman"/>
          <w:kern w:val="0"/>
          <w:szCs w:val="20"/>
          <w14:ligatures w14:val="none"/>
        </w:rPr>
        <w:t xml:space="preserve">Obszar miejski Gminy Opole Lubelskie podzielony jest na 10 jednostek pomocniczych, zwanych osiedlami: Błonie, Ogrody, Centrum, Zajezierze, Lipki, Przy Lipowej, Zagłobin, Młodzieżowe, Janiszkowice i Zagrody. Cześć wiejską gminy tworzą 43 sołectwa obejmujące 46 miejscowości: Białowoda, Ćwiętalka (obejmująca wsie Ćwiętalka i Świdry), Darowne, Dąbrowa Godowska, Dębiny, Elżbieta, Emilcin, Góry Opolskie, Górna Owczarnia, Góry Kluczkowickie, Grabówka, Jankowa (obejmujące wieś Jankowa i przysiółki: Pomorze i Kleniewo), Kamionka, Kazimierzów, Kluczkowice (obejmujące wieś Kluczkowice i przysiółek Kręciszówka), Kluczkowice-Osiedle, Leonin, Ludwików, Majdan Trzebieski, Niezdów, Nowy Franciszków, Nowe Komaszyce, Ożarów, Puszno Godowskie, Puszno Skokowskie, Ruda Godowska (obejmujące wieś Ruda Godowska i przysiółek Ruda Maciejowska), Rozalin, Sewerynówka, Skoków, Stanisławów, Stary Franciszków, Stare Komaszyce, Truszków, Trzebiesza, Wandalin, Wandalin „Widły”, Wola Rudzka </w:t>
      </w:r>
      <w:r w:rsidRPr="003F2001">
        <w:rPr>
          <w:rFonts w:eastAsia="Times New Roman" w:cs="Times New Roman"/>
          <w:kern w:val="0"/>
          <w:szCs w:val="20"/>
          <w14:ligatures w14:val="none"/>
        </w:rPr>
        <w:lastRenderedPageBreak/>
        <w:t>(obejmująca wieś Wola Rudzka i przysiółek Pustelnia), Wólka Komaszycka, Wrzelowiec, Wrzelowiec „Kierzki”, Zadole, Zajączków i Zosin.</w:t>
      </w:r>
    </w:p>
    <w:p w14:paraId="68C99C3D" w14:textId="14C83679" w:rsidR="003F2001" w:rsidRPr="003F2001" w:rsidRDefault="003F2001" w:rsidP="00941F1D">
      <w:pPr>
        <w:pStyle w:val="Nagwek2"/>
      </w:pPr>
      <w:bookmarkStart w:id="13" w:name="_Toc173435432"/>
      <w:bookmarkStart w:id="14" w:name="_Toc191908747"/>
      <w:r>
        <w:t xml:space="preserve">2.1.2 </w:t>
      </w:r>
      <w:r w:rsidRPr="003F2001">
        <w:t>Rzeźba terenu</w:t>
      </w:r>
      <w:bookmarkEnd w:id="13"/>
      <w:bookmarkEnd w:id="14"/>
    </w:p>
    <w:p w14:paraId="197BB19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Pod względem fizycznogeograficznym Opole Lubelskie w całości należy do makroregionu Wyżyna Lubelska. Gmina położona jest w obrębie dwóch mezoregionów: </w:t>
      </w:r>
      <w:r w:rsidRPr="003F2001">
        <w:rPr>
          <w:rFonts w:eastAsia="Times New Roman" w:cs="Times New Roman"/>
          <w:b/>
          <w:bCs/>
          <w:color w:val="4D160F"/>
          <w:kern w:val="0"/>
          <w:szCs w:val="20"/>
          <w:lang w:bidi="en-US"/>
          <w14:ligatures w14:val="none"/>
        </w:rPr>
        <w:t>Kotlina Chodelska</w:t>
      </w:r>
      <w:r w:rsidRPr="003F2001">
        <w:rPr>
          <w:rFonts w:eastAsia="Times New Roman" w:cs="Times New Roman"/>
          <w:kern w:val="0"/>
          <w:szCs w:val="20"/>
          <w:lang w:bidi="en-US"/>
          <w14:ligatures w14:val="none"/>
        </w:rPr>
        <w:t xml:space="preserve"> i </w:t>
      </w:r>
      <w:r w:rsidRPr="003F2001">
        <w:rPr>
          <w:rFonts w:eastAsia="Times New Roman" w:cs="Times New Roman"/>
          <w:b/>
          <w:bCs/>
          <w:color w:val="4D160F"/>
          <w:kern w:val="0"/>
          <w:szCs w:val="20"/>
          <w:lang w:bidi="en-US"/>
          <w14:ligatures w14:val="none"/>
        </w:rPr>
        <w:t>Wzniesienia Urzędowskie,</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dzięki czemu rzeźba terenu jest zróżnicowana.</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Kotlina Chodelska zajmuje północną i środkową część gminy, zaś Wzniesienia Urzędowskie część południową. Granica pomiędzy oboma mezoregionami ma charakter rozmyty, strefowy w postaci łagodnego progu</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denudacyjnego i przebiega po południowej stronie terytorium administracyjnego miasta.</w:t>
      </w:r>
      <w:r w:rsidRPr="003F2001">
        <w:rPr>
          <w:rFonts w:ascii="Calibri" w:eastAsia="Calibri" w:hAnsi="Calibri" w:cs="Times New Roman"/>
          <w:sz w:val="22"/>
        </w:rPr>
        <w:t xml:space="preserve"> W </w:t>
      </w:r>
      <w:r w:rsidRPr="003F2001">
        <w:rPr>
          <w:rFonts w:eastAsia="Times New Roman" w:cs="Times New Roman"/>
          <w:kern w:val="0"/>
          <w:szCs w:val="20"/>
          <w:lang w:bidi="en-US"/>
          <w14:ligatures w14:val="none"/>
        </w:rPr>
        <w:t>obrębie Kotliny Chodelskiej identyfikuje się trzy rodzaje krajobrazów naturalnych: zalewowych den dolin (dolina Chodelki), teras nadzalewowych (obrzeża doliny Chodelki) i kotlin w terenach wyżynnych (pozostała część Kotliny Chodelskiej w postaci połogich stoków). Z kolei w obszarze Wzniesień Urzędowskich można zidentyfikować (idąc od północy ku południowi) krajobrazy węglanowe i krajobrazy lessowe. Niewielkie obszary gminy znajdują się również na terenie mezoregionów Małopolski Przełom Wisły oraz Równina Bełżycka.</w:t>
      </w:r>
    </w:p>
    <w:p w14:paraId="3957E69C" w14:textId="5267C5A6"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5" w:name="_Toc189166407"/>
      <w:r w:rsidRPr="003F2001">
        <w:rPr>
          <w:rFonts w:eastAsia="Calibri" w:cs="Times New Roman"/>
          <w:b/>
          <w:bCs/>
          <w:color w:val="7B230B"/>
          <w:kern w:val="0"/>
          <w:sz w:val="16"/>
          <w:szCs w:val="19"/>
          <w14:ligatures w14:val="none"/>
        </w:rPr>
        <w:t xml:space="preserve">Ryc.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Ryc.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3</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Regionalizacja fizycznogeograficzna Gminy Opole Lubelskie</w:t>
      </w:r>
      <w:bookmarkEnd w:id="15"/>
    </w:p>
    <w:p w14:paraId="7C36CDD4" w14:textId="77777777" w:rsidR="003F2001" w:rsidRPr="003F2001" w:rsidRDefault="003F2001" w:rsidP="003F2001">
      <w:pPr>
        <w:spacing w:line="276" w:lineRule="auto"/>
        <w:jc w:val="center"/>
        <w:rPr>
          <w:rFonts w:eastAsia="Times New Roman" w:cs="Times New Roman"/>
          <w:kern w:val="0"/>
          <w:szCs w:val="20"/>
          <w:lang w:bidi="en-US"/>
          <w14:ligatures w14:val="none"/>
        </w:rPr>
      </w:pPr>
      <w:r w:rsidRPr="003F2001">
        <w:rPr>
          <w:rFonts w:eastAsia="Times New Roman" w:cs="Times New Roman"/>
          <w:noProof/>
          <w:kern w:val="0"/>
          <w:szCs w:val="20"/>
          <w:lang w:eastAsia="pl-PL"/>
          <w14:ligatures w14:val="none"/>
        </w:rPr>
        <w:drawing>
          <wp:inline distT="0" distB="0" distL="0" distR="0" wp14:anchorId="47833870" wp14:editId="6F3659C9">
            <wp:extent cx="5133303" cy="4680000"/>
            <wp:effectExtent l="0" t="0" r="0" b="6350"/>
            <wp:docPr id="836565200" name="Obraz 836565200"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65200" name="Obraz 836565200" descr="Obraz zawierający mapa, tekst, atlas&#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133303" cy="4680000"/>
                    </a:xfrm>
                    <a:prstGeom prst="rect">
                      <a:avLst/>
                    </a:prstGeom>
                    <a:noFill/>
                    <a:ln>
                      <a:noFill/>
                    </a:ln>
                  </pic:spPr>
                </pic:pic>
              </a:graphicData>
            </a:graphic>
          </wp:inline>
        </w:drawing>
      </w:r>
    </w:p>
    <w:p w14:paraId="5D833214" w14:textId="77777777" w:rsidR="003F2001" w:rsidRPr="003F2001" w:rsidRDefault="003F2001" w:rsidP="003F2001">
      <w:pPr>
        <w:spacing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w:t>
      </w:r>
    </w:p>
    <w:p w14:paraId="0D25110B" w14:textId="77777777" w:rsidR="003F2001" w:rsidRPr="003F2001" w:rsidRDefault="003F2001" w:rsidP="003F2001">
      <w:pPr>
        <w:spacing w:after="160" w:line="259" w:lineRule="auto"/>
        <w:jc w:val="left"/>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br w:type="page"/>
      </w:r>
    </w:p>
    <w:p w14:paraId="620B9C6D" w14:textId="092149E2" w:rsidR="003F2001" w:rsidRPr="003F2001" w:rsidRDefault="003F2001" w:rsidP="00941F1D">
      <w:pPr>
        <w:pStyle w:val="Nagwek2"/>
      </w:pPr>
      <w:bookmarkStart w:id="16" w:name="_Toc173435433"/>
      <w:bookmarkStart w:id="17" w:name="_Toc191908748"/>
      <w:r>
        <w:lastRenderedPageBreak/>
        <w:t xml:space="preserve">2.1.3 </w:t>
      </w:r>
      <w:r w:rsidRPr="003F2001">
        <w:t>Zasoby wodne</w:t>
      </w:r>
      <w:bookmarkEnd w:id="16"/>
      <w:bookmarkEnd w:id="17"/>
    </w:p>
    <w:p w14:paraId="727CDBB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Gmina Opole Lubelskie niemal w całości leży w obszarze dorzeczy rzek II-go rzędu: </w:t>
      </w:r>
      <w:r w:rsidRPr="003F2001">
        <w:rPr>
          <w:rFonts w:eastAsia="Times New Roman" w:cs="Times New Roman"/>
          <w:b/>
          <w:bCs/>
          <w:color w:val="4D160F"/>
          <w:kern w:val="0"/>
          <w:szCs w:val="20"/>
          <w:lang w:bidi="en-US"/>
          <w14:ligatures w14:val="none"/>
        </w:rPr>
        <w:t>Chodelki</w:t>
      </w:r>
      <w:r w:rsidRPr="003F2001">
        <w:rPr>
          <w:rFonts w:eastAsia="Times New Roman" w:cs="Times New Roman"/>
          <w:kern w:val="0"/>
          <w:szCs w:val="20"/>
          <w:lang w:bidi="en-US"/>
          <w14:ligatures w14:val="none"/>
        </w:rPr>
        <w:t xml:space="preserve">, </w:t>
      </w:r>
      <w:r w:rsidRPr="003F2001">
        <w:rPr>
          <w:rFonts w:eastAsia="Times New Roman" w:cs="Times New Roman"/>
          <w:b/>
          <w:bCs/>
          <w:color w:val="4D160F"/>
          <w:kern w:val="0"/>
          <w:szCs w:val="20"/>
          <w:lang w:bidi="en-US"/>
          <w14:ligatures w14:val="none"/>
        </w:rPr>
        <w:t>Potoku Wrzelowieckiego</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i </w:t>
      </w:r>
      <w:r w:rsidRPr="003F2001">
        <w:rPr>
          <w:rFonts w:eastAsia="Times New Roman" w:cs="Times New Roman"/>
          <w:b/>
          <w:bCs/>
          <w:color w:val="4D160F"/>
          <w:kern w:val="0"/>
          <w:szCs w:val="20"/>
          <w:lang w:bidi="en-US"/>
          <w14:ligatures w14:val="none"/>
        </w:rPr>
        <w:t>Wyżnicy</w:t>
      </w:r>
      <w:r w:rsidRPr="003F2001">
        <w:rPr>
          <w:rFonts w:eastAsia="Times New Roman" w:cs="Times New Roman"/>
          <w:kern w:val="0"/>
          <w:szCs w:val="20"/>
          <w:lang w:bidi="en-US"/>
          <w14:ligatures w14:val="none"/>
        </w:rPr>
        <w:t xml:space="preserve">. </w:t>
      </w:r>
    </w:p>
    <w:p w14:paraId="3B06A8D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Północna i północno-wschodnia część gminy odznacza się dużą gęstością tkanki wodnej, na którą składają się: sieć rzeczna, stawy, dość liczne źródła, mokradła oraz tereny pocięte siecią melioracyjną. Głównymi rzekami tej części gminy są: Chodelka i jej lewy dopływ Jankówka. </w:t>
      </w:r>
      <w:r w:rsidRPr="003F2001">
        <w:rPr>
          <w:rFonts w:eastAsia="Times New Roman" w:cs="Times New Roman"/>
          <w:b/>
          <w:bCs/>
          <w:color w:val="4D160F"/>
          <w:kern w:val="0"/>
          <w:szCs w:val="20"/>
          <w:lang w:bidi="en-US"/>
          <w14:ligatures w14:val="none"/>
        </w:rPr>
        <w:t>Chodelka</w:t>
      </w:r>
      <w:r w:rsidRPr="003F2001">
        <w:rPr>
          <w:rFonts w:eastAsia="Times New Roman" w:cs="Times New Roman"/>
          <w:kern w:val="0"/>
          <w:szCs w:val="20"/>
          <w:lang w:bidi="en-US"/>
          <w14:ligatures w14:val="none"/>
        </w:rPr>
        <w:t xml:space="preserve"> od wschodniej granicy gminy do Zajączkowa płynie naturalnym korytem. Poniżej Zajączkowa koryto Chodelki jest przekształcone, jej dolina zmeliorowana, a zjawiska wodne manifestują się przede wszystkim stawami. </w:t>
      </w:r>
      <w:r w:rsidRPr="003F2001">
        <w:rPr>
          <w:rFonts w:eastAsia="Times New Roman" w:cs="Times New Roman"/>
          <w:b/>
          <w:bCs/>
          <w:color w:val="4D160F"/>
          <w:kern w:val="0"/>
          <w:szCs w:val="20"/>
          <w:lang w:bidi="en-US"/>
          <w14:ligatures w14:val="none"/>
        </w:rPr>
        <w:t>Jankówka</w:t>
      </w:r>
      <w:r w:rsidRPr="003F2001">
        <w:rPr>
          <w:rFonts w:eastAsia="Times New Roman" w:cs="Times New Roman"/>
          <w:kern w:val="0"/>
          <w:szCs w:val="20"/>
          <w:lang w:bidi="en-US"/>
          <w14:ligatures w14:val="none"/>
        </w:rPr>
        <w:t xml:space="preserve">, zwana również Leonką, płynie równolegle do Chodelki i wpada do niej już poza obszarem gminy. Południowa część gminy jest odwadniana przez </w:t>
      </w:r>
      <w:r w:rsidRPr="003F2001">
        <w:rPr>
          <w:rFonts w:eastAsia="Times New Roman" w:cs="Times New Roman"/>
          <w:b/>
          <w:bCs/>
          <w:color w:val="4D160F"/>
          <w:kern w:val="0"/>
          <w:szCs w:val="20"/>
          <w:lang w:bidi="en-US"/>
          <w14:ligatures w14:val="none"/>
        </w:rPr>
        <w:t>Potok Wrzelowiecki</w:t>
      </w:r>
      <w:r w:rsidRPr="003F2001">
        <w:rPr>
          <w:rFonts w:eastAsia="Times New Roman" w:cs="Times New Roman"/>
          <w:kern w:val="0"/>
          <w:szCs w:val="20"/>
          <w:lang w:bidi="en-US"/>
          <w14:ligatures w14:val="none"/>
        </w:rPr>
        <w:t>. Potok przepływa przez gminę tylko na odcinku kilku kilometrów tworząc wyraźną płaskodenną dolinę o wysokich i stromych zboczach. Na terenie gminy w zasadzie brak naturalnych zbiorników wodnych – istniejące niegdyś naturalne rozlewiska, zostały przez człowieka już dawno przekształcone poprzez podpiętrzenie groblami. Największym takim zbiornikiem jest jezioro Bartków Ług, obecnie traktowane jako sztuczny zbiornik wodny.</w:t>
      </w:r>
    </w:p>
    <w:p w14:paraId="09882F8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gminie obszary zalewane w czasie powodzi występują tylko w dolinie Chodelki.</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Tereny zagrożone powodzią pozostają niemal wyłącznie w użytkowaniu rolniczym i pastwiskowym.</w:t>
      </w:r>
    </w:p>
    <w:p w14:paraId="48940557" w14:textId="43276FD5"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8" w:name="_Toc189166408"/>
      <w:r w:rsidRPr="003F2001">
        <w:rPr>
          <w:rFonts w:eastAsia="Calibri" w:cs="Times New Roman"/>
          <w:b/>
          <w:bCs/>
          <w:color w:val="7B230B"/>
          <w:kern w:val="0"/>
          <w:sz w:val="16"/>
          <w:szCs w:val="19"/>
          <w14:ligatures w14:val="none"/>
        </w:rPr>
        <w:t xml:space="preserve">Ryc.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Ryc.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4</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Wody powierzchniowe na terenie Gminy Opole lubelskie</w:t>
      </w:r>
      <w:bookmarkEnd w:id="18"/>
    </w:p>
    <w:p w14:paraId="719DB664" w14:textId="77777777" w:rsidR="003F2001" w:rsidRPr="003F2001" w:rsidRDefault="003F2001" w:rsidP="003F2001">
      <w:pPr>
        <w:spacing w:line="276" w:lineRule="auto"/>
        <w:jc w:val="center"/>
        <w:rPr>
          <w:rFonts w:eastAsia="Times New Roman" w:cs="Times New Roman"/>
          <w:kern w:val="0"/>
          <w:szCs w:val="20"/>
          <w:lang w:bidi="en-US"/>
          <w14:ligatures w14:val="none"/>
        </w:rPr>
      </w:pPr>
      <w:r w:rsidRPr="003F2001">
        <w:rPr>
          <w:rFonts w:eastAsia="Times New Roman" w:cs="Times New Roman"/>
          <w:noProof/>
          <w:kern w:val="0"/>
          <w:szCs w:val="20"/>
          <w:lang w:eastAsia="pl-PL"/>
          <w14:ligatures w14:val="none"/>
        </w:rPr>
        <w:drawing>
          <wp:inline distT="0" distB="0" distL="0" distR="0" wp14:anchorId="2A77F165" wp14:editId="131F6C5C">
            <wp:extent cx="5094995" cy="4680000"/>
            <wp:effectExtent l="0" t="0" r="0" b="6350"/>
            <wp:docPr id="3" name="Obraz 3"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mapa, diagram, atlas&#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94995" cy="4680000"/>
                    </a:xfrm>
                    <a:prstGeom prst="rect">
                      <a:avLst/>
                    </a:prstGeom>
                    <a:noFill/>
                    <a:ln>
                      <a:noFill/>
                    </a:ln>
                  </pic:spPr>
                </pic:pic>
              </a:graphicData>
            </a:graphic>
          </wp:inline>
        </w:drawing>
      </w:r>
    </w:p>
    <w:p w14:paraId="4A6B07B9" w14:textId="77777777" w:rsidR="003F2001" w:rsidRPr="003F2001" w:rsidRDefault="003F2001" w:rsidP="003F2001">
      <w:pPr>
        <w:spacing w:line="276" w:lineRule="auto"/>
        <w:rPr>
          <w:rFonts w:eastAsia="Times New Roman" w:cs="Times New Roman"/>
          <w:kern w:val="0"/>
          <w:sz w:val="16"/>
          <w:szCs w:val="16"/>
          <w:lang w:bidi="en-US"/>
          <w14:ligatures w14:val="none"/>
        </w:rPr>
      </w:pPr>
      <w:bookmarkStart w:id="19" w:name="_Hlk83929122"/>
      <w:r w:rsidRPr="003F2001">
        <w:rPr>
          <w:rFonts w:eastAsia="Times New Roman" w:cs="Times New Roman"/>
          <w:kern w:val="0"/>
          <w:sz w:val="16"/>
          <w:szCs w:val="16"/>
          <w:lang w:bidi="en-US"/>
          <w14:ligatures w14:val="none"/>
        </w:rPr>
        <w:t>Źródło: Opracowanie własne na podstawie Bazy Danych Obiektów Topograficznych 10k (BDOT10k).</w:t>
      </w:r>
      <w:r w:rsidRPr="003F2001">
        <w:rPr>
          <w:rFonts w:eastAsia="Times New Roman" w:cs="Times New Roman"/>
          <w:kern w:val="0"/>
          <w:sz w:val="16"/>
          <w:szCs w:val="16"/>
          <w:lang w:bidi="en-US"/>
          <w14:ligatures w14:val="none"/>
        </w:rPr>
        <w:br w:type="page"/>
      </w:r>
    </w:p>
    <w:p w14:paraId="0714258B" w14:textId="33427B2A" w:rsidR="003F2001" w:rsidRPr="003F2001" w:rsidRDefault="003F2001" w:rsidP="00F26D2C">
      <w:pPr>
        <w:pStyle w:val="Nagwek2"/>
      </w:pPr>
      <w:bookmarkStart w:id="20" w:name="_Toc173435434"/>
      <w:bookmarkStart w:id="21" w:name="_Toc191908749"/>
      <w:bookmarkEnd w:id="19"/>
      <w:r>
        <w:lastRenderedPageBreak/>
        <w:t xml:space="preserve">2.1.4 </w:t>
      </w:r>
      <w:r w:rsidRPr="003F2001">
        <w:t>Warunki klimatyczne</w:t>
      </w:r>
      <w:bookmarkEnd w:id="20"/>
      <w:bookmarkEnd w:id="21"/>
    </w:p>
    <w:p w14:paraId="2AF0F71A" w14:textId="77777777" w:rsidR="003F2001" w:rsidRPr="003F2001" w:rsidRDefault="003F2001" w:rsidP="00F26D2C">
      <w:pPr>
        <w:spacing w:before="120"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Klimat Opola Lubelskiego można scharakteryzować jako </w:t>
      </w:r>
      <w:r w:rsidRPr="003F2001">
        <w:rPr>
          <w:rFonts w:eastAsia="Times New Roman" w:cs="Times New Roman"/>
          <w:b/>
          <w:bCs/>
          <w:color w:val="4D160F"/>
          <w:kern w:val="0"/>
          <w:szCs w:val="20"/>
          <w:lang w:bidi="en-US"/>
          <w14:ligatures w14:val="none"/>
        </w:rPr>
        <w:t>przejściowy</w:t>
      </w:r>
      <w:r w:rsidRPr="003F2001">
        <w:rPr>
          <w:rFonts w:eastAsia="Times New Roman" w:cs="Times New Roman"/>
          <w:kern w:val="0"/>
          <w:szCs w:val="20"/>
          <w:lang w:bidi="en-US"/>
          <w14:ligatures w14:val="none"/>
        </w:rPr>
        <w:t>, kształtowany przez zmienny w swym zasięgu napływ mas powietrza morskiego lub kontynentalnego. Według podziału klimatycznego, obszar lokuje się na pograniczu lubelsko – chełmskiej i opolsko - puławskiej dziedziny klimatycznej, w której wpływ na kształtowanie się klimatu ma powietrze polarno-morskie stanowiące łącznie ok. 90% częstości występowania wszystkich typów mas powietrza. Najzimniejszym miesiącem jest styczeń (-3,6°C), najcieplejszym lipiec (17,9°C), a amplituda temperatur rocznych wynosi 22°C. Charakterystyczną cechą klimatu tego obszaru jest długi czas trwania okresów: letniego (100-110 dni) i wegetacyjnego (okres ze średnią dobową temperaturą powietrza powyżej 5°C trwa tutaj ok. 220 dni). Opady w ciągu roku rozłożone są nierównomiernie - z rocznej sumy opadu 600 mm na lato przypada 230-240 mm. Pokrywa śnieżna tworzy się zwykle w ostatniej dekadzie listopada lub w pierwszej grudnia, zanika zaś między 10 a 20 marca. Długość trwania pokrywy śnieżnej na terenie gminy wynosi średnio 80-90 dni.</w:t>
      </w:r>
    </w:p>
    <w:p w14:paraId="79445D5C" w14:textId="781B8909" w:rsidR="003F2001" w:rsidRPr="003F2001" w:rsidRDefault="003F2001" w:rsidP="00941F1D">
      <w:pPr>
        <w:pStyle w:val="Nagwek2"/>
      </w:pPr>
      <w:bookmarkStart w:id="22" w:name="_Toc173435435"/>
      <w:bookmarkStart w:id="23" w:name="_Toc191908750"/>
      <w:r>
        <w:t xml:space="preserve">2.1.5 </w:t>
      </w:r>
      <w:r w:rsidRPr="003F2001">
        <w:t>Zasoby naturalne</w:t>
      </w:r>
      <w:bookmarkEnd w:id="22"/>
      <w:bookmarkEnd w:id="23"/>
    </w:p>
    <w:p w14:paraId="4EBE861C" w14:textId="77777777" w:rsidR="003F2001" w:rsidRPr="003F2001" w:rsidRDefault="003F2001" w:rsidP="003F2001">
      <w:pPr>
        <w:autoSpaceDE w:val="0"/>
        <w:autoSpaceDN w:val="0"/>
        <w:adjustRightInd w:val="0"/>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Na terenie gminy występują </w:t>
      </w:r>
      <w:r w:rsidRPr="003F2001">
        <w:rPr>
          <w:rFonts w:eastAsia="Times New Roman" w:cs="Times New Roman"/>
          <w:b/>
          <w:bCs/>
          <w:color w:val="4D160F"/>
          <w:kern w:val="0"/>
          <w:szCs w:val="20"/>
          <w:lang w:bidi="en-US"/>
          <w14:ligatures w14:val="none"/>
        </w:rPr>
        <w:t>złoża surowców mineralnych</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tj. piasków i żwirów, torfów i surowców ilastych ceramiki budowlanej. Inwentaryzacja zasobów wykazała występowanie kopalin o zasobach udokumentowanych, zarejestrowanych, szacunkowych i perspektywicznych. Z uwagi na występowanie złóż w obszarach prawnie chronionych część zasobów surowcowych wykazuje różny stopień kolizyjności ze środowiskiem przyrodniczym, w szczególności dotyczy to złóż torfów oraz złóż kruszyw pod lasami.</w:t>
      </w:r>
    </w:p>
    <w:p w14:paraId="7E2BCB64" w14:textId="04A6C199" w:rsidR="003F2001" w:rsidRPr="003F2001" w:rsidRDefault="003F2001" w:rsidP="00941F1D">
      <w:pPr>
        <w:pStyle w:val="Nagwek2"/>
      </w:pPr>
      <w:bookmarkStart w:id="24" w:name="_Toc173435436"/>
      <w:bookmarkStart w:id="25" w:name="_Toc191908751"/>
      <w:r>
        <w:t xml:space="preserve">2.1.6 </w:t>
      </w:r>
      <w:r w:rsidRPr="003F2001">
        <w:t>Obszary chronione</w:t>
      </w:r>
      <w:bookmarkEnd w:id="24"/>
      <w:bookmarkEnd w:id="25"/>
    </w:p>
    <w:p w14:paraId="7126B8C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Gmina Opole Lubelskie cechuje się licznymi walorami i zasobami środowiska, przyrody i krajobrazu. Obszary wyróżniające się szczególnymi wartościami przyrodniczymi i krajobrazowymi objęto ochroną obszarową – na analizowanym terenie ustanowiono </w:t>
      </w:r>
      <w:r w:rsidRPr="003F2001">
        <w:rPr>
          <w:rFonts w:eastAsia="Times New Roman" w:cs="Times New Roman"/>
          <w:b/>
          <w:bCs/>
          <w:color w:val="4D160F"/>
          <w:kern w:val="0"/>
          <w:szCs w:val="20"/>
          <w:lang w:bidi="en-US"/>
          <w14:ligatures w14:val="none"/>
        </w:rPr>
        <w:t>Wrzelowiecki Park Krajobrazowy</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oraz </w:t>
      </w:r>
      <w:r w:rsidRPr="003F2001">
        <w:rPr>
          <w:rFonts w:eastAsia="Times New Roman" w:cs="Times New Roman"/>
          <w:b/>
          <w:bCs/>
          <w:color w:val="4D160F"/>
          <w:kern w:val="0"/>
          <w:szCs w:val="20"/>
          <w:lang w:bidi="en-US"/>
          <w14:ligatures w14:val="none"/>
        </w:rPr>
        <w:t>Chodelski Obszar Chronionego Krajobrazu</w:t>
      </w:r>
      <w:r w:rsidRPr="003F2001">
        <w:rPr>
          <w:rFonts w:eastAsia="Times New Roman" w:cs="Times New Roman"/>
          <w:kern w:val="0"/>
          <w:szCs w:val="20"/>
          <w:lang w:bidi="en-US"/>
          <w14:ligatures w14:val="none"/>
        </w:rPr>
        <w:t xml:space="preserve">. Szczególnym celem ochrony Wrzelowieckiego Parku Krajobrazowego jest zachowanie walorów przyrodniczych, krajobrazowych, kulturowych, historycznych i turystycznych środowiska, ze szczególnym uwzględnieniem krajobrazu kulturowego północno-zachodniej części Wzniesień Urzędowskich oraz Małopolskiego Przełomu Wisły między Józefowem a Piotrawinem. Park zajmuje południowo-zachodni fragment gminy o powierzchni 3 250 ha (17,3%). Chodelski Obszar Chronionego Krajobrazu obejmuje swym zasięgiem obszary o bardzo urozmaiconym sposobie użytkowania gruntów, gdzie przeplatają się i zazębiają obszary leśne, łąkowe i uprawne położone nad rzeką Chodelką. Obszar obejmuje północno-wschodni skrawek gminy o powierzchni 4 570 ha (24,3%), a jego granica przebiega lewostronnym obrzeżem doliny Chodelki. </w:t>
      </w:r>
    </w:p>
    <w:p w14:paraId="758AC70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celu ochrony pozostałości naturalnych ekosystemów mających znaczenie dla</w:t>
      </w:r>
    </w:p>
    <w:p w14:paraId="6801A484"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 zachowania różnorodności biologicznej oraz cennych fragmentów krajobrazu naturalnego i kulturowego, na terenie gminy utworzono </w:t>
      </w:r>
      <w:r w:rsidRPr="003F2001">
        <w:rPr>
          <w:rFonts w:eastAsia="Times New Roman" w:cs="Times New Roman"/>
          <w:b/>
          <w:bCs/>
          <w:color w:val="4D160F"/>
          <w:kern w:val="0"/>
          <w:szCs w:val="20"/>
          <w:lang w:bidi="en-US"/>
          <w14:ligatures w14:val="none"/>
        </w:rPr>
        <w:t>użytek ekologiczny</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„Emilcin”, obejmujący podmokłe łąki z licznymi zagłębieniami i oczkami wodnymi.</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Ponadto, na analizowanym obszarze, znajduje się 11 pomników przyrody reprezentowanych przez okazałe drzewa.</w:t>
      </w:r>
    </w:p>
    <w:p w14:paraId="2211417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Gminie Opole Lubelskie projektuje się utworzenie </w:t>
      </w:r>
      <w:r w:rsidRPr="003F2001">
        <w:rPr>
          <w:rFonts w:eastAsia="Times New Roman" w:cs="Times New Roman"/>
          <w:b/>
          <w:bCs/>
          <w:color w:val="4D160F"/>
          <w:kern w:val="0"/>
          <w:szCs w:val="20"/>
          <w:lang w:bidi="en-US"/>
          <w14:ligatures w14:val="none"/>
        </w:rPr>
        <w:t>5 rezerwatów przyrody</w:t>
      </w:r>
      <w:r w:rsidRPr="003F2001">
        <w:rPr>
          <w:rFonts w:eastAsia="Times New Roman" w:cs="Times New Roman"/>
          <w:kern w:val="0"/>
          <w:szCs w:val="20"/>
          <w:lang w:bidi="en-US"/>
          <w14:ligatures w14:val="none"/>
        </w:rPr>
        <w:t xml:space="preserve">: Kluczkowice – Góry, Ćwiętalka – Niesiołowice, Kluczkowice – Ośrodek, Zadole – Chruślina, Wandalin – Kręciszówka. Rezerwaty te należą do typu krajobrazowo-leśnych, o wybitnych walorach florystycznych, faunistycznych i krajobrazowych, obejmujących duże powierzchniowo fragmenty Wzniesień </w:t>
      </w:r>
      <w:r w:rsidRPr="003F2001">
        <w:rPr>
          <w:rFonts w:eastAsia="Times New Roman" w:cs="Times New Roman"/>
          <w:kern w:val="0"/>
          <w:szCs w:val="20"/>
          <w:lang w:bidi="en-US"/>
          <w14:ligatures w14:val="none"/>
        </w:rPr>
        <w:lastRenderedPageBreak/>
        <w:t>Urzędowskich. Ponadto na terenie gminy planuje się utworzenie zespołu przyrodniczo-krajobrazowego Pustelnia – Jankowa oraz dwóch użytków ekologicznych: Łąki Skoków – Emilcin oraz Stawy w Kluczkowicach. Cześć gminy położona jest również w granicach projektowanego Geoparku Małopolski Przełom Wisły.</w:t>
      </w:r>
    </w:p>
    <w:p w14:paraId="0B09EA3F" w14:textId="1B3005E0"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26" w:name="_Toc189166409"/>
      <w:r w:rsidRPr="003F2001">
        <w:rPr>
          <w:rFonts w:eastAsia="Calibri" w:cs="Times New Roman"/>
          <w:b/>
          <w:bCs/>
          <w:color w:val="7B230B"/>
          <w:kern w:val="0"/>
          <w:sz w:val="16"/>
          <w:szCs w:val="19"/>
          <w14:ligatures w14:val="none"/>
        </w:rPr>
        <w:t xml:space="preserve">Ryc.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Ryc.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5</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Obszary chronione na terenie Gminy Opole Lubelskie</w:t>
      </w:r>
      <w:bookmarkEnd w:id="26"/>
    </w:p>
    <w:p w14:paraId="166C2F35" w14:textId="77777777" w:rsidR="003F2001" w:rsidRPr="003F2001" w:rsidRDefault="003F2001" w:rsidP="003F2001">
      <w:pPr>
        <w:spacing w:line="276" w:lineRule="auto"/>
        <w:jc w:val="center"/>
        <w:rPr>
          <w:rFonts w:eastAsia="Times New Roman" w:cs="Times New Roman"/>
          <w:kern w:val="0"/>
          <w:szCs w:val="20"/>
          <w:lang w:bidi="en-US"/>
          <w14:ligatures w14:val="none"/>
        </w:rPr>
      </w:pPr>
      <w:r w:rsidRPr="003F2001">
        <w:rPr>
          <w:rFonts w:eastAsia="Times New Roman" w:cs="Times New Roman"/>
          <w:noProof/>
          <w:kern w:val="0"/>
          <w:szCs w:val="20"/>
          <w:lang w:eastAsia="pl-PL"/>
          <w14:ligatures w14:val="none"/>
        </w:rPr>
        <w:drawing>
          <wp:inline distT="0" distB="0" distL="0" distR="0" wp14:anchorId="4F5CDD1F" wp14:editId="6099F8E8">
            <wp:extent cx="4617931" cy="4860000"/>
            <wp:effectExtent l="0" t="0" r="0" b="0"/>
            <wp:docPr id="1427482616" name="Obraz 1427482616"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82616" name="Obraz 1427482616" descr="Obraz zawierający mapa, tekst, atlas&#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617931" cy="4860000"/>
                    </a:xfrm>
                    <a:prstGeom prst="rect">
                      <a:avLst/>
                    </a:prstGeom>
                    <a:noFill/>
                    <a:ln>
                      <a:noFill/>
                    </a:ln>
                  </pic:spPr>
                </pic:pic>
              </a:graphicData>
            </a:graphic>
          </wp:inline>
        </w:drawing>
      </w:r>
    </w:p>
    <w:p w14:paraId="4F5BC032" w14:textId="77777777" w:rsidR="003F2001" w:rsidRPr="003F2001" w:rsidRDefault="003F2001" w:rsidP="003F2001">
      <w:pPr>
        <w:spacing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Generalnej Dyrekcji Ochrony Środowiska.</w:t>
      </w:r>
    </w:p>
    <w:p w14:paraId="0DE923F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Do terenów o szczególnych walorach przyrodniczych zlokalizowanych w granicach Opola Lubelskiego należą również </w:t>
      </w:r>
      <w:r w:rsidRPr="003F2001">
        <w:rPr>
          <w:rFonts w:eastAsia="Times New Roman" w:cs="Times New Roman"/>
          <w:b/>
          <w:bCs/>
          <w:color w:val="4D160F"/>
          <w:kern w:val="0"/>
          <w:szCs w:val="20"/>
          <w:lang w:bidi="en-US"/>
          <w14:ligatures w14:val="none"/>
        </w:rPr>
        <w:t>Obszary Natura 2000</w:t>
      </w:r>
      <w:r w:rsidRPr="003F2001">
        <w:rPr>
          <w:rFonts w:eastAsia="Times New Roman" w:cs="Times New Roman"/>
          <w:kern w:val="0"/>
          <w:szCs w:val="20"/>
          <w:lang w:bidi="en-US"/>
          <w14:ligatures w14:val="none"/>
        </w:rPr>
        <w:t xml:space="preserve">. W granicach gminy znajdują się dwie ostoje siedliskowe „Opole Lubelskie” (PLH060054) oraz „Komaszyce” (PLH060063). </w:t>
      </w:r>
    </w:p>
    <w:p w14:paraId="44169B5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Ważnym elementem obszarów chronionych Sieci Natura 2000 są korytarze ekologiczne, czyli obszary umożliwiające migrację roślin, zwierząt lub grzybów pomiędzy siedliskami. Dla całego obszaru Polski opracowano sieć korytarzy ekologicznych, która obejmuje korytarze główne (o znaczeniu międzynarodowym, a nawet kontynentalnym) oraz uzupełniające je korytarze krajowe i lokalne. Mapa korytarzy ekologicznych z 2012 r. wyróżnia siedem korytarzy głównych, które stanowią odcinki korytarzy paneuropejskich, a ich rolą jest zapewnienie łączności ekologicznej w skali kraju i kontynentu. Wśród nich, ze względu na charakter powiązania oraz rodzaj gatunków migrujących, wyróżnia się korytarze leśne, dolinne, rzeczne i kserotermiczne. Według delimitacji korytarzy ekologicznych przeprowadzonej przez Instytut Badań Systemowych Polskiej Akademii Nauk przez obszar gminy przebiega </w:t>
      </w:r>
      <w:r w:rsidRPr="003F2001">
        <w:rPr>
          <w:rFonts w:eastAsia="Times New Roman" w:cs="Times New Roman"/>
          <w:b/>
          <w:bCs/>
          <w:color w:val="4D160F"/>
          <w:kern w:val="0"/>
          <w:szCs w:val="20"/>
          <w:lang w:bidi="en-US"/>
          <w14:ligatures w14:val="none"/>
        </w:rPr>
        <w:t>korytarz ekologiczny</w:t>
      </w:r>
      <w:r w:rsidRPr="003F2001">
        <w:rPr>
          <w:rFonts w:eastAsia="Times New Roman" w:cs="Times New Roman"/>
          <w:kern w:val="0"/>
          <w:szCs w:val="20"/>
          <w:lang w:bidi="en-US"/>
          <w14:ligatures w14:val="none"/>
        </w:rPr>
        <w:t xml:space="preserve"> o randze ponadlokalnej: główny korytarz ekologiczny Małopolski Przełom Wisły (GKPdC-4A).</w:t>
      </w:r>
    </w:p>
    <w:p w14:paraId="3252512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 xml:space="preserve">Ogółem ponad 70% powierzchni gminy stanowią, różnej rangi i znaczenia, tereny chronione ze względu na cenne wartości przyrodnicze. Ponadto ochroną na terenie gminy objęto zasoby wodne rzeki Chodelki, gleby wysokich klas bonitacyjnych oraz obszar Głównego Zbiornika Wód Podziemnych nr 406. Wielorakość form ochrony przyrody i środowiska znajduje potwierdzenie w ich wzajemnym nakładaniu i krzyżowaniu się. </w:t>
      </w:r>
    </w:p>
    <w:p w14:paraId="1B009C11" w14:textId="2935D806" w:rsidR="003F2001" w:rsidRPr="003F2001" w:rsidRDefault="003F2001" w:rsidP="00941F1D">
      <w:pPr>
        <w:pStyle w:val="Nagwek2"/>
      </w:pPr>
      <w:bookmarkStart w:id="27" w:name="_Toc173435437"/>
      <w:bookmarkStart w:id="28" w:name="_Toc191908752"/>
      <w:r>
        <w:t xml:space="preserve">2.1.7 </w:t>
      </w:r>
      <w:r w:rsidRPr="003F2001">
        <w:t>Stan i ochrona środowiska</w:t>
      </w:r>
      <w:bookmarkEnd w:id="27"/>
      <w:bookmarkEnd w:id="28"/>
    </w:p>
    <w:p w14:paraId="016FE98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Wody powierzchniowe na terenie Gminy Opole Lubelskie badane są w ramach </w:t>
      </w:r>
      <w:r w:rsidRPr="003F2001">
        <w:rPr>
          <w:rFonts w:eastAsia="Times New Roman" w:cs="Times New Roman"/>
          <w:b/>
          <w:bCs/>
          <w:color w:val="69230B"/>
          <w:kern w:val="0"/>
          <w:szCs w:val="20"/>
          <w:lang w:bidi="en-US"/>
          <w14:ligatures w14:val="none"/>
        </w:rPr>
        <w:t>monitoringu rzek i zbiorników zaporowych</w:t>
      </w:r>
      <w:r w:rsidRPr="003F2001">
        <w:rPr>
          <w:rFonts w:eastAsia="Times New Roman" w:cs="Times New Roman"/>
          <w:kern w:val="0"/>
          <w:szCs w:val="20"/>
          <w:lang w:bidi="en-US"/>
          <w14:ligatures w14:val="none"/>
        </w:rPr>
        <w:t>, prowadzonego przez Wojewódzkie Inspektoraty Ochrony Środowiska w Lublinie oraz Warszawie. Ocenę stanu wód powierzchniowych wykonuje się w odniesieniu do jednolitych części wód, na podstawie wyników państwowego monitoringu środowiska i prezentuje poprzez ocenę stanu ekologicznego (w przypadku wód, które powstały w wyniku działalności człowieka lub których charakter został w znacznym stopniu zmieniony w następstwie fizycznych przeobrażeń, będących wynikiem działalności człowieka, tzn. wód sztucznych lub wód silnie zmienionych), ocenę stanu chemicznego i ocenę stanu.</w:t>
      </w:r>
    </w:p>
    <w:p w14:paraId="3D5FBAF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Badania obejmują główne rzeki przepływające przez gminę i prowadzone są w ramach dwóch jednolitych części wód powierzchniowych (JCWP): Chodelka (PLRW20000623749) i Wrzelowianka (PLRW2000062338). Wyniki monitoringu stanu środowiska prowadzonego w latach 2016-2021 wskazują, że </w:t>
      </w:r>
      <w:r w:rsidRPr="003F2001">
        <w:rPr>
          <w:rFonts w:eastAsia="Times New Roman" w:cs="Times New Roman"/>
          <w:b/>
          <w:bCs/>
          <w:color w:val="69230B"/>
          <w:kern w:val="0"/>
          <w:szCs w:val="20"/>
          <w:lang w:bidi="en-US"/>
          <w14:ligatures w14:val="none"/>
        </w:rPr>
        <w:t>stan/potencjał jednolitych części wód powierzchniowych</w:t>
      </w:r>
      <w:r w:rsidRPr="003F2001">
        <w:rPr>
          <w:rFonts w:eastAsia="Times New Roman" w:cs="Times New Roman"/>
          <w:color w:val="69230B"/>
          <w:kern w:val="0"/>
          <w:szCs w:val="20"/>
          <w:lang w:bidi="en-US"/>
          <w14:ligatures w14:val="none"/>
        </w:rPr>
        <w:t xml:space="preserve"> </w:t>
      </w:r>
      <w:r w:rsidRPr="003F2001">
        <w:rPr>
          <w:rFonts w:eastAsia="Times New Roman" w:cs="Times New Roman"/>
          <w:kern w:val="0"/>
          <w:szCs w:val="20"/>
          <w:lang w:bidi="en-US"/>
          <w14:ligatures w14:val="none"/>
        </w:rPr>
        <w:t xml:space="preserve">na analizowanym terenie w </w:t>
      </w:r>
      <w:r w:rsidRPr="003F2001">
        <w:rPr>
          <w:rFonts w:eastAsia="Times New Roman" w:cs="Times New Roman"/>
          <w:b/>
          <w:bCs/>
          <w:color w:val="69230B"/>
          <w:kern w:val="0"/>
          <w:szCs w:val="20"/>
          <w:lang w:bidi="en-US"/>
          <w14:ligatures w14:val="none"/>
        </w:rPr>
        <w:t>oceniany jest jako zły</w:t>
      </w:r>
      <w:r w:rsidRPr="003F2001">
        <w:rPr>
          <w:rFonts w:eastAsia="Times New Roman" w:cs="Times New Roman"/>
          <w:kern w:val="0"/>
          <w:szCs w:val="20"/>
          <w:lang w:bidi="en-US"/>
          <w14:ligatures w14:val="none"/>
        </w:rPr>
        <w:t>.</w:t>
      </w:r>
    </w:p>
    <w:p w14:paraId="1C94490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69230B"/>
          <w:kern w:val="0"/>
          <w:szCs w:val="20"/>
          <w:lang w:bidi="en-US"/>
          <w14:ligatures w14:val="none"/>
        </w:rPr>
        <w:t>Monitoring jakości wód podziemnych</w:t>
      </w:r>
      <w:r w:rsidRPr="003F2001">
        <w:rPr>
          <w:rFonts w:eastAsia="Times New Roman" w:cs="Times New Roman"/>
          <w:color w:val="69230B"/>
          <w:kern w:val="0"/>
          <w:szCs w:val="20"/>
          <w:lang w:bidi="en-US"/>
          <w14:ligatures w14:val="none"/>
        </w:rPr>
        <w:t xml:space="preserve"> </w:t>
      </w:r>
      <w:r w:rsidRPr="003F2001">
        <w:rPr>
          <w:rFonts w:eastAsia="Times New Roman" w:cs="Times New Roman"/>
          <w:kern w:val="0"/>
          <w:szCs w:val="20"/>
          <w:lang w:bidi="en-US"/>
          <w14:ligatures w14:val="none"/>
        </w:rPr>
        <w:t xml:space="preserve">prowadzony jest w celu dostarczenia informacji o stanie chemicznym wód podziemnych, śledzenia jego zmian oraz sygnalizacji zagrożeń na potrzeby zarządzania zasobami wód podziemnych i oceny skuteczności podejmowanych działań ochronnych. Ma to na celu wspomaganie działań, zmierzających do ograniczenia wpływu czynników antropogenicznych na wody podziemne, które ze względu na swą wysoką jakość i potencjalne zasoby stanowią ważne źródło zaopatrzenia w wodę. </w:t>
      </w:r>
      <w:bookmarkStart w:id="29" w:name="_Hlk84352959"/>
      <w:r w:rsidRPr="003F2001">
        <w:rPr>
          <w:rFonts w:eastAsia="Times New Roman" w:cs="Times New Roman"/>
          <w:kern w:val="0"/>
          <w:szCs w:val="20"/>
          <w:lang w:bidi="en-US"/>
          <w14:ligatures w14:val="none"/>
        </w:rPr>
        <w:t xml:space="preserve">Obszar gminy należy do lubelsko-podlaskiego regionu hydrogeologicznego, należącego do tzw. makroregionu centralnego. Gmina Opole Lubelskie znajduje się w obszarze Głównego Zbiornika Wód Podziemnych Nr 406 „Niecka Lubelska Lublin”, którego zasoby wodne objęte są ochroną. Głównym poziomem wodonośnym są osady górnej kredy, a drugorzędnym – utwory czwartorzędu. Wyniki badań prowadzonych w 2022 r. przez Państwowy Instytut Geologiczny – Państwowy Instytut Badawczy pokazują, że zarówno </w:t>
      </w:r>
      <w:r w:rsidRPr="003F2001">
        <w:rPr>
          <w:rFonts w:eastAsia="Times New Roman" w:cs="Times New Roman"/>
          <w:b/>
          <w:bCs/>
          <w:color w:val="69230B"/>
          <w:kern w:val="0"/>
          <w:szCs w:val="20"/>
          <w:lang w:bidi="en-US"/>
          <w14:ligatures w14:val="none"/>
        </w:rPr>
        <w:t>stan ilościowy</w:t>
      </w:r>
      <w:r w:rsidRPr="003F2001">
        <w:rPr>
          <w:rFonts w:eastAsia="Times New Roman" w:cs="Times New Roman"/>
          <w:kern w:val="0"/>
          <w:szCs w:val="20"/>
          <w:lang w:bidi="en-US"/>
          <w14:ligatures w14:val="none"/>
        </w:rPr>
        <w:t xml:space="preserve">, jak i </w:t>
      </w:r>
      <w:r w:rsidRPr="003F2001">
        <w:rPr>
          <w:rFonts w:eastAsia="Times New Roman" w:cs="Times New Roman"/>
          <w:b/>
          <w:bCs/>
          <w:color w:val="69230B"/>
          <w:kern w:val="0"/>
          <w:szCs w:val="20"/>
          <w:lang w:bidi="en-US"/>
          <w14:ligatures w14:val="none"/>
        </w:rPr>
        <w:t>stan chemiczny wód podziemnych</w:t>
      </w:r>
      <w:r w:rsidRPr="003F2001">
        <w:rPr>
          <w:rFonts w:eastAsia="Times New Roman" w:cs="Times New Roman"/>
          <w:color w:val="69230B"/>
          <w:kern w:val="0"/>
          <w:szCs w:val="20"/>
          <w:lang w:bidi="en-US"/>
          <w14:ligatures w14:val="none"/>
        </w:rPr>
        <w:t xml:space="preserve"> </w:t>
      </w:r>
      <w:r w:rsidRPr="003F2001">
        <w:rPr>
          <w:rFonts w:eastAsia="Times New Roman" w:cs="Times New Roman"/>
          <w:kern w:val="0"/>
          <w:szCs w:val="20"/>
          <w:lang w:bidi="en-US"/>
          <w14:ligatures w14:val="none"/>
        </w:rPr>
        <w:t xml:space="preserve">na terenie gminy </w:t>
      </w:r>
      <w:r w:rsidRPr="003F2001">
        <w:rPr>
          <w:rFonts w:eastAsia="Times New Roman" w:cs="Times New Roman"/>
          <w:b/>
          <w:bCs/>
          <w:color w:val="69230B"/>
          <w:kern w:val="0"/>
          <w:szCs w:val="20"/>
          <w:lang w:bidi="en-US"/>
          <w14:ligatures w14:val="none"/>
        </w:rPr>
        <w:t>jest dobry</w:t>
      </w:r>
      <w:r w:rsidRPr="003F2001">
        <w:rPr>
          <w:rFonts w:eastAsia="Times New Roman" w:cs="Times New Roman"/>
          <w:kern w:val="0"/>
          <w:szCs w:val="20"/>
          <w:lang w:bidi="en-US"/>
          <w14:ligatures w14:val="none"/>
        </w:rPr>
        <w:t xml:space="preserve">. </w:t>
      </w:r>
    </w:p>
    <w:bookmarkEnd w:id="29"/>
    <w:p w14:paraId="7FC393A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Ponadto, w ramach monitoringu jakości wód podziemnych, poddano analizie wyniki oznaczeń terenowych i laboratoryjnych i wyznaczono klasy jakości wód podziemnych w punktach pomiarowych. Klasyfikacja elementów fizykochemicznych stanu wód podziemnych obejmuje pięć następujących klas jakości wód podziemnych: I klasa – wody bardzo dobrej jakości, II klasa – wody dobrej jakości, III klasa – wody zadowalającej jakości, IV klasa – wody niezadowalającej jakości, V klasa – wody złej jakości. Wyniki badań punktu pomiarowego na terenie gminy pokazują, że badane wody odpowiadały </w:t>
      </w:r>
      <w:r w:rsidRPr="003F2001">
        <w:rPr>
          <w:rFonts w:eastAsia="Times New Roman" w:cs="Times New Roman"/>
          <w:b/>
          <w:bCs/>
          <w:color w:val="69230B"/>
          <w:kern w:val="0"/>
          <w:szCs w:val="20"/>
          <w:lang w:bidi="en-US"/>
          <w14:ligatures w14:val="none"/>
        </w:rPr>
        <w:t>III klasie czystości</w:t>
      </w:r>
      <w:r w:rsidRPr="003F2001">
        <w:rPr>
          <w:rFonts w:eastAsia="Times New Roman" w:cs="Times New Roman"/>
          <w:kern w:val="0"/>
          <w:szCs w:val="20"/>
          <w:lang w:bidi="en-US"/>
          <w14:ligatures w14:val="none"/>
        </w:rPr>
        <w:t>.</w:t>
      </w:r>
    </w:p>
    <w:p w14:paraId="0D0420E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Dominującymi zanieczyszczeniami obszarowymi na terenie województwa lubelskiego są zanieczyszczenia pochodzące z produkcji rolniczej. Zagrożenie dla jakości wód mogą stanowić intensywność użytkowania gleb oraz prowadzenie produkcji zwierzęcej na dużą skalę. Do zwiększonego obciążenia wód związkami biogennymi prowadzi również szerokie wykorzystanie naturalnych i sztucznych nawozów. Obszar Gminy Opole Lubelskie – podobnie jak całe województwo lubelskie - charakteryzuje niedostateczne wyposażenie w kompleksową infrastrukturę wodno-ściekową, zwłaszcza w infrastrukturę kanalizacji sanitarnej, co powoduje, </w:t>
      </w:r>
      <w:r w:rsidRPr="003F2001">
        <w:rPr>
          <w:rFonts w:eastAsia="Times New Roman" w:cs="Times New Roman"/>
          <w:kern w:val="0"/>
          <w:szCs w:val="20"/>
          <w:lang w:bidi="en-US"/>
          <w14:ligatures w14:val="none"/>
        </w:rPr>
        <w:lastRenderedPageBreak/>
        <w:t>że znacząca części ludności korzysta ze zbiorników bezodpływowych Niedostateczny nadzór nad sposobem funkcjonowania takich zbiorników może się przyczyniać do niewłaściwej ich eksploatacji i uwalniania się ścieków bytowych do gruntu.</w:t>
      </w:r>
    </w:p>
    <w:p w14:paraId="726FBA80"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69230B"/>
          <w:kern w:val="0"/>
          <w:szCs w:val="20"/>
          <w:lang w:bidi="en-US"/>
          <w14:ligatures w14:val="none"/>
        </w:rPr>
        <w:t>Zanieczyszczenie powietrza</w:t>
      </w:r>
      <w:r w:rsidRPr="003F2001">
        <w:rPr>
          <w:rFonts w:eastAsia="Times New Roman" w:cs="Times New Roman"/>
          <w:color w:val="69230B"/>
          <w:kern w:val="0"/>
          <w:szCs w:val="20"/>
          <w:lang w:bidi="en-US"/>
          <w14:ligatures w14:val="none"/>
        </w:rPr>
        <w:t xml:space="preserve"> </w:t>
      </w:r>
      <w:r w:rsidRPr="003F2001">
        <w:rPr>
          <w:rFonts w:eastAsia="Times New Roman" w:cs="Times New Roman"/>
          <w:kern w:val="0"/>
          <w:szCs w:val="20"/>
          <w:lang w:bidi="en-US"/>
          <w14:ligatures w14:val="none"/>
        </w:rPr>
        <w:t xml:space="preserve">stanowi wszystkie znajdujące się w nim substancje stałe, ciekłe lub gazowe nie będące jego naturalnymi składnikami lub występujące w stężeniach nieodpowiadających jego naturalnemu składowi. Substancje zanieczyszczające powietrze można podzielić na pyłowe i gazowe, a ich źródłem może być zarówno emisja antropogeniczna – wynikająca z działalności człowieka, jak i emisja naturalna. Do </w:t>
      </w:r>
      <w:r w:rsidRPr="003F2001">
        <w:rPr>
          <w:rFonts w:eastAsia="Times New Roman" w:cs="Times New Roman"/>
          <w:b/>
          <w:bCs/>
          <w:color w:val="69230B"/>
          <w:kern w:val="0"/>
          <w:szCs w:val="20"/>
          <w:lang w:bidi="en-US"/>
          <w14:ligatures w14:val="none"/>
        </w:rPr>
        <w:t>głównych źródeł zanieczyszczeń powietrza</w:t>
      </w:r>
      <w:r w:rsidRPr="003F2001">
        <w:rPr>
          <w:rFonts w:eastAsia="Times New Roman" w:cs="Times New Roman"/>
          <w:color w:val="69230B"/>
          <w:kern w:val="0"/>
          <w:szCs w:val="20"/>
          <w:lang w:bidi="en-US"/>
          <w14:ligatures w14:val="none"/>
        </w:rPr>
        <w:t xml:space="preserve"> </w:t>
      </w:r>
      <w:r w:rsidRPr="003F2001">
        <w:rPr>
          <w:rFonts w:eastAsia="Times New Roman" w:cs="Times New Roman"/>
          <w:kern w:val="0"/>
          <w:szCs w:val="20"/>
          <w:lang w:bidi="en-US"/>
          <w14:ligatures w14:val="none"/>
        </w:rPr>
        <w:t>pochodzenia antropogenicznego występujących na terenie gminy należą: zanieczyszczenia z sektora energetycznego (system ciepłowniczy i gazowy), zanieczyszczenia z sektora przemysłowego, związane z emisją punktową, pochodzącą z zakładów przemysłowych, zanieczyszczenia z sektora komunikacyjnego oraz zanieczyszczenia z sektora komunalno-bytowego, wynikające ze spalania paliw stałych niskiej jakości oraz odpadów w indywidualnych gospodarstwach domowych oraz kotłowniach lokalnych.</w:t>
      </w:r>
    </w:p>
    <w:p w14:paraId="4352A64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69230B"/>
          <w:kern w:val="0"/>
          <w:szCs w:val="20"/>
          <w:lang w:bidi="en-US"/>
          <w14:ligatures w14:val="none"/>
        </w:rPr>
        <w:t>Monitoring jakości powietrza atmosferycznego</w:t>
      </w:r>
      <w:r w:rsidRPr="003F2001">
        <w:rPr>
          <w:rFonts w:eastAsia="Times New Roman" w:cs="Times New Roman"/>
          <w:color w:val="69230B"/>
          <w:kern w:val="0"/>
          <w:szCs w:val="20"/>
          <w:lang w:bidi="en-US"/>
          <w14:ligatures w14:val="none"/>
        </w:rPr>
        <w:t xml:space="preserve"> </w:t>
      </w:r>
      <w:r w:rsidRPr="003F2001">
        <w:rPr>
          <w:rFonts w:eastAsia="Times New Roman" w:cs="Times New Roman"/>
          <w:kern w:val="0"/>
          <w:szCs w:val="20"/>
          <w:lang w:bidi="en-US"/>
          <w14:ligatures w14:val="none"/>
        </w:rPr>
        <w:t>prowadzony jest przez Główny Inspektorat Ochrony Środowiska Regionalny Wydział Monitoringu Środowiska w Lublinie. Podstawowym celem monitoringu jakości powietrza jest uzyskanie informacji o poziomach stężeń substancji w powietrzu oraz wyników ocen jakości powietrza. W celu oceny jakości powietrza na terenie województwa lubelskiego wyznaczono 2 strefy: Aglomerację Lubelską (kod strefy: PL0601) oraz strefę lubelską (kod strefy: PL0602). Stan jakości powietrza określa ocena roczna sporządzona na podstawie informacji o poziomach stężeń substancji zanieczyszczających powietrze. Program pomiarów jakości powietrza realizowany jest zgodnie ze „Strategicznym Programem Państwowego Monitoringu Środowiska na lata 2020 – 2025”. Opole Lubelskie znajduje się w strefie lubelskiej, dla której w 2023 r. nie wykazano obszarów przekroczeń poziomów dopuszczalnych oraz poziomów docelowych ze względu na ochronę zdrowia ludzi. Wykazano natomiast obszary przekroczeń poziomu celu długoterminowego ozonu.</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Na obszarze województwa lubelskiego od wielu lat występuje niski poziom zanieczyszczenia powietrza: dwutlenkiem siarki, dwutlenkiem azotu, benzenem, tlenkiem węgla oraz oznaczanymi w pyle zawieszonym PM10 metalami: ołowiem, arsenem, kadmem i niklem. W 2023 roku stężenia średnie roczne benzo(a)pirenu zawartego w pyle zawieszonym PM10 na wszystkich stanowiskach pomiarowych nie przekroczyły poziomu docelowego. Pomimo to, w dalszym ciągu istnieje problem z występowaniem wysokich stężeń benzo(a)pirenu zawartego w pyle zawieszonym PM10 w sezonie grzewczym, co wskazuje, że główną przyczyną podwyższonych stężeń jest „niska” emisja pochodząca z indywidualnego ogrzewania budynków.</w:t>
      </w:r>
    </w:p>
    <w:p w14:paraId="54C0D8DD"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Klimat akustyczny środowiska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jest to zespół zjawisk akustycznych występujących na danym obszarze, niezależnie od źródeł je wywołujących. Klimat ten, zwłaszcza w warunkach lokalnych, cechuje się silnymi zmianami w czasie i przestrzeni. Zależy on w głównej mierze od: stopnia nasycenia danego środowiska urządzeniami i pojazdami, układu urbanistycznego cechującego dane lokalne środowisko i rozplanowania w nim osiedli mieszkaniowych wraz z terenami zieleni, układu komunikacyjnego, obiektów handlowo-usługowych, zakładów produkcji. </w:t>
      </w:r>
    </w:p>
    <w:p w14:paraId="054C7A8B" w14:textId="77777777" w:rsid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Głównym źródeł hałasu na terenie Gminy Opole Lubelskie jest </w:t>
      </w:r>
      <w:r w:rsidRPr="003F2001">
        <w:rPr>
          <w:rFonts w:eastAsia="Times New Roman" w:cs="Times New Roman"/>
          <w:b/>
          <w:bCs/>
          <w:color w:val="4D160F"/>
          <w:kern w:val="0"/>
          <w:szCs w:val="20"/>
          <w:lang w:bidi="en-US"/>
          <w14:ligatures w14:val="none"/>
        </w:rPr>
        <w:t>ruch komunikacyjny</w:t>
      </w:r>
      <w:r w:rsidRPr="003F2001">
        <w:rPr>
          <w:rFonts w:eastAsia="Times New Roman" w:cs="Times New Roman"/>
          <w:kern w:val="0"/>
          <w:szCs w:val="20"/>
          <w:lang w:bidi="en-US"/>
          <w14:ligatures w14:val="none"/>
        </w:rPr>
        <w:t xml:space="preserve">. Na stopień uciążliwości ruchu komunikacyjnego wpływa natężenie ruchu, struktura ruchu pojazdów, stan techniczny i prędkość ich poruszania, rodzaj i stan techniczny, nawierzchni, układ sieci komunikacyjnej. </w:t>
      </w:r>
    </w:p>
    <w:p w14:paraId="0AE4BE57" w14:textId="77777777" w:rsidR="00F26D2C" w:rsidRPr="003F2001" w:rsidRDefault="00F26D2C" w:rsidP="003F2001">
      <w:pPr>
        <w:spacing w:line="276" w:lineRule="auto"/>
        <w:rPr>
          <w:rFonts w:eastAsia="Times New Roman" w:cs="Times New Roman"/>
          <w:kern w:val="0"/>
          <w:szCs w:val="20"/>
          <w:lang w:bidi="en-US"/>
          <w14:ligatures w14:val="none"/>
        </w:rPr>
      </w:pPr>
    </w:p>
    <w:p w14:paraId="6205DB52" w14:textId="4BFEE41E" w:rsidR="003F2001" w:rsidRPr="003F2001" w:rsidRDefault="003F2001" w:rsidP="00941F1D">
      <w:pPr>
        <w:pStyle w:val="Nagwek2"/>
      </w:pPr>
      <w:bookmarkStart w:id="30" w:name="_Toc173435438"/>
      <w:bookmarkStart w:id="31" w:name="_Toc191908753"/>
      <w:r>
        <w:lastRenderedPageBreak/>
        <w:t xml:space="preserve">2.1.8 </w:t>
      </w:r>
      <w:r w:rsidRPr="003F2001">
        <w:t>Dziedzictwo kulturowe</w:t>
      </w:r>
      <w:bookmarkEnd w:id="30"/>
      <w:bookmarkEnd w:id="31"/>
    </w:p>
    <w:p w14:paraId="15BBB4C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Dziedzictwo kulturowe</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i zabytki odgrywają współcześnie ogromną rolę w budowaniu pozycji konkurencyjnej miast i regionów, a także istotnie wpływają na jakość życia mieszkańców i atrakcyjność inwestycyjną. Gmina Opole Lubelskie legitymuje się </w:t>
      </w:r>
      <w:r w:rsidRPr="003F2001">
        <w:rPr>
          <w:rFonts w:eastAsia="Times New Roman" w:cs="Times New Roman"/>
          <w:b/>
          <w:bCs/>
          <w:color w:val="4D160F"/>
          <w:kern w:val="0"/>
          <w:szCs w:val="20"/>
          <w:lang w:bidi="en-US"/>
          <w14:ligatures w14:val="none"/>
        </w:rPr>
        <w:t>bogatą przeszłością historyczną i dziedzictwem kulturowym</w:t>
      </w:r>
      <w:r w:rsidRPr="003F2001">
        <w:rPr>
          <w:rFonts w:eastAsia="Times New Roman" w:cs="Times New Roman"/>
          <w:kern w:val="0"/>
          <w:szCs w:val="20"/>
          <w:lang w:bidi="en-US"/>
          <w14:ligatures w14:val="none"/>
        </w:rPr>
        <w:t xml:space="preserve">. Na jej obszarze występują obiekty i zespoły, które posiadają wysoką wartość kulturową i stanowią potencjał do dalszego rozwoju branży turystycznej. Zgodnie z wykazem zabytków wpisanych do rejestru zabytków nieruchomych i zabytków archeologicznych województwa lubelskiego, prowadzonym przez Lubelskiego Wojewódzkiego Konserwatora Zabytków, na terenie gminy znajduje się </w:t>
      </w:r>
      <w:r w:rsidRPr="003F2001">
        <w:rPr>
          <w:rFonts w:eastAsia="Times New Roman" w:cs="Times New Roman"/>
          <w:b/>
          <w:bCs/>
          <w:color w:val="4D160F"/>
          <w:kern w:val="0"/>
          <w:szCs w:val="20"/>
          <w:lang w:bidi="en-US"/>
          <w14:ligatures w14:val="none"/>
        </w:rPr>
        <w:t>11 zabytków architektury i budownictwa</w:t>
      </w:r>
      <w:r w:rsidRPr="003F2001">
        <w:rPr>
          <w:rFonts w:eastAsia="Times New Roman" w:cs="Times New Roman"/>
          <w:kern w:val="0"/>
          <w:szCs w:val="20"/>
          <w:lang w:bidi="en-US"/>
          <w14:ligatures w14:val="none"/>
        </w:rPr>
        <w:t>, wykazanych we wpisach księgi A oraz 4 zabytki archeologiczne wpisane do księgi C. Ponadto, na terenie gminy znajduje się wiele obiektów sakralnych i świeckich wpisanych do gminnych ewidencji zabytków, które również zasługują na ochronę, aczkolwiek nie tak ścisłą, jak zespoły wpisane do rejestru zabytków.</w:t>
      </w:r>
    </w:p>
    <w:p w14:paraId="5D13F86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Waloryzacja krajobrazu kulturowego gminy obejmuje zabytkowe układy urbanistyczne, zespoły dworskie i pałacowo-parkowe, zespoły sakralne, zabytki przemysłu i techniki, zabytkowe obiekty użyteczności publicznej oraz cmentarze i miejsca pamięci. Niewątpliwie największe znaczenie spośród zabytkowych obiektów znajdujących się na terenie gminy posiadają zespół klasztorno-popijarski (obecnie kościół parafialny pw. Wniebowzięcia NMP w Opolu Lubelskim) oraz zespół pałacowo-parkowy w Niezdowie. Na terenie gminy zachowały się również dwa historyczne układy urbanistyczne: w Opolu Lubelskim i we Wrzelowcu. Przez Opole Lubelskie przebiega również fragment Nadwiślańskiej Kolejki Wąskotorowej.</w:t>
      </w:r>
    </w:p>
    <w:p w14:paraId="622DA91D" w14:textId="36B0C8C8" w:rsidR="003F2001" w:rsidRPr="003F2001" w:rsidRDefault="003F2001" w:rsidP="003F2001">
      <w:pPr>
        <w:spacing w:after="200" w:line="240" w:lineRule="auto"/>
        <w:rPr>
          <w:rFonts w:eastAsia="Calibri" w:cs="Times New Roman"/>
          <w:b/>
          <w:bCs/>
          <w:color w:val="7B230B"/>
          <w:kern w:val="0"/>
          <w:sz w:val="16"/>
          <w:szCs w:val="19"/>
          <w14:ligatures w14:val="none"/>
        </w:rPr>
      </w:pPr>
      <w:bookmarkStart w:id="32" w:name="_Toc189166333"/>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Zabytki wpisane do rejestru zabytków nieruchomych i rejestru zabytków archeologicznych na terenie Gminy Opole Lubelskie</w:t>
      </w:r>
      <w:bookmarkEnd w:id="32"/>
    </w:p>
    <w:tbl>
      <w:tblPr>
        <w:tblStyle w:val="Tabelasiatki1jasnaakcent11"/>
        <w:tblW w:w="5000" w:type="pct"/>
        <w:tblLook w:val="04A0" w:firstRow="1" w:lastRow="0" w:firstColumn="1" w:lastColumn="0" w:noHBand="0" w:noVBand="1"/>
      </w:tblPr>
      <w:tblGrid>
        <w:gridCol w:w="466"/>
        <w:gridCol w:w="1515"/>
        <w:gridCol w:w="1700"/>
        <w:gridCol w:w="4395"/>
        <w:gridCol w:w="986"/>
      </w:tblGrid>
      <w:tr w:rsidR="003F2001" w:rsidRPr="003F2001" w14:paraId="534CFBD0" w14:textId="77777777" w:rsidTr="00CC197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0CBD96A1"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Lp.</w:t>
            </w:r>
          </w:p>
        </w:tc>
        <w:tc>
          <w:tcPr>
            <w:tcW w:w="836" w:type="pct"/>
            <w:vAlign w:val="center"/>
          </w:tcPr>
          <w:p w14:paraId="604850D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Miejscowość</w:t>
            </w:r>
          </w:p>
        </w:tc>
        <w:tc>
          <w:tcPr>
            <w:tcW w:w="938" w:type="pct"/>
            <w:vAlign w:val="center"/>
          </w:tcPr>
          <w:p w14:paraId="5152245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Adres</w:t>
            </w:r>
          </w:p>
        </w:tc>
        <w:tc>
          <w:tcPr>
            <w:tcW w:w="2425" w:type="pct"/>
            <w:vAlign w:val="center"/>
          </w:tcPr>
          <w:p w14:paraId="57490E72"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Zakres wpisu</w:t>
            </w:r>
          </w:p>
        </w:tc>
        <w:tc>
          <w:tcPr>
            <w:tcW w:w="544" w:type="pct"/>
            <w:vAlign w:val="center"/>
          </w:tcPr>
          <w:p w14:paraId="28BC1A62"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Nr rejestru</w:t>
            </w:r>
          </w:p>
        </w:tc>
      </w:tr>
      <w:tr w:rsidR="003F2001" w:rsidRPr="003F2001" w14:paraId="0897770E"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B654F13"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wykaz zabytków wpisanych do rejestru "A" zabytków nieruchomych województwa lubelskiego</w:t>
            </w:r>
          </w:p>
        </w:tc>
      </w:tr>
      <w:tr w:rsidR="003F2001" w:rsidRPr="003F2001" w14:paraId="46FC2585"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35BEFDD2"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1.</w:t>
            </w:r>
          </w:p>
        </w:tc>
        <w:tc>
          <w:tcPr>
            <w:tcW w:w="836" w:type="pct"/>
            <w:vAlign w:val="center"/>
          </w:tcPr>
          <w:p w14:paraId="7B1C41C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Kluczkowice</w:t>
            </w:r>
          </w:p>
        </w:tc>
        <w:tc>
          <w:tcPr>
            <w:tcW w:w="938" w:type="pct"/>
            <w:vAlign w:val="center"/>
          </w:tcPr>
          <w:p w14:paraId="0615072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6FC02720"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zespół pałacowo-parkowy: pałac z wystrojem i wyposażeniem salonu, dawna szkoła przypałacowa, dawne stajnie, park z drzewostanem w gran. wg opisu w decyzji</w:t>
            </w:r>
          </w:p>
        </w:tc>
        <w:tc>
          <w:tcPr>
            <w:tcW w:w="544" w:type="pct"/>
            <w:vAlign w:val="center"/>
          </w:tcPr>
          <w:p w14:paraId="39A9ED2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A/693</w:t>
            </w:r>
          </w:p>
        </w:tc>
      </w:tr>
      <w:tr w:rsidR="003F2001" w:rsidRPr="003F2001" w14:paraId="09503607"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5238412C"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2.</w:t>
            </w:r>
          </w:p>
        </w:tc>
        <w:tc>
          <w:tcPr>
            <w:tcW w:w="836" w:type="pct"/>
            <w:vAlign w:val="center"/>
          </w:tcPr>
          <w:p w14:paraId="5329175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Opole Lubelskie</w:t>
            </w:r>
          </w:p>
        </w:tc>
        <w:tc>
          <w:tcPr>
            <w:tcW w:w="938" w:type="pct"/>
            <w:vAlign w:val="center"/>
          </w:tcPr>
          <w:p w14:paraId="6A72379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3ACB1F14"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układ urbanistyczny miasta Opola Lubelskiego obejmujący historyczny układ dwóch rynków: Starego i Nowego wraz z siecią ulic i skalą zabudowy miejskiej oraz popijarskim zespołem klasztorno-szkolnym i powiązanym z miastem zespołem pałacowym, w gran. wg zał. planu</w:t>
            </w:r>
          </w:p>
        </w:tc>
        <w:tc>
          <w:tcPr>
            <w:tcW w:w="544" w:type="pct"/>
            <w:vAlign w:val="center"/>
          </w:tcPr>
          <w:p w14:paraId="1D7414D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A/640</w:t>
            </w:r>
          </w:p>
        </w:tc>
      </w:tr>
      <w:tr w:rsidR="003F2001" w:rsidRPr="003F2001" w14:paraId="08B52B07"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65356DAD"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3.</w:t>
            </w:r>
          </w:p>
        </w:tc>
        <w:tc>
          <w:tcPr>
            <w:tcW w:w="836" w:type="pct"/>
            <w:vAlign w:val="center"/>
          </w:tcPr>
          <w:p w14:paraId="4DBD7C7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Opole Lubelskie</w:t>
            </w:r>
          </w:p>
        </w:tc>
        <w:tc>
          <w:tcPr>
            <w:tcW w:w="938" w:type="pct"/>
            <w:vAlign w:val="center"/>
          </w:tcPr>
          <w:p w14:paraId="795C82F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6D187413"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zespół popijarski: kościół paraf. pw. Wniebowzięcia NMP z zabytkami ruchomymi, drzewostan w gran. cmentarza kościelnego, klasztor, szkoły popijarskie, dzwonnica, dzwonnica bramowa, mur cmentarza kościelnego z zamurowaną bramką, dom poklasztorny przy Nowym Rynku 2, dom poklasztorny przy ul. Kościuszki 2/ ul. Syndykacka, budynek popijarski przy ul. Kościuszki 4</w:t>
            </w:r>
          </w:p>
        </w:tc>
        <w:tc>
          <w:tcPr>
            <w:tcW w:w="544" w:type="pct"/>
            <w:vAlign w:val="center"/>
          </w:tcPr>
          <w:p w14:paraId="5E29E7F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A/152</w:t>
            </w:r>
          </w:p>
        </w:tc>
      </w:tr>
      <w:tr w:rsidR="003F2001" w:rsidRPr="003F2001" w14:paraId="34CD8976"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294070C7"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4.</w:t>
            </w:r>
          </w:p>
        </w:tc>
        <w:tc>
          <w:tcPr>
            <w:tcW w:w="836" w:type="pct"/>
            <w:vAlign w:val="center"/>
          </w:tcPr>
          <w:p w14:paraId="283355D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Opole Lubelskie</w:t>
            </w:r>
          </w:p>
        </w:tc>
        <w:tc>
          <w:tcPr>
            <w:tcW w:w="938" w:type="pct"/>
            <w:vAlign w:val="center"/>
          </w:tcPr>
          <w:p w14:paraId="5470E0E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09703EC2"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pozostałości zespołu pałacowo-parkowego: pałac z dekoracją arch.-rzeźb., oficyna, budynek administracyjny, budynek podworski, spichlerz (przy ul. Lubelskiej), otaczający budynek pałacu niezabudowany teren d. dziedzińca i części ogrodu, w gran. wg zał. planu</w:t>
            </w:r>
          </w:p>
        </w:tc>
        <w:tc>
          <w:tcPr>
            <w:tcW w:w="544" w:type="pct"/>
            <w:vAlign w:val="center"/>
          </w:tcPr>
          <w:p w14:paraId="3224473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A/448</w:t>
            </w:r>
          </w:p>
        </w:tc>
      </w:tr>
      <w:tr w:rsidR="003F2001" w:rsidRPr="003F2001" w14:paraId="3F7F2644"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4C1F4457"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5.</w:t>
            </w:r>
          </w:p>
        </w:tc>
        <w:tc>
          <w:tcPr>
            <w:tcW w:w="836" w:type="pct"/>
            <w:vAlign w:val="center"/>
          </w:tcPr>
          <w:p w14:paraId="668D9A9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Opole Lubelskie</w:t>
            </w:r>
          </w:p>
        </w:tc>
        <w:tc>
          <w:tcPr>
            <w:tcW w:w="938" w:type="pct"/>
            <w:vAlign w:val="center"/>
          </w:tcPr>
          <w:p w14:paraId="61707CA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ul. Cmentarna</w:t>
            </w:r>
          </w:p>
        </w:tc>
        <w:tc>
          <w:tcPr>
            <w:tcW w:w="2425" w:type="pct"/>
            <w:vAlign w:val="center"/>
          </w:tcPr>
          <w:p w14:paraId="336AFECA"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kaplica pw. Przemienienia Pańskiego, w gran. ścian zewn., wraz z gruntem pod obiektem budowlanym, zlokalizowana na terenie cmentarza rzymskokatolickiego, na działce wskazanej w decyzji</w:t>
            </w:r>
          </w:p>
        </w:tc>
        <w:tc>
          <w:tcPr>
            <w:tcW w:w="544" w:type="pct"/>
            <w:vAlign w:val="center"/>
          </w:tcPr>
          <w:p w14:paraId="2ABD695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A/1631</w:t>
            </w:r>
          </w:p>
        </w:tc>
      </w:tr>
      <w:tr w:rsidR="003F2001" w:rsidRPr="003F2001" w14:paraId="76EE848E"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0BEBDB9E"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6.</w:t>
            </w:r>
          </w:p>
        </w:tc>
        <w:tc>
          <w:tcPr>
            <w:tcW w:w="836" w:type="pct"/>
            <w:vAlign w:val="center"/>
          </w:tcPr>
          <w:p w14:paraId="7254F8D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Opole Lubelskie</w:t>
            </w:r>
          </w:p>
        </w:tc>
        <w:tc>
          <w:tcPr>
            <w:tcW w:w="938" w:type="pct"/>
            <w:vAlign w:val="center"/>
          </w:tcPr>
          <w:p w14:paraId="40DC268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 xml:space="preserve">ul. Parkowa 7, 7a, 9, </w:t>
            </w:r>
          </w:p>
          <w:p w14:paraId="58BEE6C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Al. 600-lecia 17</w:t>
            </w:r>
          </w:p>
        </w:tc>
        <w:tc>
          <w:tcPr>
            <w:tcW w:w="2425" w:type="pct"/>
            <w:vAlign w:val="center"/>
          </w:tcPr>
          <w:p w14:paraId="2EA8430D"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 xml:space="preserve">d. zespół pałacowo-parkowy (w d. Niezdowie): pałac z wystrojem architektoniczno-rzeźbiarskim, śladami polichromii i wyposażeniem, dwie oficyny, </w:t>
            </w:r>
            <w:r w:rsidRPr="003F2001">
              <w:rPr>
                <w:rFonts w:cs="Times New Roman"/>
                <w:sz w:val="16"/>
                <w:szCs w:val="16"/>
                <w:lang w:bidi="en-US"/>
              </w:rPr>
              <w:lastRenderedPageBreak/>
              <w:t>założenie dziedzińca z d. podjazdem, park ze wszystkimi alejami, zespół. drzew, sadzawkami i budowlami parkowymi, w gran. wg zał. planu</w:t>
            </w:r>
          </w:p>
        </w:tc>
        <w:tc>
          <w:tcPr>
            <w:tcW w:w="544" w:type="pct"/>
            <w:vAlign w:val="center"/>
          </w:tcPr>
          <w:p w14:paraId="08210CA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lastRenderedPageBreak/>
              <w:t>A/447</w:t>
            </w:r>
          </w:p>
        </w:tc>
      </w:tr>
      <w:tr w:rsidR="003F2001" w:rsidRPr="003F2001" w14:paraId="663D7954"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37603665"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7.</w:t>
            </w:r>
          </w:p>
        </w:tc>
        <w:tc>
          <w:tcPr>
            <w:tcW w:w="836" w:type="pct"/>
            <w:vAlign w:val="center"/>
          </w:tcPr>
          <w:p w14:paraId="01138F7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Opole Lubelskie</w:t>
            </w:r>
          </w:p>
        </w:tc>
        <w:tc>
          <w:tcPr>
            <w:tcW w:w="938" w:type="pct"/>
            <w:vAlign w:val="center"/>
          </w:tcPr>
          <w:p w14:paraId="6672B83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Nowy Rynek 6</w:t>
            </w:r>
          </w:p>
        </w:tc>
        <w:tc>
          <w:tcPr>
            <w:tcW w:w="2425" w:type="pct"/>
            <w:vAlign w:val="center"/>
          </w:tcPr>
          <w:p w14:paraId="5A1211D6"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dawny ratusz, położony na dz. 126/6 w Opolu Lubelskim - w gran. ścian zewnętrznych (z wyłączeniem wtórnie dobudowanych do niego budynków gospodarczych)</w:t>
            </w:r>
          </w:p>
        </w:tc>
        <w:tc>
          <w:tcPr>
            <w:tcW w:w="544" w:type="pct"/>
            <w:vAlign w:val="center"/>
          </w:tcPr>
          <w:p w14:paraId="02432DB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A/1701</w:t>
            </w:r>
          </w:p>
        </w:tc>
      </w:tr>
      <w:tr w:rsidR="003F2001" w:rsidRPr="003F2001" w14:paraId="07ADEF3B"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5F648008"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8.</w:t>
            </w:r>
          </w:p>
        </w:tc>
        <w:tc>
          <w:tcPr>
            <w:tcW w:w="836" w:type="pct"/>
            <w:vAlign w:val="center"/>
          </w:tcPr>
          <w:p w14:paraId="2D908EB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Wola Rudzka</w:t>
            </w:r>
          </w:p>
        </w:tc>
        <w:tc>
          <w:tcPr>
            <w:tcW w:w="938" w:type="pct"/>
            <w:vAlign w:val="center"/>
          </w:tcPr>
          <w:p w14:paraId="1DBF09B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44E3D2FF"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 xml:space="preserve">młyn wodny, w gran. ścian zewnętrznych, wg zał. mapy </w:t>
            </w:r>
          </w:p>
        </w:tc>
        <w:tc>
          <w:tcPr>
            <w:tcW w:w="544" w:type="pct"/>
            <w:vAlign w:val="center"/>
          </w:tcPr>
          <w:p w14:paraId="7322589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A/1120</w:t>
            </w:r>
          </w:p>
        </w:tc>
      </w:tr>
      <w:tr w:rsidR="003F2001" w:rsidRPr="003F2001" w14:paraId="2768EA5D"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36BF5179"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9.</w:t>
            </w:r>
          </w:p>
        </w:tc>
        <w:tc>
          <w:tcPr>
            <w:tcW w:w="836" w:type="pct"/>
            <w:vAlign w:val="center"/>
          </w:tcPr>
          <w:p w14:paraId="64A55AC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Wrzelowiec</w:t>
            </w:r>
          </w:p>
        </w:tc>
        <w:tc>
          <w:tcPr>
            <w:tcW w:w="938" w:type="pct"/>
            <w:vAlign w:val="center"/>
          </w:tcPr>
          <w:p w14:paraId="3698A3F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18D7177F"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zespół kościoła parafialnego: kościół pw. Świętej Trójcy z wyposażeniem wnętrza, dzwonnica, ogrodzenie z czterema kapliczkami i bramką, kostnica, drzewostan w obrębie cmentarza kościelnego</w:t>
            </w:r>
          </w:p>
        </w:tc>
        <w:tc>
          <w:tcPr>
            <w:tcW w:w="544" w:type="pct"/>
            <w:vAlign w:val="center"/>
          </w:tcPr>
          <w:p w14:paraId="0EAD11A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A/558</w:t>
            </w:r>
          </w:p>
          <w:p w14:paraId="208B9F3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r>
      <w:tr w:rsidR="003F2001" w:rsidRPr="003F2001" w14:paraId="4EE886B5"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7EF3A748"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10.</w:t>
            </w:r>
          </w:p>
        </w:tc>
        <w:tc>
          <w:tcPr>
            <w:tcW w:w="836" w:type="pct"/>
            <w:vAlign w:val="center"/>
          </w:tcPr>
          <w:p w14:paraId="6465698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Wrzelowiec</w:t>
            </w:r>
          </w:p>
        </w:tc>
        <w:tc>
          <w:tcPr>
            <w:tcW w:w="938" w:type="pct"/>
            <w:vAlign w:val="center"/>
          </w:tcPr>
          <w:p w14:paraId="218DF09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5D542341"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„stara” plebania w zespole kościelnym, w gran. ścian zewnętrznych</w:t>
            </w:r>
          </w:p>
        </w:tc>
        <w:tc>
          <w:tcPr>
            <w:tcW w:w="544" w:type="pct"/>
            <w:vAlign w:val="center"/>
          </w:tcPr>
          <w:p w14:paraId="7FD9503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A/558</w:t>
            </w:r>
          </w:p>
        </w:tc>
      </w:tr>
      <w:tr w:rsidR="003F2001" w:rsidRPr="003F2001" w14:paraId="4E3E24E3"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4984B77A"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11.</w:t>
            </w:r>
          </w:p>
        </w:tc>
        <w:tc>
          <w:tcPr>
            <w:tcW w:w="836" w:type="pct"/>
            <w:vAlign w:val="center"/>
          </w:tcPr>
          <w:p w14:paraId="037FA87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Wrzelowiec</w:t>
            </w:r>
          </w:p>
        </w:tc>
        <w:tc>
          <w:tcPr>
            <w:tcW w:w="938" w:type="pct"/>
            <w:vAlign w:val="center"/>
          </w:tcPr>
          <w:p w14:paraId="536F0C0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662DAC8E"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organistówka w zespole kościelnym, w gran. ścian zewnętrznych</w:t>
            </w:r>
          </w:p>
        </w:tc>
        <w:tc>
          <w:tcPr>
            <w:tcW w:w="544" w:type="pct"/>
            <w:vAlign w:val="center"/>
          </w:tcPr>
          <w:p w14:paraId="0141A40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A/558</w:t>
            </w:r>
          </w:p>
        </w:tc>
      </w:tr>
      <w:tr w:rsidR="003F2001" w:rsidRPr="003F2001" w14:paraId="1E85140A"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11A06D6"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wykaz zabytków wpisanych do rejestru "C" zabytków archeologicznych województwa lubelskiego</w:t>
            </w:r>
          </w:p>
        </w:tc>
      </w:tr>
      <w:tr w:rsidR="003F2001" w:rsidRPr="003F2001" w14:paraId="41515C92"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725E845E"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1.</w:t>
            </w:r>
          </w:p>
        </w:tc>
        <w:tc>
          <w:tcPr>
            <w:tcW w:w="836" w:type="pct"/>
            <w:vAlign w:val="center"/>
          </w:tcPr>
          <w:p w14:paraId="2F0907F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Kluczkowice</w:t>
            </w:r>
          </w:p>
        </w:tc>
        <w:tc>
          <w:tcPr>
            <w:tcW w:w="938" w:type="pct"/>
            <w:vAlign w:val="center"/>
          </w:tcPr>
          <w:p w14:paraId="0882F49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22EDC2E9"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zamczysko, na działce wskazanej w decyzji, wg załącznika graf.</w:t>
            </w:r>
          </w:p>
        </w:tc>
        <w:tc>
          <w:tcPr>
            <w:tcW w:w="544" w:type="pct"/>
            <w:vAlign w:val="center"/>
          </w:tcPr>
          <w:p w14:paraId="165B22C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C/165</w:t>
            </w:r>
          </w:p>
        </w:tc>
      </w:tr>
      <w:tr w:rsidR="003F2001" w:rsidRPr="003F2001" w14:paraId="750CA407"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69591CB0"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2.</w:t>
            </w:r>
          </w:p>
        </w:tc>
        <w:tc>
          <w:tcPr>
            <w:tcW w:w="836" w:type="pct"/>
            <w:vAlign w:val="center"/>
          </w:tcPr>
          <w:p w14:paraId="1AAE690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Puszno Skokowskie</w:t>
            </w:r>
          </w:p>
        </w:tc>
        <w:tc>
          <w:tcPr>
            <w:tcW w:w="938" w:type="pct"/>
            <w:vAlign w:val="center"/>
          </w:tcPr>
          <w:p w14:paraId="2FFEEF6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62332A6B"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kopiec ziemny (mogiła), wskazanych w postanowieniu prostującym treść decyzji o wpisie do rejestru</w:t>
            </w:r>
          </w:p>
        </w:tc>
        <w:tc>
          <w:tcPr>
            <w:tcW w:w="544" w:type="pct"/>
            <w:vAlign w:val="center"/>
          </w:tcPr>
          <w:p w14:paraId="5FEF293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C/13</w:t>
            </w:r>
          </w:p>
        </w:tc>
      </w:tr>
      <w:tr w:rsidR="003F2001" w:rsidRPr="003F2001" w14:paraId="4369A73E"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00FD8F37"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3.</w:t>
            </w:r>
          </w:p>
        </w:tc>
        <w:tc>
          <w:tcPr>
            <w:tcW w:w="836" w:type="pct"/>
            <w:vAlign w:val="center"/>
          </w:tcPr>
          <w:p w14:paraId="1A6BEF6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Skoków</w:t>
            </w:r>
          </w:p>
        </w:tc>
        <w:tc>
          <w:tcPr>
            <w:tcW w:w="938" w:type="pct"/>
            <w:vAlign w:val="center"/>
          </w:tcPr>
          <w:p w14:paraId="39CBDB4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5CA8BD46"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cmentarzysko kurhanowe (7 kopców)</w:t>
            </w:r>
          </w:p>
        </w:tc>
        <w:tc>
          <w:tcPr>
            <w:tcW w:w="544" w:type="pct"/>
            <w:vAlign w:val="center"/>
          </w:tcPr>
          <w:p w14:paraId="507213A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C/18</w:t>
            </w:r>
          </w:p>
        </w:tc>
      </w:tr>
      <w:tr w:rsidR="003F2001" w:rsidRPr="003F2001" w14:paraId="7502EF29" w14:textId="77777777" w:rsidTr="00CC1974">
        <w:trPr>
          <w:trHeight w:val="283"/>
        </w:trPr>
        <w:tc>
          <w:tcPr>
            <w:cnfStyle w:val="001000000000" w:firstRow="0" w:lastRow="0" w:firstColumn="1" w:lastColumn="0" w:oddVBand="0" w:evenVBand="0" w:oddHBand="0" w:evenHBand="0" w:firstRowFirstColumn="0" w:firstRowLastColumn="0" w:lastRowFirstColumn="0" w:lastRowLastColumn="0"/>
            <w:tcW w:w="257" w:type="pct"/>
            <w:vAlign w:val="center"/>
          </w:tcPr>
          <w:p w14:paraId="4741D5BB"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4.</w:t>
            </w:r>
          </w:p>
        </w:tc>
        <w:tc>
          <w:tcPr>
            <w:tcW w:w="836" w:type="pct"/>
            <w:vAlign w:val="center"/>
          </w:tcPr>
          <w:p w14:paraId="43B1497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Stare Komaszyce</w:t>
            </w:r>
          </w:p>
        </w:tc>
        <w:tc>
          <w:tcPr>
            <w:tcW w:w="938" w:type="pct"/>
            <w:vAlign w:val="center"/>
          </w:tcPr>
          <w:p w14:paraId="035C2E9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2425" w:type="pct"/>
            <w:vAlign w:val="center"/>
          </w:tcPr>
          <w:p w14:paraId="027491A8"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kopiec ziemny – stanowisko</w:t>
            </w:r>
          </w:p>
          <w:p w14:paraId="4D0486FD"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archeologiczne nr 14 AZP 80-76/4 w</w:t>
            </w:r>
          </w:p>
          <w:p w14:paraId="41BB7127"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granicach działek nr 1023 i 160</w:t>
            </w:r>
          </w:p>
          <w:p w14:paraId="4EF0BC75"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wskazanych w postanowieniu prostującym</w:t>
            </w:r>
          </w:p>
        </w:tc>
        <w:tc>
          <w:tcPr>
            <w:tcW w:w="544" w:type="pct"/>
            <w:vAlign w:val="center"/>
          </w:tcPr>
          <w:p w14:paraId="047AC5C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C/12</w:t>
            </w:r>
          </w:p>
        </w:tc>
      </w:tr>
    </w:tbl>
    <w:p w14:paraId="1F9D72F0" w14:textId="7BB1E3BA" w:rsidR="003F2001" w:rsidRPr="00F26D2C" w:rsidRDefault="003F2001" w:rsidP="003F2001">
      <w:pPr>
        <w:spacing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Obwieszczenia Nr 1/2024 Lubelskiego Wojewódzkiego Konserwatora Zabytków w Lublinie z dnia 27 lutego 2024 r. w sprawie wykazu zabytków wpisanych do rejestru zabytków nieruchomych województwa lubelskiego i do rejestru zabytków archeologicznych województwa lubelskiego.</w:t>
      </w:r>
    </w:p>
    <w:p w14:paraId="764F1EC7" w14:textId="79688070" w:rsidR="003F2001" w:rsidRPr="003F2001" w:rsidRDefault="003F2001" w:rsidP="00941F1D">
      <w:pPr>
        <w:pStyle w:val="Nagwek2"/>
      </w:pPr>
      <w:bookmarkStart w:id="33" w:name="_Toc173435439"/>
      <w:bookmarkStart w:id="34" w:name="_Toc191908754"/>
      <w:r>
        <w:t xml:space="preserve">2.1.9 </w:t>
      </w:r>
      <w:r w:rsidRPr="003F2001">
        <w:t>Podsumowanie i wnioski</w:t>
      </w:r>
      <w:bookmarkEnd w:id="33"/>
      <w:bookmarkEnd w:id="34"/>
    </w:p>
    <w:p w14:paraId="545C9DF8"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Gmina miejsko-wiejska Opole Lubelskie położona jest w zachodniej części województwa lubelskiego i sąsiaduje z sześcioma gminami: Chodel, Poniatowa, Karczmiska, Urzędów, Łaziska, Józefów nad Wisłą. Powierzchnia administracyjna gminy wynosi 19 373 ha.</w:t>
      </w:r>
    </w:p>
    <w:p w14:paraId="00251FAB"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Według podziału fizyczno-geograficznego Polski gmina położona jest na pograniczu dwóch jednostek fizycznogeograficznych - północna część obszaru leży w obrębie mezoregionu Kotlina Chodelska, część południowa w obrębie Wzniesień Urzędowych.</w:t>
      </w:r>
      <w:r w:rsidRPr="003F2001">
        <w:rPr>
          <w:rFonts w:ascii="Calibri" w:eastAsia="Calibri" w:hAnsi="Calibri" w:cs="Times New Roman"/>
          <w:sz w:val="22"/>
        </w:rPr>
        <w:t xml:space="preserve"> </w:t>
      </w:r>
    </w:p>
    <w:p w14:paraId="2B3C9E2B"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Północna i północno-wschodnia część gminy odznacza się dużą gęstością tkanki wodnej, na którą składają się: sieć rzeczna, stawy, dość liczne źródła, mokradła oraz tereny pocięte siecią melioracyjną. Głównymi rzekami tej części gminy są: Chodelka i jej lewy dopływ Jankówka. Południowa część gminy jest odwadniana przez Potok Wrzelowiecki.</w:t>
      </w:r>
    </w:p>
    <w:p w14:paraId="4F8C9031"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Na terenie gminy występują złoża surowców mineralnych tj. piasków i żwirów, torfów i surowców ilastych ceramiki budowlanej.</w:t>
      </w:r>
    </w:p>
    <w:p w14:paraId="5E849558"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Gmina Opole Lubelskie cechuje się licznymi walorami i zasobami środowiska, przyrody i krajobrazu. Obszary wyróżniające się szczególnymi wartościami przyrodniczymi i krajobrazowymi objęto ochroną obszarową – na analizowanym terenie ustanowiono Wrzelowiecki Park Krajobrazowy oraz Chodelski Obszar Chronionego Krajobrazu. W celu ochrony pozostałości naturalnych ekosystemów mających znaczenie dla zachowania różnorodności biologicznej oraz cennych fragmentów krajobrazu naturalnego i kulturowego, na terenie gminy utworzono użytek ekologiczny „Emilcin”, obejmujący podmokłe łąki z licznymi zagłębieniami i oczkami wodnymi. Ponadto, na analizowanym obszarze, znajduje się 11 pomników przyrody reprezentowanych przez okazałe drzewa.</w:t>
      </w:r>
    </w:p>
    <w:p w14:paraId="1F62403D"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lastRenderedPageBreak/>
        <w:t xml:space="preserve">Do terenów o szczególnych walorach przyrodniczych zlokalizowanych w granicach Opola Lubelskiego należą również Obszary Natura 2000. W granicach gminy znajdują się dwie ostoje siedliskowe „Opole Lubelskie” (PLH060054) oraz „Komaszyce” (PLH060063). </w:t>
      </w:r>
    </w:p>
    <w:p w14:paraId="174733E3"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Według delimitacji korytarzy ekologicznych przeprowadzonej przez Instytut Badań Systemowych Polskiej Akademii Nauk Przez obszar gminy przebiega korytarz ekologiczny o randze ponadlokalnej: główny korytarz ekologiczny Małopolski Przełom Wisły (GKPdC-4A).</w:t>
      </w:r>
    </w:p>
    <w:p w14:paraId="219E4922"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Wody powierzchniowe na terenie gminy badane są w ramach monitoringu rzek i zbiorników zaporowych, a prowadzone badania obejmują główne rzeki przepływające przez analizowany obszar. Obszar gminy znajduje się w granicach dwóch jednolitych części wód powierzchniowych (JCWP): Chodelka (PLRW20000623749) i Wrzelowianka (PLRW2000062338). Wyniki monitoringu stanu środowiska prowadzonego w latach 2016-2021 wskazują, że stan/potencjał jednolitych części wód powierzchniowych na analizowanym terenie w oceniany jest jako zły.</w:t>
      </w:r>
    </w:p>
    <w:p w14:paraId="506863A2"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Z kolei wyniki badań wód podziemnych pokazują, że zarówno ich stan ilościowy, jak i stan chemiczny wód na terenie Opola Lubelskiego jest dobry, a badane wody odpowiadają III klasie czystości.</w:t>
      </w:r>
    </w:p>
    <w:p w14:paraId="4FC3263A"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Do głównych źródeł zanieczyszczeń powietrza pochodzenia antropogenicznego występujących na terenie gminy należą: zanieczyszczenia z sektora energetycznego (system ciepłowniczy i gazowy), zanieczyszczenia z sektora przemysłowego, związane z emisją punktową, pochodzącą z zakładów przemysłowych, zanieczyszczenia z sektora komunikacyjnego oraz zanieczyszczenia z sektora komunalno-bytowego, wynikające ze spalania paliw stałych niskiej jakości oraz odpadów indywidualnych gospodarstwach domowych oraz kotłowniach lokalnych. Główną przyczyną występowania przekroczeń jest emisja z systemów indywidualnego ogrzewania budynków oraz niekorzystne warunki meteorologiczne głównie w sezonie zimowym.</w:t>
      </w:r>
    </w:p>
    <w:p w14:paraId="0C9E59E3"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W celu poprawy jakości powierza na terenie gminy należy kontynuować realizowane działania polegające w szczególności na: likwidacji lokalnych źródeł ciepła, wymianie starych, wysokoemisyjnych urządzeń grzewczych opalanych węglem kamiennym na niskoemisyjne piece ekologiczne, termomodernizacji i termorenowacji budynków w celu zmniejszenia zapotrzebowania na ciepło, budowie, modernizacji i rozbudowie sieci cieplnej i gazowej, wykorzystaniu odnawialnych źródeł energii, rozbudowie ścieżek rowerowych, rozwoju i unowocześnianiu transportu zbiorowego, a także edukacji i informowaniu mieszkańców.</w:t>
      </w:r>
    </w:p>
    <w:p w14:paraId="31EB12A3" w14:textId="77777777" w:rsidR="003F2001" w:rsidRPr="003F2001" w:rsidRDefault="003F2001">
      <w:pPr>
        <w:numPr>
          <w:ilvl w:val="0"/>
          <w:numId w:val="54"/>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Gmina Opole Lubelskie legitymuje się bogatą przeszłością historyczną i dziedzictwem kulturowym. Na jej obszarze występują obiekty i zespoły, które posiadają wysoką wartość kulturową i stanowią potencjał do dalszego rozwoju branży turystycznej. Do grupy najliczniej reprezentowanych obiektów zabytkowych należą obiekty sakralne, cmentarze oraz zespoły pałacowo-parkowe.</w:t>
      </w:r>
      <w:r w:rsidRPr="003F2001">
        <w:rPr>
          <w:rFonts w:ascii="Calibri" w:eastAsia="Calibri" w:hAnsi="Calibri" w:cs="Times New Roman"/>
          <w:sz w:val="22"/>
        </w:rPr>
        <w:t xml:space="preserve"> </w:t>
      </w:r>
      <w:r w:rsidRPr="003F2001">
        <w:rPr>
          <w:rFonts w:eastAsia="Times New Roman" w:cs="Times New Roman"/>
          <w:color w:val="69230B"/>
          <w:kern w:val="0"/>
          <w:szCs w:val="20"/>
          <w:lang w:bidi="en-US"/>
          <w14:ligatures w14:val="none"/>
        </w:rPr>
        <w:t>Bogata różnorodność przyrodnicza i krajobrazowa wpływa korzystnie na atrakcyjność turystyczną gminy, stanowiąc istotny czynnik kreowania polityki lokalnej opartej na rozwoju różnych form turystyki.</w:t>
      </w:r>
    </w:p>
    <w:p w14:paraId="2236C165" w14:textId="77777777" w:rsidR="003F2001" w:rsidRPr="003F2001" w:rsidRDefault="003F2001" w:rsidP="003F2001">
      <w:pPr>
        <w:spacing w:after="160" w:line="259" w:lineRule="auto"/>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br w:type="page"/>
      </w:r>
    </w:p>
    <w:p w14:paraId="632B93B7" w14:textId="2FF03939" w:rsidR="003F2001" w:rsidRPr="003F2001" w:rsidRDefault="003F2001" w:rsidP="00941F1D">
      <w:pPr>
        <w:pStyle w:val="Nagwek1"/>
        <w:rPr>
          <w:lang w:bidi="en-US"/>
        </w:rPr>
      </w:pPr>
      <w:bookmarkStart w:id="35" w:name="_Toc173435440"/>
      <w:bookmarkStart w:id="36" w:name="_Toc191908755"/>
      <w:r>
        <w:rPr>
          <w:lang w:bidi="en-US"/>
        </w:rPr>
        <w:lastRenderedPageBreak/>
        <w:t xml:space="preserve">2.2 </w:t>
      </w:r>
      <w:r w:rsidRPr="003F2001">
        <w:rPr>
          <w:lang w:bidi="en-US"/>
        </w:rPr>
        <w:t>Demografia i potencjał społeczny</w:t>
      </w:r>
      <w:bookmarkEnd w:id="35"/>
      <w:bookmarkEnd w:id="36"/>
    </w:p>
    <w:p w14:paraId="19CEC680"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Ludność uznawana jest za jeden z najważniejszych zasobów lokalnych, zaś czynnik ludzki za podstawowe źródło szeroko pojętego rozwoju społeczno-gospodarczego oraz ważny czynnik konkurencyjności. Liczba i struktura ludności, będące następstwem procesów demograficznych zachodzących na danym obszarze, w znacznym stopniu wpływają na całokształt procesów społecznych i ekonomicznych. Analiza przemian w sferze demografii stanowi podstawę wszelkich ocen sytuacji społeczno-gospodarczej oraz analiz konkurencyjności, jak również jest jedną z najważniejszych przesłanek podejmowania decyzji związanych z polityką lokalną i regionalną.</w:t>
      </w:r>
    </w:p>
    <w:p w14:paraId="2CA1C902" w14:textId="7ED47587" w:rsidR="003F2001" w:rsidRPr="003F2001" w:rsidRDefault="003F2001" w:rsidP="00941F1D">
      <w:pPr>
        <w:pStyle w:val="Nagwek2"/>
      </w:pPr>
      <w:bookmarkStart w:id="37" w:name="_Toc173435441"/>
      <w:bookmarkStart w:id="38" w:name="_Toc191908756"/>
      <w:r>
        <w:t xml:space="preserve">2.2.1 </w:t>
      </w:r>
      <w:r w:rsidRPr="003F2001">
        <w:t>Liczba ludności</w:t>
      </w:r>
      <w:bookmarkEnd w:id="37"/>
      <w:bookmarkEnd w:id="38"/>
    </w:p>
    <w:p w14:paraId="55A9278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Zgodnie z danymi statystycznymi Gminę Opole Lubelskie w końcu 2023 r. zamieszkiwało </w:t>
      </w:r>
      <w:r w:rsidRPr="003F2001">
        <w:rPr>
          <w:rFonts w:eastAsia="Times New Roman" w:cs="Times New Roman"/>
          <w:b/>
          <w:bCs/>
          <w:color w:val="4D160F"/>
          <w:kern w:val="0"/>
          <w:szCs w:val="20"/>
          <w:lang w:bidi="en-US"/>
          <w14:ligatures w14:val="none"/>
        </w:rPr>
        <w:t>16 189 osób</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(8 339 kobiet i 7 850 mężczyzn), co stanowi 29,1% ludności powiatu opolskiego oraz 0,8% ludności województwa lubelskiego. Miasto Opole Lubelskie liczyło 7 864 mieszkańców, natomiast na terenie wiejskim gminy miejsko-wiejskiej mieszkało 8 325 osób. Znajduje to swoje odbicie we </w:t>
      </w:r>
      <w:r w:rsidRPr="003F2001">
        <w:rPr>
          <w:rFonts w:eastAsia="Times New Roman" w:cs="Times New Roman"/>
          <w:b/>
          <w:bCs/>
          <w:color w:val="4D160F"/>
          <w:kern w:val="0"/>
          <w:szCs w:val="20"/>
          <w:lang w:bidi="en-US"/>
          <w14:ligatures w14:val="none"/>
        </w:rPr>
        <w:t>wskaźniku gęstości zaludnienia</w:t>
      </w:r>
      <w:r w:rsidRPr="003F2001">
        <w:rPr>
          <w:rFonts w:eastAsia="Times New Roman" w:cs="Times New Roman"/>
          <w:kern w:val="0"/>
          <w:szCs w:val="20"/>
          <w:lang w:bidi="en-US"/>
          <w14:ligatures w14:val="none"/>
        </w:rPr>
        <w:t>, który na terenie miasta wyniósł w 2023 r. 520 osób/km</w:t>
      </w:r>
      <w:r w:rsidRPr="003F2001">
        <w:rPr>
          <w:rFonts w:eastAsia="Times New Roman" w:cs="Times New Roman"/>
          <w:kern w:val="0"/>
          <w:szCs w:val="20"/>
          <w:vertAlign w:val="superscript"/>
          <w:lang w:bidi="en-US"/>
          <w14:ligatures w14:val="none"/>
        </w:rPr>
        <w:t>2</w:t>
      </w:r>
      <w:r w:rsidRPr="003F2001">
        <w:rPr>
          <w:rFonts w:eastAsia="Times New Roman" w:cs="Times New Roman"/>
          <w:kern w:val="0"/>
          <w:szCs w:val="20"/>
          <w:lang w:bidi="en-US"/>
          <w14:ligatures w14:val="none"/>
        </w:rPr>
        <w:t>, natomiast na obszarze wiejskim 47 osób/km</w:t>
      </w:r>
      <w:r w:rsidRPr="003F2001">
        <w:rPr>
          <w:rFonts w:eastAsia="Times New Roman" w:cs="Times New Roman"/>
          <w:kern w:val="0"/>
          <w:szCs w:val="20"/>
          <w:vertAlign w:val="superscript"/>
          <w:lang w:bidi="en-US"/>
          <w14:ligatures w14:val="none"/>
        </w:rPr>
        <w:t>2</w:t>
      </w:r>
      <w:r w:rsidRPr="003F2001">
        <w:rPr>
          <w:rFonts w:eastAsia="Times New Roman" w:cs="Times New Roman"/>
          <w:kern w:val="0"/>
          <w:szCs w:val="20"/>
          <w:lang w:bidi="en-US"/>
          <w14:ligatures w14:val="none"/>
        </w:rPr>
        <w:t>.</w:t>
      </w:r>
    </w:p>
    <w:p w14:paraId="555DF255" w14:textId="33C76F59"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39" w:name="_Toc189166357"/>
      <w:r w:rsidRPr="003F2001">
        <w:rPr>
          <w:rFonts w:eastAsia="Calibri" w:cs="Times New Roman"/>
          <w:b/>
          <w:bCs/>
          <w:color w:val="7B230B"/>
          <w:kern w:val="0"/>
          <w:sz w:val="16"/>
          <w:szCs w:val="19"/>
          <w:lang w:bidi="en-US"/>
          <w14:ligatures w14:val="none"/>
        </w:rPr>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1</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Liczba ludności na terenie Gminy Opole Lubelskie w latach 2014-2023 (osoby)</w:t>
      </w:r>
      <w:bookmarkEnd w:id="39"/>
    </w:p>
    <w:p w14:paraId="102678A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4C5DF359" wp14:editId="4B4D7F56">
            <wp:extent cx="5760720" cy="2699385"/>
            <wp:effectExtent l="0" t="0" r="0" b="5715"/>
            <wp:docPr id="27" name="Wykres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EE727C" w14:textId="77777777" w:rsidR="003F2001" w:rsidRPr="003F2001" w:rsidRDefault="003F2001" w:rsidP="003F2001">
      <w:pPr>
        <w:spacing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0CAAC928" w14:textId="77777777" w:rsidR="003F2001" w:rsidRDefault="003F2001" w:rsidP="003F2001">
      <w:pPr>
        <w:spacing w:line="276" w:lineRule="auto"/>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 xml:space="preserve">Podstawowym wskaźnikiem obrazującym rozwój demograficzny obszaru jest </w:t>
      </w:r>
      <w:r w:rsidRPr="003F2001">
        <w:rPr>
          <w:rFonts w:eastAsia="Times New Roman" w:cs="Times New Roman"/>
          <w:b/>
          <w:bCs/>
          <w:color w:val="4D160F"/>
          <w:kern w:val="0"/>
          <w:szCs w:val="20"/>
          <w:lang w:bidi="en-US"/>
          <w14:ligatures w14:val="none"/>
        </w:rPr>
        <w:t>przyrost rzeczywisty</w:t>
      </w:r>
      <w:r w:rsidRPr="003F2001">
        <w:rPr>
          <w:rFonts w:eastAsia="Times New Roman" w:cs="Times New Roman"/>
          <w:color w:val="000000"/>
          <w:kern w:val="0"/>
          <w:szCs w:val="20"/>
          <w:lang w:bidi="en-US"/>
          <w14:ligatures w14:val="none"/>
        </w:rPr>
        <w:t xml:space="preserve">, wskazujący całkowity wzrost lub ubytek ludności z uwzględnieniem zarówno czynników naturalnych (ruch naturalny), jak i migracji (saldo migracji). </w:t>
      </w:r>
      <w:bookmarkStart w:id="40" w:name="_Hlk170760409"/>
      <w:r w:rsidRPr="003F2001">
        <w:rPr>
          <w:rFonts w:eastAsia="Times New Roman" w:cs="Times New Roman"/>
          <w:color w:val="000000"/>
          <w:kern w:val="0"/>
          <w:szCs w:val="20"/>
          <w:lang w:bidi="en-US"/>
          <w14:ligatures w14:val="none"/>
        </w:rPr>
        <w:t xml:space="preserve">Na przestrzeni ostatnich lat na terenie Gminy Opole Lubelskie odnotowuje się systematyczny </w:t>
      </w:r>
      <w:r w:rsidRPr="003F2001">
        <w:rPr>
          <w:rFonts w:eastAsia="Times New Roman" w:cs="Times New Roman"/>
          <w:b/>
          <w:bCs/>
          <w:color w:val="4D160F"/>
          <w:kern w:val="0"/>
          <w:szCs w:val="20"/>
          <w:lang w:bidi="en-US"/>
          <w14:ligatures w14:val="none"/>
        </w:rPr>
        <w:t>spadek liczby ludności</w:t>
      </w:r>
      <w:r w:rsidRPr="003F2001">
        <w:rPr>
          <w:rFonts w:eastAsia="Times New Roman" w:cs="Times New Roman"/>
          <w:color w:val="4D160F"/>
          <w:kern w:val="0"/>
          <w:szCs w:val="20"/>
          <w:lang w:bidi="en-US"/>
          <w14:ligatures w14:val="none"/>
        </w:rPr>
        <w:t xml:space="preserve"> </w:t>
      </w:r>
      <w:r w:rsidRPr="003F2001">
        <w:rPr>
          <w:rFonts w:eastAsia="Times New Roman" w:cs="Times New Roman"/>
          <w:color w:val="000000"/>
          <w:kern w:val="0"/>
          <w:szCs w:val="20"/>
          <w:lang w:bidi="en-US"/>
          <w14:ligatures w14:val="none"/>
        </w:rPr>
        <w:t>– od 2014 r. liczba mieszkańców tego terenu zmniejszyła się o 1 530 osób, co stanowi 8,6% ludności zamieszkującej obszar w 2014 r. W badanym okresie, spadek liczby ludności nastąpił zarówno na terenie miasta (spadek o 928 osób), jak i na terenie wiejskim (o 602 osoby). Należy jednak zauważyć, że proces depopulacji zdecydowanie szybciej następuje w mieście.</w:t>
      </w:r>
      <w:bookmarkEnd w:id="40"/>
      <w:r w:rsidRPr="003F2001">
        <w:rPr>
          <w:rFonts w:eastAsia="Times New Roman" w:cs="Times New Roman"/>
          <w:color w:val="000000"/>
          <w:kern w:val="0"/>
          <w:szCs w:val="20"/>
          <w:lang w:bidi="en-US"/>
          <w14:ligatures w14:val="none"/>
        </w:rPr>
        <w:t xml:space="preserve"> W analogicznym okresie podobny trend dotyczący ubytku ludności zaobserwowano na terenie powiatu opolskiego, jak i całego województwa lubelskiego.</w:t>
      </w:r>
    </w:p>
    <w:p w14:paraId="1DB4CBCC" w14:textId="77777777" w:rsidR="00580AF7" w:rsidRPr="003F2001" w:rsidRDefault="00580AF7" w:rsidP="003F2001">
      <w:pPr>
        <w:spacing w:line="276" w:lineRule="auto"/>
        <w:rPr>
          <w:rFonts w:eastAsia="Times New Roman" w:cs="Times New Roman"/>
          <w:color w:val="000000"/>
          <w:kern w:val="0"/>
          <w:szCs w:val="20"/>
          <w:lang w:bidi="en-US"/>
          <w14:ligatures w14:val="none"/>
        </w:rPr>
      </w:pPr>
    </w:p>
    <w:p w14:paraId="0EF3A94C" w14:textId="61BFE538"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41" w:name="_Toc189166358"/>
      <w:r w:rsidRPr="003F2001">
        <w:rPr>
          <w:rFonts w:eastAsia="Calibri" w:cs="Times New Roman"/>
          <w:b/>
          <w:bCs/>
          <w:color w:val="7B230B"/>
          <w:kern w:val="0"/>
          <w:sz w:val="16"/>
          <w:szCs w:val="19"/>
          <w:lang w:bidi="en-US"/>
          <w14:ligatures w14:val="none"/>
        </w:rPr>
        <w:lastRenderedPageBreak/>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2</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Zmiana liczby ludności w stosunku do 2014 r. na terenie Gminy Opole Lubelskie, powiatu opolskiego i województwa lubelskiego (%)</w:t>
      </w:r>
      <w:bookmarkEnd w:id="41"/>
    </w:p>
    <w:p w14:paraId="34B29111" w14:textId="77777777" w:rsidR="003F2001" w:rsidRPr="003F2001" w:rsidRDefault="003F2001" w:rsidP="003F2001">
      <w:pPr>
        <w:spacing w:before="120" w:line="240" w:lineRule="auto"/>
        <w:rPr>
          <w:rFonts w:eastAsia="Times New Roman" w:cs="Times New Roman"/>
          <w:b/>
          <w:bCs/>
          <w:kern w:val="0"/>
          <w:sz w:val="16"/>
          <w:szCs w:val="18"/>
          <w:lang w:bidi="en-US"/>
          <w14:ligatures w14:val="none"/>
        </w:rPr>
      </w:pPr>
      <w:r w:rsidRPr="003F2001">
        <w:rPr>
          <w:rFonts w:ascii="Calibri" w:eastAsia="Calibri" w:hAnsi="Calibri" w:cs="Times New Roman"/>
          <w:noProof/>
          <w:sz w:val="22"/>
          <w:lang w:eastAsia="pl-PL"/>
        </w:rPr>
        <w:drawing>
          <wp:inline distT="0" distB="0" distL="0" distR="0" wp14:anchorId="771AF68F" wp14:editId="6071B080">
            <wp:extent cx="5759450" cy="2699385"/>
            <wp:effectExtent l="0" t="0" r="0" b="5715"/>
            <wp:docPr id="28" name="Wykres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0A0C91-8992-4237-8508-8F1C9A509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740574" w14:textId="77777777" w:rsidR="003F2001" w:rsidRPr="003F2001" w:rsidRDefault="003F2001" w:rsidP="003F2001">
      <w:pPr>
        <w:spacing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1B02098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Biorąc pod uwagę liczbę ludności, w porównaniu do pozostałych ośrodków lokalnych województwa lubelskiego, Gmina Opole Lubelskie plasuje się na trzeciej pozycji – za Łęczną (22 368 mieszkańców) i Rykami (19 139 mieszkańców). Należy również zwrócić uwagę na wieloletni trend zmiany liczby mieszkańców, który w Opolu Lubelskim jest nie jest korzystny. Wyższy procentowy ubytek ludności w latach 2014-2023 odnotowano jedynie w Janowie Lubelskim (-10,5%).</w:t>
      </w:r>
    </w:p>
    <w:p w14:paraId="383490CE" w14:textId="090EAC3E"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42" w:name="_Toc189166334"/>
      <w:r w:rsidRPr="003F2001">
        <w:rPr>
          <w:rFonts w:eastAsia="Calibri" w:cs="Times New Roman"/>
          <w:b/>
          <w:bCs/>
          <w:color w:val="7B230B"/>
          <w:kern w:val="0"/>
          <w:sz w:val="16"/>
          <w:szCs w:val="19"/>
          <w:lang w:bidi="en-US"/>
          <w14:ligatures w14:val="none"/>
        </w:rPr>
        <w:t xml:space="preserve">Tabela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Tabela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2</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Zmiana liczby ludności w Gminie Opole Lubelskie oraz jednostkach porównawczych w latach 2014-2023.</w:t>
      </w:r>
      <w:bookmarkEnd w:id="42"/>
    </w:p>
    <w:tbl>
      <w:tblPr>
        <w:tblStyle w:val="Tabelasiatki1jasnaakcent121"/>
        <w:tblW w:w="5000" w:type="pct"/>
        <w:tblLayout w:type="fixed"/>
        <w:tblLook w:val="04A0" w:firstRow="1" w:lastRow="0" w:firstColumn="1" w:lastColumn="0" w:noHBand="0" w:noVBand="1"/>
      </w:tblPr>
      <w:tblGrid>
        <w:gridCol w:w="2266"/>
        <w:gridCol w:w="1698"/>
        <w:gridCol w:w="1700"/>
        <w:gridCol w:w="1698"/>
        <w:gridCol w:w="1700"/>
      </w:tblGrid>
      <w:tr w:rsidR="003F2001" w:rsidRPr="003F2001" w14:paraId="66CBA09B"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3A405FA"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937" w:type="pct"/>
            <w:vAlign w:val="center"/>
            <w:hideMark/>
          </w:tcPr>
          <w:p w14:paraId="56862B2D"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ludności w 2014 r. (osoby)</w:t>
            </w:r>
          </w:p>
        </w:tc>
        <w:tc>
          <w:tcPr>
            <w:tcW w:w="938" w:type="pct"/>
            <w:vAlign w:val="center"/>
            <w:hideMark/>
          </w:tcPr>
          <w:p w14:paraId="743331A4"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ludności w 2023 r. (osoby)</w:t>
            </w:r>
          </w:p>
        </w:tc>
        <w:tc>
          <w:tcPr>
            <w:tcW w:w="937" w:type="pct"/>
            <w:vAlign w:val="center"/>
            <w:hideMark/>
          </w:tcPr>
          <w:p w14:paraId="6B0447AD"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Zmiana liczby ludności (osoby)</w:t>
            </w:r>
          </w:p>
        </w:tc>
        <w:tc>
          <w:tcPr>
            <w:tcW w:w="938" w:type="pct"/>
            <w:vAlign w:val="center"/>
            <w:hideMark/>
          </w:tcPr>
          <w:p w14:paraId="1E3EB5A8"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Zmiana liczby ludności (%)</w:t>
            </w:r>
          </w:p>
        </w:tc>
      </w:tr>
      <w:tr w:rsidR="003F2001" w:rsidRPr="003F2001" w14:paraId="64834BF5"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CDD4B74"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937" w:type="pct"/>
            <w:noWrap/>
            <w:vAlign w:val="center"/>
            <w:hideMark/>
          </w:tcPr>
          <w:p w14:paraId="40A45F4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sz w:val="16"/>
                <w:szCs w:val="16"/>
              </w:rPr>
              <w:t>16 288</w:t>
            </w:r>
          </w:p>
        </w:tc>
        <w:tc>
          <w:tcPr>
            <w:tcW w:w="938" w:type="pct"/>
            <w:noWrap/>
            <w:vAlign w:val="center"/>
            <w:hideMark/>
          </w:tcPr>
          <w:p w14:paraId="7CE730B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sz w:val="16"/>
                <w:szCs w:val="16"/>
              </w:rPr>
              <w:t>14 576</w:t>
            </w:r>
          </w:p>
        </w:tc>
        <w:tc>
          <w:tcPr>
            <w:tcW w:w="937" w:type="pct"/>
            <w:noWrap/>
            <w:vAlign w:val="center"/>
            <w:hideMark/>
          </w:tcPr>
          <w:p w14:paraId="4C445F6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sz w:val="16"/>
                <w:szCs w:val="16"/>
              </w:rPr>
              <w:t>-1 712</w:t>
            </w:r>
          </w:p>
        </w:tc>
        <w:tc>
          <w:tcPr>
            <w:tcW w:w="938" w:type="pct"/>
            <w:noWrap/>
            <w:vAlign w:val="center"/>
            <w:hideMark/>
          </w:tcPr>
          <w:p w14:paraId="760CCF8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sz w:val="16"/>
                <w:szCs w:val="16"/>
              </w:rPr>
              <w:t>-10,5%</w:t>
            </w:r>
          </w:p>
        </w:tc>
      </w:tr>
      <w:tr w:rsidR="003F2001" w:rsidRPr="003F2001" w14:paraId="268399A3"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C05DA09"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937" w:type="pct"/>
            <w:noWrap/>
            <w:vAlign w:val="center"/>
            <w:hideMark/>
          </w:tcPr>
          <w:p w14:paraId="278A518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23 833</w:t>
            </w:r>
          </w:p>
        </w:tc>
        <w:tc>
          <w:tcPr>
            <w:tcW w:w="938" w:type="pct"/>
            <w:noWrap/>
            <w:vAlign w:val="center"/>
            <w:hideMark/>
          </w:tcPr>
          <w:p w14:paraId="0067769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22 368</w:t>
            </w:r>
          </w:p>
        </w:tc>
        <w:tc>
          <w:tcPr>
            <w:tcW w:w="937" w:type="pct"/>
            <w:noWrap/>
            <w:vAlign w:val="center"/>
            <w:hideMark/>
          </w:tcPr>
          <w:p w14:paraId="1C3DA66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-1 465</w:t>
            </w:r>
          </w:p>
        </w:tc>
        <w:tc>
          <w:tcPr>
            <w:tcW w:w="938" w:type="pct"/>
            <w:noWrap/>
            <w:vAlign w:val="center"/>
            <w:hideMark/>
          </w:tcPr>
          <w:p w14:paraId="0425503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-6,1%</w:t>
            </w:r>
          </w:p>
        </w:tc>
      </w:tr>
      <w:tr w:rsidR="003F2001" w:rsidRPr="003F2001" w14:paraId="5736B65F"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auto" w:fill="F2F2F2"/>
            <w:noWrap/>
            <w:vAlign w:val="center"/>
            <w:hideMark/>
          </w:tcPr>
          <w:p w14:paraId="21A9D084"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937" w:type="pct"/>
            <w:shd w:val="clear" w:color="auto" w:fill="F2F2F2"/>
            <w:noWrap/>
            <w:vAlign w:val="center"/>
            <w:hideMark/>
          </w:tcPr>
          <w:p w14:paraId="0AB12AA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rPr>
              <w:t>17 719</w:t>
            </w:r>
          </w:p>
        </w:tc>
        <w:tc>
          <w:tcPr>
            <w:tcW w:w="938" w:type="pct"/>
            <w:shd w:val="clear" w:color="auto" w:fill="F2F2F2"/>
            <w:noWrap/>
            <w:vAlign w:val="center"/>
            <w:hideMark/>
          </w:tcPr>
          <w:p w14:paraId="49BEF6B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rPr>
              <w:t>16 189</w:t>
            </w:r>
          </w:p>
        </w:tc>
        <w:tc>
          <w:tcPr>
            <w:tcW w:w="937" w:type="pct"/>
            <w:shd w:val="clear" w:color="auto" w:fill="F2F2F2"/>
            <w:noWrap/>
            <w:vAlign w:val="center"/>
            <w:hideMark/>
          </w:tcPr>
          <w:p w14:paraId="3E0B38A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rPr>
              <w:t>-1 530</w:t>
            </w:r>
          </w:p>
        </w:tc>
        <w:tc>
          <w:tcPr>
            <w:tcW w:w="938" w:type="pct"/>
            <w:shd w:val="clear" w:color="auto" w:fill="F2F2F2"/>
            <w:noWrap/>
            <w:vAlign w:val="center"/>
            <w:hideMark/>
          </w:tcPr>
          <w:p w14:paraId="4F89094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rPr>
              <w:t>-8,6%</w:t>
            </w:r>
          </w:p>
        </w:tc>
      </w:tr>
      <w:tr w:rsidR="003F2001" w:rsidRPr="003F2001" w14:paraId="130E6085"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68FF4DD3"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937" w:type="pct"/>
            <w:noWrap/>
            <w:vAlign w:val="center"/>
            <w:hideMark/>
          </w:tcPr>
          <w:p w14:paraId="2559866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14 812</w:t>
            </w:r>
          </w:p>
        </w:tc>
        <w:tc>
          <w:tcPr>
            <w:tcW w:w="938" w:type="pct"/>
            <w:noWrap/>
            <w:vAlign w:val="center"/>
            <w:hideMark/>
          </w:tcPr>
          <w:p w14:paraId="7685BC5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13 702</w:t>
            </w:r>
          </w:p>
        </w:tc>
        <w:tc>
          <w:tcPr>
            <w:tcW w:w="937" w:type="pct"/>
            <w:noWrap/>
            <w:vAlign w:val="center"/>
            <w:hideMark/>
          </w:tcPr>
          <w:p w14:paraId="0398164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-1 110</w:t>
            </w:r>
          </w:p>
        </w:tc>
        <w:tc>
          <w:tcPr>
            <w:tcW w:w="938" w:type="pct"/>
            <w:noWrap/>
            <w:vAlign w:val="center"/>
            <w:hideMark/>
          </w:tcPr>
          <w:p w14:paraId="7C9C4BA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-7,5%</w:t>
            </w:r>
          </w:p>
        </w:tc>
      </w:tr>
      <w:tr w:rsidR="003F2001" w:rsidRPr="003F2001" w14:paraId="41E661EF"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99979B4"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937" w:type="pct"/>
            <w:noWrap/>
            <w:vAlign w:val="center"/>
            <w:hideMark/>
          </w:tcPr>
          <w:p w14:paraId="7FDEA86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20 705</w:t>
            </w:r>
          </w:p>
        </w:tc>
        <w:tc>
          <w:tcPr>
            <w:tcW w:w="938" w:type="pct"/>
            <w:noWrap/>
            <w:vAlign w:val="center"/>
            <w:hideMark/>
          </w:tcPr>
          <w:p w14:paraId="1BEEA81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19 139</w:t>
            </w:r>
          </w:p>
        </w:tc>
        <w:tc>
          <w:tcPr>
            <w:tcW w:w="937" w:type="pct"/>
            <w:noWrap/>
            <w:vAlign w:val="center"/>
            <w:hideMark/>
          </w:tcPr>
          <w:p w14:paraId="2DB286B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-1 566</w:t>
            </w:r>
          </w:p>
        </w:tc>
        <w:tc>
          <w:tcPr>
            <w:tcW w:w="938" w:type="pct"/>
            <w:noWrap/>
            <w:vAlign w:val="center"/>
            <w:hideMark/>
          </w:tcPr>
          <w:p w14:paraId="34E7F67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rPr>
              <w:t>-7,6%</w:t>
            </w:r>
          </w:p>
        </w:tc>
      </w:tr>
    </w:tbl>
    <w:p w14:paraId="3E47E497"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67195BBB" w14:textId="272DFFDB" w:rsidR="003F2001" w:rsidRPr="003F2001" w:rsidRDefault="003F2001" w:rsidP="00941F1D">
      <w:pPr>
        <w:pStyle w:val="Nagwek2"/>
      </w:pPr>
      <w:bookmarkStart w:id="43" w:name="_Toc173435442"/>
      <w:bookmarkStart w:id="44" w:name="_Toc191908757"/>
      <w:r>
        <w:t xml:space="preserve">2.2.2 </w:t>
      </w:r>
      <w:r w:rsidRPr="003F2001">
        <w:t>Ruch naturalny i migracje</w:t>
      </w:r>
      <w:bookmarkEnd w:id="43"/>
      <w:bookmarkEnd w:id="44"/>
    </w:p>
    <w:p w14:paraId="52E0FDD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Jednym z głównych czynników decydujących o liczbie ludności jest </w:t>
      </w:r>
      <w:r w:rsidRPr="003F2001">
        <w:rPr>
          <w:rFonts w:eastAsia="Times New Roman" w:cs="Times New Roman"/>
          <w:b/>
          <w:bCs/>
          <w:color w:val="4D160F"/>
          <w:kern w:val="0"/>
          <w:szCs w:val="20"/>
          <w:lang w:bidi="en-US"/>
          <w14:ligatures w14:val="none"/>
        </w:rPr>
        <w:t>ruch naturalny</w:t>
      </w:r>
      <w:r w:rsidRPr="003F2001">
        <w:rPr>
          <w:rFonts w:eastAsia="Times New Roman" w:cs="Times New Roman"/>
          <w:kern w:val="0"/>
          <w:szCs w:val="20"/>
          <w:lang w:bidi="en-US"/>
          <w14:ligatures w14:val="none"/>
        </w:rPr>
        <w:t>, który stanowi różnicę między liczbą urodzeń żywych, a liczbą zgonów. Gmina Opole Lubelskie charakteryzuje się ujemnym przyrostem naturalnym, w wyniku którego w 2023 r. liczba mieszkańców zmniejszyła się o 110 osób, przy czym wartości ujemne odnotowano zarówno na obszarze miasta (-47 osób), jak i na terenie wiejskim gminy (-63 osoby). Warto również zauważać, że przyrost naturalny na terenie gminy w latach 2014-2023 stale utrzymywał wartość ujemną, a dodatkowo w ostatnich czterech latach znacząco się zmniejszył.</w:t>
      </w:r>
    </w:p>
    <w:p w14:paraId="1C76B99C"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11BB585C" w14:textId="0DD60D18"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45" w:name="_Toc189166359"/>
      <w:r w:rsidRPr="003F2001">
        <w:rPr>
          <w:rFonts w:eastAsia="Calibri" w:cs="Times New Roman"/>
          <w:b/>
          <w:bCs/>
          <w:color w:val="7B230B"/>
          <w:kern w:val="0"/>
          <w:sz w:val="16"/>
          <w:szCs w:val="19"/>
          <w:lang w:bidi="en-US"/>
          <w14:ligatures w14:val="none"/>
        </w:rPr>
        <w:lastRenderedPageBreak/>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3</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Saldo przyrostu naturalnego w latach 2014-2023 na terenie Gminy Opole Lubelskie (osoby)</w:t>
      </w:r>
      <w:bookmarkEnd w:id="45"/>
    </w:p>
    <w:p w14:paraId="5B398E3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048D15B7" wp14:editId="3386C095">
            <wp:extent cx="5759450" cy="2699385"/>
            <wp:effectExtent l="0" t="0" r="0" b="5715"/>
            <wp:docPr id="30" name="Wykres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120184"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2FD0F28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Współczynnik przyrostu naturalnego</w:t>
      </w:r>
      <w:r w:rsidRPr="003F2001">
        <w:rPr>
          <w:rFonts w:eastAsia="Times New Roman" w:cs="Times New Roman"/>
          <w:kern w:val="0"/>
          <w:szCs w:val="20"/>
          <w:vertAlign w:val="superscript"/>
          <w:lang w:bidi="en-US"/>
          <w14:ligatures w14:val="none"/>
        </w:rPr>
        <w:footnoteReference w:id="1"/>
      </w:r>
      <w:r w:rsidRPr="003F2001">
        <w:rPr>
          <w:rFonts w:eastAsia="Times New Roman" w:cs="Times New Roman"/>
          <w:kern w:val="0"/>
          <w:szCs w:val="20"/>
          <w:lang w:bidi="en-US"/>
          <w14:ligatures w14:val="none"/>
        </w:rPr>
        <w:t xml:space="preserve"> na terenie Gminy Opole Lubelskie w ostatnim dziesięcioleciu przyjmował wartości ujemne, a w 2023 r. wyniósł -6,75‰. W wyniku spadku wartości przedmiotowego wskaźnika w ostatnich latach, sytuacja gminy kształtuje się niekorzystnie w porównaniu do średnich w powiecie opolskim oraz w województwie lubelskim, w których współczynnik przyrostu naturalnego w 2023 r. wyniósł odpowiednio -6,31‰ oraz</w:t>
      </w:r>
      <w:r w:rsidRPr="003F2001">
        <w:rPr>
          <w:rFonts w:eastAsia="Times New Roman" w:cs="Times New Roman"/>
          <w:kern w:val="0"/>
          <w:szCs w:val="20"/>
          <w:lang w:bidi="en-US"/>
          <w14:ligatures w14:val="none"/>
        </w:rPr>
        <w:br/>
        <w:t>-4,67‰. Porównując dane w rozbiciu na obszar miejski i wiejski gminy należy zwrócić uwagę na rozbieżności wskaźnika przyrostu naturalnego na 1 000 mieszkańców, związane z wyższym wskaźnikiem zgonów i niższym wskaźnikiem urodzeń na obszarze wiejskim.</w:t>
      </w:r>
    </w:p>
    <w:p w14:paraId="7DF418A0" w14:textId="17F99C86"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46" w:name="_Toc189166360"/>
      <w:r w:rsidRPr="003F2001">
        <w:rPr>
          <w:rFonts w:eastAsia="Calibri" w:cs="Times New Roman"/>
          <w:b/>
          <w:bCs/>
          <w:color w:val="7B230B"/>
          <w:kern w:val="0"/>
          <w:sz w:val="16"/>
          <w:szCs w:val="19"/>
          <w:lang w:bidi="en-US"/>
          <w14:ligatures w14:val="none"/>
        </w:rPr>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4</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Współczynnik przyrostu naturalnego na terenie Gminy Opole Lubelskie, powiatu opolskiego i województwa lubelskiego w 2023 r. (‰)</w:t>
      </w:r>
      <w:bookmarkEnd w:id="46"/>
    </w:p>
    <w:p w14:paraId="1861A33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5396E952" wp14:editId="5F81DCC8">
            <wp:extent cx="5759450" cy="2700000"/>
            <wp:effectExtent l="0" t="0" r="0" b="5715"/>
            <wp:docPr id="31" name="Wykres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0A0C91-8992-4237-8508-8F1C9A509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BE6C62"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4850E6C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Problemem w odniesieniu do sytuacji demograficznej obszaru jest również </w:t>
      </w:r>
      <w:r w:rsidRPr="003F2001">
        <w:rPr>
          <w:rFonts w:eastAsia="Times New Roman" w:cs="Times New Roman"/>
          <w:b/>
          <w:bCs/>
          <w:color w:val="4D160F"/>
          <w:kern w:val="0"/>
          <w:szCs w:val="20"/>
          <w:lang w:bidi="en-US"/>
          <w14:ligatures w14:val="none"/>
        </w:rPr>
        <w:t>odpływ migracyjny ludności</w:t>
      </w:r>
      <w:r w:rsidRPr="003F2001">
        <w:rPr>
          <w:rFonts w:eastAsia="Times New Roman" w:cs="Times New Roman"/>
          <w:kern w:val="0"/>
          <w:szCs w:val="20"/>
          <w:lang w:bidi="en-US"/>
          <w14:ligatures w14:val="none"/>
        </w:rPr>
        <w:t xml:space="preserve">. Saldo migracji od 2014 r. (poza rokiem 2015, dla którego GUS ze względów </w:t>
      </w:r>
      <w:r w:rsidRPr="003F2001">
        <w:rPr>
          <w:rFonts w:eastAsia="Times New Roman" w:cs="Times New Roman"/>
          <w:kern w:val="0"/>
          <w:szCs w:val="20"/>
          <w:lang w:bidi="en-US"/>
          <w14:ligatures w14:val="none"/>
        </w:rPr>
        <w:lastRenderedPageBreak/>
        <w:t xml:space="preserve">metodologicznych nie udostępnia danych) na terenie Gminy Opole Lubelskie niezmiennie przyjmuje wartości ujemne, a w 2023 r. osiągnęło wartość -37 osób. Na saldo migracji gminy wpływ wywarł głównie odpływ mieszkańców z miasta, który w 2023 r. wyniósł -48 osób. Dodatnie saldo migracji odnotowano natomiast na terenie wiejskim, gdzie w roku 2023 było o 11 więcej zameldowań niż wymeldowań. </w:t>
      </w:r>
    </w:p>
    <w:p w14:paraId="62B2782C" w14:textId="28DF6B33"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47" w:name="_Toc189166361"/>
      <w:r w:rsidRPr="003F2001">
        <w:rPr>
          <w:rFonts w:eastAsia="Calibri" w:cs="Times New Roman"/>
          <w:b/>
          <w:bCs/>
          <w:color w:val="7B230B"/>
          <w:kern w:val="0"/>
          <w:sz w:val="16"/>
          <w:szCs w:val="19"/>
          <w:lang w:bidi="en-US"/>
          <w14:ligatures w14:val="none"/>
        </w:rPr>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5</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Saldo migracji w latach 2014-2023 na terenie Gminy Opole Lubelskie (osoby)</w:t>
      </w:r>
      <w:bookmarkEnd w:id="47"/>
    </w:p>
    <w:p w14:paraId="73B910F0"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13FFD760" wp14:editId="58F634DF">
            <wp:extent cx="5759450" cy="2699385"/>
            <wp:effectExtent l="0" t="0" r="0" b="5715"/>
            <wp:docPr id="64" name="Wykres 6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CBC90A"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2DEC563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Analiza dostępnych danych wskazuje na to, że do miasta migrują głównie ludzie z obszarów wiejskich (72,9% zameldowań w 2023 r.), przy czym emigracja następuje niemalże w równym stopniu w obu kierunkach (miasto, wieś). W przypadku obszaru wiejskiego 53,3% zameldowanych pochodzi z miast, do miast odpływa również 54,7% emigrantów. </w:t>
      </w:r>
    </w:p>
    <w:p w14:paraId="5EB4E7DA" w14:textId="0A529DB1"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48" w:name="_Toc189166362"/>
      <w:r w:rsidRPr="003F2001">
        <w:rPr>
          <w:rFonts w:eastAsia="Calibri" w:cs="Times New Roman"/>
          <w:b/>
          <w:bCs/>
          <w:color w:val="7B230B"/>
          <w:kern w:val="0"/>
          <w:sz w:val="16"/>
          <w:szCs w:val="19"/>
          <w:lang w:bidi="en-US"/>
          <w14:ligatures w14:val="none"/>
        </w:rPr>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6</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Współczynnik salda migracji na terenie Gminy Opole Lubelskie, powiatu opolskiego i województwa lubelskiego w 2023 r. (‰)</w:t>
      </w:r>
      <w:bookmarkEnd w:id="48"/>
    </w:p>
    <w:p w14:paraId="5D2F8EE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78573549" wp14:editId="44A42F66">
            <wp:extent cx="5759450" cy="2699385"/>
            <wp:effectExtent l="0" t="0" r="0" b="5715"/>
            <wp:docPr id="65" name="Wykres 6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839071-56B5-4674-B162-2F9173352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8A25AA"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42D393E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lastRenderedPageBreak/>
        <w:t>Współczynnik salda migracji</w:t>
      </w:r>
      <w:r w:rsidRPr="003F2001">
        <w:rPr>
          <w:rFonts w:eastAsia="Times New Roman" w:cs="Times New Roman"/>
          <w:kern w:val="0"/>
          <w:szCs w:val="20"/>
          <w:vertAlign w:val="superscript"/>
          <w:lang w:bidi="en-US"/>
          <w14:ligatures w14:val="none"/>
        </w:rPr>
        <w:footnoteReference w:id="2"/>
      </w:r>
      <w:r w:rsidRPr="003F2001">
        <w:rPr>
          <w:rFonts w:eastAsia="Times New Roman" w:cs="Times New Roman"/>
          <w:kern w:val="0"/>
          <w:szCs w:val="20"/>
          <w:lang w:bidi="en-US"/>
          <w14:ligatures w14:val="none"/>
        </w:rPr>
        <w:t xml:space="preserve"> na analizowanym terenie w 2023 r. osiągnął wartość -2,27‰, wobec -3,65‰ w powiecie opolskim oraz -2,21‰ w województwie lubelskim. Należy przy tym zauważyć, że ubytek ludności w przeliczeniu na 1 000 mieszkańców w wyniku ruchu migracyjnego nastąpił w mieście (-6,06‰), natomiast na terenie wiejskim gminy odnotowano nieznaczny wzrost liczby mieszkańców (1,31‰).</w:t>
      </w:r>
    </w:p>
    <w:p w14:paraId="49DD875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porównaniu do pozostałych ośrodków lokalnych województwa lubelskiego Gmina Opole Lubelskie cechuje się najkorzystniejszym, choć ujemnym, współczynnikiem salda migracji. Jednocześnie współczynnik przyrostu naturalnego obliczony dla analizowanej gminy jest zdecydowanie najniższy w grupie porównawczej. </w:t>
      </w:r>
    </w:p>
    <w:p w14:paraId="529D0112" w14:textId="7CFF63CD"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49" w:name="_Toc189166335"/>
      <w:r w:rsidRPr="003F2001">
        <w:rPr>
          <w:rFonts w:eastAsia="Calibri" w:cs="Times New Roman"/>
          <w:b/>
          <w:bCs/>
          <w:color w:val="7B230B"/>
          <w:kern w:val="0"/>
          <w:sz w:val="16"/>
          <w:szCs w:val="19"/>
          <w:lang w:bidi="en-US"/>
          <w14:ligatures w14:val="none"/>
        </w:rPr>
        <w:t xml:space="preserve">Tabela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Tabela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3</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Wybrane wskaźniki dotyczące ruchu naturalnego i migracji w 2023 r. w Gminie Opole Lubelskie oraz jednostkach porównawczych.</w:t>
      </w:r>
      <w:bookmarkEnd w:id="49"/>
    </w:p>
    <w:tbl>
      <w:tblPr>
        <w:tblStyle w:val="Tabelasiatki1jasnaakcent121"/>
        <w:tblW w:w="5000" w:type="pct"/>
        <w:tblLook w:val="04A0" w:firstRow="1" w:lastRow="0" w:firstColumn="1" w:lastColumn="0" w:noHBand="0" w:noVBand="1"/>
      </w:tblPr>
      <w:tblGrid>
        <w:gridCol w:w="2270"/>
        <w:gridCol w:w="1704"/>
        <w:gridCol w:w="1696"/>
        <w:gridCol w:w="1696"/>
        <w:gridCol w:w="1696"/>
      </w:tblGrid>
      <w:tr w:rsidR="003F2001" w:rsidRPr="003F2001" w14:paraId="7D1ED5BB"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52" w:type="pct"/>
            <w:vAlign w:val="center"/>
            <w:hideMark/>
          </w:tcPr>
          <w:p w14:paraId="6C3EF6CA"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940" w:type="pct"/>
            <w:vAlign w:val="center"/>
            <w:hideMark/>
          </w:tcPr>
          <w:p w14:paraId="468E88C3"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Przyrost naturalny (osoby)</w:t>
            </w:r>
          </w:p>
        </w:tc>
        <w:tc>
          <w:tcPr>
            <w:tcW w:w="936" w:type="pct"/>
          </w:tcPr>
          <w:p w14:paraId="65217189"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6"/>
                <w:szCs w:val="16"/>
                <w:lang w:bidi="en-US"/>
              </w:rPr>
            </w:pPr>
            <w:r w:rsidRPr="003F2001">
              <w:rPr>
                <w:rFonts w:cs="Calibri"/>
                <w:sz w:val="16"/>
                <w:szCs w:val="16"/>
                <w:lang w:bidi="en-US"/>
              </w:rPr>
              <w:t>Współczynnik przyrostu naturalnego (‰)</w:t>
            </w:r>
          </w:p>
        </w:tc>
        <w:tc>
          <w:tcPr>
            <w:tcW w:w="936" w:type="pct"/>
            <w:vAlign w:val="center"/>
          </w:tcPr>
          <w:p w14:paraId="4F0D86A9"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Saldo migracji</w:t>
            </w:r>
          </w:p>
          <w:p w14:paraId="54F3DED4"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c>
          <w:tcPr>
            <w:tcW w:w="936" w:type="pct"/>
            <w:vAlign w:val="center"/>
          </w:tcPr>
          <w:p w14:paraId="2AB85843"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Współczynnik salda migracji (‰)</w:t>
            </w:r>
          </w:p>
        </w:tc>
      </w:tr>
      <w:tr w:rsidR="003F2001" w:rsidRPr="003F2001" w14:paraId="06362F3D"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2" w:type="pct"/>
            <w:noWrap/>
            <w:vAlign w:val="center"/>
            <w:hideMark/>
          </w:tcPr>
          <w:p w14:paraId="22FA6D82"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940" w:type="pct"/>
            <w:noWrap/>
            <w:vAlign w:val="center"/>
            <w:hideMark/>
          </w:tcPr>
          <w:p w14:paraId="7C47D06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-80</w:t>
            </w:r>
          </w:p>
        </w:tc>
        <w:tc>
          <w:tcPr>
            <w:tcW w:w="936" w:type="pct"/>
            <w:vAlign w:val="center"/>
          </w:tcPr>
          <w:p w14:paraId="6A12870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-5,44</w:t>
            </w:r>
          </w:p>
        </w:tc>
        <w:tc>
          <w:tcPr>
            <w:tcW w:w="936" w:type="pct"/>
            <w:vAlign w:val="center"/>
          </w:tcPr>
          <w:p w14:paraId="63D438A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-75</w:t>
            </w:r>
          </w:p>
        </w:tc>
        <w:tc>
          <w:tcPr>
            <w:tcW w:w="936" w:type="pct"/>
            <w:vAlign w:val="center"/>
          </w:tcPr>
          <w:p w14:paraId="5F8ED96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-5,10</w:t>
            </w:r>
          </w:p>
        </w:tc>
      </w:tr>
      <w:tr w:rsidR="003F2001" w:rsidRPr="003F2001" w14:paraId="2B850FD8"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2" w:type="pct"/>
            <w:noWrap/>
            <w:vAlign w:val="center"/>
            <w:hideMark/>
          </w:tcPr>
          <w:p w14:paraId="67BEF832"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940" w:type="pct"/>
            <w:noWrap/>
            <w:vAlign w:val="center"/>
            <w:hideMark/>
          </w:tcPr>
          <w:p w14:paraId="2444897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10</w:t>
            </w:r>
          </w:p>
        </w:tc>
        <w:tc>
          <w:tcPr>
            <w:tcW w:w="936" w:type="pct"/>
            <w:vAlign w:val="center"/>
          </w:tcPr>
          <w:p w14:paraId="745AFC1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0,45</w:t>
            </w:r>
          </w:p>
        </w:tc>
        <w:tc>
          <w:tcPr>
            <w:tcW w:w="936" w:type="pct"/>
            <w:vAlign w:val="center"/>
          </w:tcPr>
          <w:p w14:paraId="6184DD7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-96</w:t>
            </w:r>
          </w:p>
        </w:tc>
        <w:tc>
          <w:tcPr>
            <w:tcW w:w="936" w:type="pct"/>
            <w:vAlign w:val="center"/>
          </w:tcPr>
          <w:p w14:paraId="4131B8A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-4,27</w:t>
            </w:r>
          </w:p>
        </w:tc>
      </w:tr>
      <w:tr w:rsidR="003F2001" w:rsidRPr="003F2001" w14:paraId="45E01142"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52" w:type="pct"/>
            <w:shd w:val="clear" w:color="auto" w:fill="F2F2F2"/>
            <w:noWrap/>
            <w:vAlign w:val="center"/>
            <w:hideMark/>
          </w:tcPr>
          <w:p w14:paraId="2ABDA803"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940" w:type="pct"/>
            <w:shd w:val="clear" w:color="auto" w:fill="F2F2F2"/>
            <w:noWrap/>
            <w:vAlign w:val="center"/>
            <w:hideMark/>
          </w:tcPr>
          <w:p w14:paraId="48E34D1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-110</w:t>
            </w:r>
          </w:p>
        </w:tc>
        <w:tc>
          <w:tcPr>
            <w:tcW w:w="936" w:type="pct"/>
            <w:shd w:val="clear" w:color="auto" w:fill="F2F2F2"/>
            <w:vAlign w:val="center"/>
          </w:tcPr>
          <w:p w14:paraId="53102DB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-6,75</w:t>
            </w:r>
          </w:p>
        </w:tc>
        <w:tc>
          <w:tcPr>
            <w:tcW w:w="936" w:type="pct"/>
            <w:shd w:val="clear" w:color="auto" w:fill="F2F2F2"/>
            <w:vAlign w:val="center"/>
          </w:tcPr>
          <w:p w14:paraId="2EB6833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-37</w:t>
            </w:r>
          </w:p>
        </w:tc>
        <w:tc>
          <w:tcPr>
            <w:tcW w:w="936" w:type="pct"/>
            <w:shd w:val="clear" w:color="auto" w:fill="F2F2F2"/>
            <w:vAlign w:val="center"/>
          </w:tcPr>
          <w:p w14:paraId="2AD4EEF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-2,27</w:t>
            </w:r>
          </w:p>
        </w:tc>
      </w:tr>
      <w:tr w:rsidR="003F2001" w:rsidRPr="003F2001" w14:paraId="06BF88E3"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2" w:type="pct"/>
            <w:noWrap/>
            <w:vAlign w:val="center"/>
            <w:hideMark/>
          </w:tcPr>
          <w:p w14:paraId="4002EC2A"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940" w:type="pct"/>
            <w:noWrap/>
            <w:vAlign w:val="center"/>
            <w:hideMark/>
          </w:tcPr>
          <w:p w14:paraId="4B2AE34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-74</w:t>
            </w:r>
          </w:p>
        </w:tc>
        <w:tc>
          <w:tcPr>
            <w:tcW w:w="936" w:type="pct"/>
            <w:vAlign w:val="center"/>
          </w:tcPr>
          <w:p w14:paraId="475DAA0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-5,37</w:t>
            </w:r>
          </w:p>
        </w:tc>
        <w:tc>
          <w:tcPr>
            <w:tcW w:w="936" w:type="pct"/>
            <w:vAlign w:val="center"/>
          </w:tcPr>
          <w:p w14:paraId="6F4FBD5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-79</w:t>
            </w:r>
          </w:p>
        </w:tc>
        <w:tc>
          <w:tcPr>
            <w:tcW w:w="936" w:type="pct"/>
            <w:vAlign w:val="center"/>
          </w:tcPr>
          <w:p w14:paraId="611F3EF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-5,74</w:t>
            </w:r>
          </w:p>
        </w:tc>
      </w:tr>
      <w:tr w:rsidR="003F2001" w:rsidRPr="003F2001" w14:paraId="59EE7EB3"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2" w:type="pct"/>
            <w:noWrap/>
            <w:vAlign w:val="center"/>
            <w:hideMark/>
          </w:tcPr>
          <w:p w14:paraId="7CF3294E"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940" w:type="pct"/>
            <w:noWrap/>
            <w:vAlign w:val="center"/>
            <w:hideMark/>
          </w:tcPr>
          <w:p w14:paraId="1784820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-58</w:t>
            </w:r>
          </w:p>
        </w:tc>
        <w:tc>
          <w:tcPr>
            <w:tcW w:w="936" w:type="pct"/>
            <w:vAlign w:val="center"/>
          </w:tcPr>
          <w:p w14:paraId="517E428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-3,02</w:t>
            </w:r>
          </w:p>
        </w:tc>
        <w:tc>
          <w:tcPr>
            <w:tcW w:w="936" w:type="pct"/>
            <w:vAlign w:val="center"/>
          </w:tcPr>
          <w:p w14:paraId="73CA2C8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-100</w:t>
            </w:r>
          </w:p>
        </w:tc>
        <w:tc>
          <w:tcPr>
            <w:tcW w:w="936" w:type="pct"/>
            <w:vAlign w:val="center"/>
          </w:tcPr>
          <w:p w14:paraId="2E1AEC7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-5,20</w:t>
            </w:r>
          </w:p>
        </w:tc>
      </w:tr>
    </w:tbl>
    <w:p w14:paraId="2D7F8154" w14:textId="77777777" w:rsidR="003F2001" w:rsidRPr="003F2001" w:rsidRDefault="003F2001" w:rsidP="003F2001">
      <w:pPr>
        <w:spacing w:before="120" w:line="276" w:lineRule="auto"/>
        <w:rPr>
          <w:rFonts w:eastAsia="Times New Roman" w:cs="Times New Roman"/>
          <w:color w:val="FF0000"/>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0F91475D" w14:textId="759A08EF" w:rsidR="003F2001" w:rsidRPr="003F2001" w:rsidRDefault="003F2001" w:rsidP="00941F1D">
      <w:pPr>
        <w:pStyle w:val="Nagwek2"/>
      </w:pPr>
      <w:bookmarkStart w:id="50" w:name="_Toc173435443"/>
      <w:bookmarkStart w:id="51" w:name="_Toc191908758"/>
      <w:r>
        <w:t xml:space="preserve">2.2.3 </w:t>
      </w:r>
      <w:r w:rsidRPr="003F2001">
        <w:t>Struktura wieku i płci ludności</w:t>
      </w:r>
      <w:bookmarkEnd w:id="50"/>
      <w:bookmarkEnd w:id="51"/>
    </w:p>
    <w:p w14:paraId="536B7813" w14:textId="77777777" w:rsidR="003F2001" w:rsidRPr="003F2001" w:rsidRDefault="003F2001" w:rsidP="00BD6AB7">
      <w:pPr>
        <w:spacing w:after="0"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Niezwykle istotnym składnikiem potencjału demograficznego jest </w:t>
      </w:r>
      <w:r w:rsidRPr="003F2001">
        <w:rPr>
          <w:rFonts w:eastAsia="Times New Roman" w:cs="Times New Roman"/>
          <w:b/>
          <w:bCs/>
          <w:color w:val="4D160F"/>
          <w:kern w:val="0"/>
          <w:szCs w:val="20"/>
          <w:lang w:bidi="en-US"/>
          <w14:ligatures w14:val="none"/>
        </w:rPr>
        <w:t>struktura demograficzna ludności</w:t>
      </w:r>
      <w:r w:rsidRPr="003F2001">
        <w:rPr>
          <w:rFonts w:eastAsia="Times New Roman" w:cs="Times New Roman"/>
          <w:kern w:val="0"/>
          <w:szCs w:val="20"/>
          <w:lang w:bidi="en-US"/>
          <w14:ligatures w14:val="none"/>
        </w:rPr>
        <w:t>, w tym przede wszystkim struktura wiekowa. Demograficzne starzenie się społeczeństwa, wyrażające się większym udziałem osób starszych w strukturze ludności, stanowi istotne wyzwanie dla rozwoju regionalnego i lokalnego. W przyszłości skutkować będzie m.in. rosnącym zapotrzebowaniem na świadczenia zdrowotne i społeczne. Dodatkowo spadek udziału ludności w wieku przedprodukcyjnym (0-17 lat), jak i produkcyjnym (18-59/64 lat) prowadzi do zmian na rynku pracy, związanych z niedoborem siły roboczej i koniecznością dostosowania oferowanych miejsc pracy do potrzeb i możliwości osób starszych.</w:t>
      </w:r>
    </w:p>
    <w:p w14:paraId="5CEA611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Pierwszym ważnym wskaźnikiem sytuacji demograficznej analizowanego obszaru jest </w:t>
      </w:r>
      <w:r w:rsidRPr="003F2001">
        <w:rPr>
          <w:rFonts w:eastAsia="Times New Roman" w:cs="Times New Roman"/>
          <w:b/>
          <w:bCs/>
          <w:color w:val="4D160F"/>
          <w:kern w:val="0"/>
          <w:szCs w:val="20"/>
          <w:lang w:bidi="en-US"/>
          <w14:ligatures w14:val="none"/>
        </w:rPr>
        <w:t>relacja ilości osób w wieku przedprodukcyjnym, produkcyjnym i poprodukcyjnym</w:t>
      </w:r>
      <w:r w:rsidRPr="003F2001">
        <w:rPr>
          <w:rFonts w:eastAsia="Times New Roman" w:cs="Times New Roman"/>
          <w:kern w:val="0"/>
          <w:szCs w:val="20"/>
          <w:lang w:bidi="en-US"/>
          <w14:ligatures w14:val="none"/>
        </w:rPr>
        <w:t xml:space="preserve">. Relacje między liczebnością tych trzech grup wieku są szczególnie istotnym sygnałem dla obszaru w zakresie kształtowania jego potencjału gospodarczego, rynku pracy oraz zapotrzebowania na zmieniające się, wraz z przemianami struktury wieku ludności, usługi. Na terenie Gminy Opole Lubelskie, w strukturze wieku ludności według ekonomicznych grup wieku, dominowały osoby w wieku produkcyjnym – 58,5%. Ludność w wieku przedprodukcyjnym stanowiła 17,1%, a w wieku poprodukcyjnym 24,4% mieszkańców obszaru. Proporcje między ludnością w wieku przedprodukcyjnym, produkcyjnym i poprodukcyjnym w ostatnim dziesięcioleciu wykazują tendencję do negatywnego układu. W porównaniu do roku 2014 na terenie gminy nastąpił zdecydowany </w:t>
      </w:r>
      <w:r w:rsidRPr="003F2001">
        <w:rPr>
          <w:rFonts w:eastAsia="Times New Roman" w:cs="Times New Roman"/>
          <w:b/>
          <w:bCs/>
          <w:color w:val="4D160F"/>
          <w:kern w:val="0"/>
          <w:szCs w:val="20"/>
          <w:lang w:bidi="en-US"/>
          <w14:ligatures w14:val="none"/>
        </w:rPr>
        <w:t>wzrost odsetka ludności w wieku poprodukcyjnym</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(o 4,9 pkt proc.), przy jednoczesnym spadku odsetka ludności w wieku przedprodukcyjnym (o 0,8 pkt proc.) i produkcyjnym (o 4,2 pkt proc.), co niewątpliwie świadczy o </w:t>
      </w:r>
      <w:r w:rsidRPr="003F2001">
        <w:rPr>
          <w:rFonts w:eastAsia="Times New Roman" w:cs="Times New Roman"/>
          <w:b/>
          <w:bCs/>
          <w:color w:val="4D160F"/>
          <w:kern w:val="0"/>
          <w:szCs w:val="20"/>
          <w:lang w:bidi="en-US"/>
          <w14:ligatures w14:val="none"/>
        </w:rPr>
        <w:t>postępującym procesie starzenia się społeczeństwa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na tym terenie.</w:t>
      </w:r>
    </w:p>
    <w:p w14:paraId="269AC628" w14:textId="3B4FB9BD"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52" w:name="_Toc189166363"/>
      <w:r w:rsidRPr="003F2001">
        <w:rPr>
          <w:rFonts w:eastAsia="Calibri" w:cs="Times New Roman"/>
          <w:b/>
          <w:bCs/>
          <w:color w:val="7B230B"/>
          <w:kern w:val="0"/>
          <w:sz w:val="16"/>
          <w:szCs w:val="19"/>
          <w14:ligatures w14:val="none"/>
        </w:rPr>
        <w:lastRenderedPageBreak/>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7</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Udział ludności według ekonomicznych grup wieku w ludności ogółem w latach 2014-2023 na terenie Gminy Opole Lubelskie (%)</w:t>
      </w:r>
      <w:bookmarkEnd w:id="52"/>
    </w:p>
    <w:p w14:paraId="1AB0C57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69BB3BE3" wp14:editId="4EF55984">
            <wp:extent cx="5760720" cy="2699385"/>
            <wp:effectExtent l="0" t="0" r="0" b="5715"/>
            <wp:docPr id="67" name="Wykres 6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947DBD"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7DA879C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skali obszaru korzystniejszą strukturę wieku ekonomicznego ludności posiada obszar wiejski gminy, wyróżniający się wyższym odsetkiem osób w wieku produkcyjnym – 60,3%, wyższym udziałem osób w wieku przedprodukcyjnym – 18,2% oraz niższym odsetkiem osób w wieku poprodukcyjnym – 21,5%. Zdecydowanie mniej korzystną strukturą charakteryzuje się natomiast miasto, wyróżniające się niższym odsetkiem osób w wieku przedprodukcyjnym – 15,9%, niższym udziałem osób w wieku produkcyjnym – 56,6% oraz wyższym odsetkiem osób w wieku poprodukcyjnym – 27,5%.</w:t>
      </w:r>
    </w:p>
    <w:p w14:paraId="43549106" w14:textId="304E390F"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53" w:name="_Toc189166364"/>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8</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Udział ludności według ekonomicznych grup wieku w ludności ogółem w 2023 r. na terenie Gminy Opole Lubelskie, powiatu opolskiego oraz województwa lubelskiego (%)</w:t>
      </w:r>
      <w:bookmarkEnd w:id="53"/>
    </w:p>
    <w:p w14:paraId="1E4C62D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357805EE" wp14:editId="5888414B">
            <wp:extent cx="5760720" cy="2699385"/>
            <wp:effectExtent l="0" t="0" r="0" b="5715"/>
            <wp:docPr id="68" name="Wykres 6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7B8F244-6FB2-4166-8A9E-87709DDA2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783C13"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66A595A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Niekorzystnym odzwierciedleniem powyższych tendencji jest obserwowany od 2014 r. stały </w:t>
      </w:r>
      <w:r w:rsidRPr="003F2001">
        <w:rPr>
          <w:rFonts w:eastAsia="Times New Roman" w:cs="Times New Roman"/>
          <w:b/>
          <w:bCs/>
          <w:color w:val="4D160F"/>
          <w:kern w:val="0"/>
          <w:szCs w:val="20"/>
          <w:lang w:bidi="en-US"/>
          <w14:ligatures w14:val="none"/>
        </w:rPr>
        <w:t>wzrost ludności w wieku poprodukcyjnym na 100 osób w wieku produkcyjnym</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(o 10,6 pkt proc.) oraz </w:t>
      </w:r>
      <w:r w:rsidRPr="003F2001">
        <w:rPr>
          <w:rFonts w:eastAsia="Times New Roman" w:cs="Times New Roman"/>
          <w:b/>
          <w:bCs/>
          <w:color w:val="4D160F"/>
          <w:kern w:val="0"/>
          <w:szCs w:val="20"/>
          <w:lang w:bidi="en-US"/>
          <w14:ligatures w14:val="none"/>
        </w:rPr>
        <w:t>wzrost odsetka osób w wieku 65 lat i więcej</w:t>
      </w:r>
      <w:r w:rsidRPr="003F2001">
        <w:rPr>
          <w:rFonts w:eastAsia="Times New Roman" w:cs="Times New Roman"/>
          <w:kern w:val="0"/>
          <w:szCs w:val="20"/>
          <w:lang w:bidi="en-US"/>
          <w14:ligatures w14:val="none"/>
        </w:rPr>
        <w:t xml:space="preserve"> (o 5,1 pkt proc.). Warto również zaznaczyć, że w 2023 r. wartości przedmiotowych wskaźników obliczone dla obszaru gminy </w:t>
      </w:r>
      <w:r w:rsidRPr="003F2001">
        <w:rPr>
          <w:rFonts w:eastAsia="Times New Roman" w:cs="Times New Roman"/>
          <w:kern w:val="0"/>
          <w:szCs w:val="20"/>
          <w:lang w:bidi="en-US"/>
          <w14:ligatures w14:val="none"/>
        </w:rPr>
        <w:lastRenderedPageBreak/>
        <w:t xml:space="preserve">wynoszą odpowiednio 41,7% i 21,0% i są nieznacznie niższe do wartości dla powiatu opolskiego oraz województwa lubelskiego. Biorąc pod uwagę powyższe można zauważyć, iż zjawisko postępującego starzenia się społeczeństwa wyraźniej odznacza się na obszarze województwa lubelskiego niż na terenie gminy. </w:t>
      </w:r>
    </w:p>
    <w:p w14:paraId="796BA931" w14:textId="77777777" w:rsidR="003F2001" w:rsidRPr="003F2001" w:rsidRDefault="003F2001" w:rsidP="003F2001">
      <w:pPr>
        <w:spacing w:before="120" w:line="240" w:lineRule="auto"/>
        <w:rPr>
          <w:rFonts w:eastAsia="Calibri" w:cs="Times New Roman"/>
          <w:b/>
          <w:bCs/>
          <w:color w:val="7B230B"/>
          <w:kern w:val="0"/>
          <w:sz w:val="16"/>
          <w:szCs w:val="19"/>
          <w14:ligatures w14:val="none"/>
        </w:rPr>
      </w:pPr>
      <w:r w:rsidRPr="003F2001">
        <w:rPr>
          <w:rFonts w:eastAsia="Calibri" w:cs="Times New Roman"/>
          <w:b/>
          <w:bCs/>
          <w:color w:val="7B230B"/>
          <w:kern w:val="0"/>
          <w:sz w:val="16"/>
          <w:szCs w:val="19"/>
          <w14:ligatures w14:val="none"/>
        </w:rPr>
        <w:t>Wykres 9. Wskaźniki dotyczące obciążenia demograficznego w latach 2014-2023 na terenie Gminy Opole Lubelskie (%)</w:t>
      </w:r>
    </w:p>
    <w:p w14:paraId="3246C87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7E3DBF2C" wp14:editId="21DBEE87">
            <wp:extent cx="5760720" cy="2699385"/>
            <wp:effectExtent l="0" t="0" r="0" b="5715"/>
            <wp:docPr id="1601908722" name="Wykres 16019087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23EC37-DB6B-4A55-AE28-FD9BA2764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856D3F"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79BCF8ED"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Z prognozy demograficznej wynika, iż w kolejnych latach – zarówno na obszarze całego województwa lubelskiego, jak i na terenie Gminy Opole Lubelskie – </w:t>
      </w:r>
      <w:r w:rsidRPr="003F2001">
        <w:rPr>
          <w:rFonts w:eastAsia="Times New Roman" w:cs="Times New Roman"/>
          <w:b/>
          <w:bCs/>
          <w:color w:val="4D160F"/>
          <w:kern w:val="0"/>
          <w:szCs w:val="20"/>
          <w:lang w:bidi="en-US"/>
          <w14:ligatures w14:val="none"/>
        </w:rPr>
        <w:t>zwiększy się obciążenie demograficzne</w:t>
      </w:r>
      <w:r w:rsidRPr="003F2001">
        <w:rPr>
          <w:rFonts w:eastAsia="Times New Roman" w:cs="Times New Roman"/>
          <w:kern w:val="0"/>
          <w:szCs w:val="20"/>
          <w:lang w:bidi="en-US"/>
          <w14:ligatures w14:val="none"/>
        </w:rPr>
        <w:t xml:space="preserve"> spowodowane wzrostem liczby ludności w wieku poprodukcyjnym oraz zmniejszaniem się liczby osób w wieku przedprodukcyjnym oraz w wieku produkcyjnym. </w:t>
      </w:r>
    </w:p>
    <w:p w14:paraId="61A6A3A4"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skali obszaru niekorzystne zmiany demograficzne są zdecydowanie bardziej widoczne na terenie miasta niż na terenie wiejskim, co może być częściowo spowodowane postępującymi procesami suburbanizacyjnymi (przenoszenie się na tereny podmiejskie osób w wieku produkcyjnym, rodzin z dziećmi). Warto natomiast podkreślić, że w porównaniu do pozostałych ośrodków lokalnych w regionie, Opole Lubelskie wyróżnia się relatywnie korzystnymi wskaźniki obciążenia demograficznego – niższe wartości obserwuje się jedynie w Łęcznej. </w:t>
      </w:r>
    </w:p>
    <w:p w14:paraId="50E0BB0B" w14:textId="1D7D4DF0"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54" w:name="_Toc189166336"/>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4</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Wybrane wskaźniki obciążenia demograficznego w 2023 r. w Gminie Opole Lubelskie oraz jednostkach porównawczych.</w:t>
      </w:r>
      <w:bookmarkEnd w:id="54"/>
    </w:p>
    <w:tbl>
      <w:tblPr>
        <w:tblStyle w:val="Tabelasiatki1jasnaakcent121"/>
        <w:tblW w:w="5000" w:type="pct"/>
        <w:tblLook w:val="04A0" w:firstRow="1" w:lastRow="0" w:firstColumn="1" w:lastColumn="0" w:noHBand="0" w:noVBand="1"/>
      </w:tblPr>
      <w:tblGrid>
        <w:gridCol w:w="2791"/>
        <w:gridCol w:w="2095"/>
        <w:gridCol w:w="2088"/>
        <w:gridCol w:w="2088"/>
      </w:tblGrid>
      <w:tr w:rsidR="003F2001" w:rsidRPr="003F2001" w14:paraId="0A6FADD0"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40" w:type="pct"/>
            <w:vAlign w:val="center"/>
            <w:hideMark/>
          </w:tcPr>
          <w:p w14:paraId="5874877C"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1156" w:type="pct"/>
            <w:vAlign w:val="center"/>
            <w:hideMark/>
          </w:tcPr>
          <w:p w14:paraId="097E8EDF"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Ludność w wieku poprodukcyjnym na 100 osób w wieku produkcyjnym (%)</w:t>
            </w:r>
          </w:p>
        </w:tc>
        <w:tc>
          <w:tcPr>
            <w:tcW w:w="1152" w:type="pct"/>
            <w:vAlign w:val="center"/>
          </w:tcPr>
          <w:p w14:paraId="573BA6ED"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Współczynnik obciążenia demograficznego osobami starszymi (%)</w:t>
            </w:r>
          </w:p>
        </w:tc>
        <w:tc>
          <w:tcPr>
            <w:tcW w:w="1152" w:type="pct"/>
            <w:vAlign w:val="center"/>
          </w:tcPr>
          <w:p w14:paraId="267FA87E"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Odsetek osób w wieku 65 lat i więcej w populacji ogółem (%)</w:t>
            </w:r>
          </w:p>
        </w:tc>
      </w:tr>
      <w:tr w:rsidR="003F2001" w:rsidRPr="003F2001" w14:paraId="7C801F5B"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540" w:type="pct"/>
            <w:noWrap/>
            <w:vAlign w:val="center"/>
            <w:hideMark/>
          </w:tcPr>
          <w:p w14:paraId="796BB556"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1156" w:type="pct"/>
            <w:noWrap/>
            <w:vAlign w:val="center"/>
            <w:hideMark/>
          </w:tcPr>
          <w:p w14:paraId="3418ADF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45,1</w:t>
            </w:r>
          </w:p>
        </w:tc>
        <w:tc>
          <w:tcPr>
            <w:tcW w:w="1152" w:type="pct"/>
            <w:vAlign w:val="center"/>
          </w:tcPr>
          <w:p w14:paraId="31D68AD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33,6</w:t>
            </w:r>
          </w:p>
        </w:tc>
        <w:tc>
          <w:tcPr>
            <w:tcW w:w="1152" w:type="pct"/>
            <w:vAlign w:val="center"/>
          </w:tcPr>
          <w:p w14:paraId="0E981C3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21,8</w:t>
            </w:r>
          </w:p>
        </w:tc>
      </w:tr>
      <w:tr w:rsidR="003F2001" w:rsidRPr="003F2001" w14:paraId="2221BA4B"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540" w:type="pct"/>
            <w:noWrap/>
            <w:vAlign w:val="center"/>
            <w:hideMark/>
          </w:tcPr>
          <w:p w14:paraId="5A3FE609"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1156" w:type="pct"/>
            <w:noWrap/>
            <w:vAlign w:val="center"/>
            <w:hideMark/>
          </w:tcPr>
          <w:p w14:paraId="6068CA6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36,6</w:t>
            </w:r>
          </w:p>
        </w:tc>
        <w:tc>
          <w:tcPr>
            <w:tcW w:w="1152" w:type="pct"/>
            <w:vAlign w:val="center"/>
          </w:tcPr>
          <w:p w14:paraId="2F2990C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25,5</w:t>
            </w:r>
          </w:p>
        </w:tc>
        <w:tc>
          <w:tcPr>
            <w:tcW w:w="1152" w:type="pct"/>
            <w:vAlign w:val="center"/>
          </w:tcPr>
          <w:p w14:paraId="68A5224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17,0</w:t>
            </w:r>
          </w:p>
        </w:tc>
      </w:tr>
      <w:tr w:rsidR="003F2001" w:rsidRPr="003F2001" w14:paraId="4A099E56"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540" w:type="pct"/>
            <w:shd w:val="clear" w:color="auto" w:fill="F2F2F2"/>
            <w:noWrap/>
            <w:vAlign w:val="center"/>
            <w:hideMark/>
          </w:tcPr>
          <w:p w14:paraId="02F48C51"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1156" w:type="pct"/>
            <w:shd w:val="clear" w:color="auto" w:fill="F2F2F2"/>
            <w:noWrap/>
            <w:vAlign w:val="center"/>
            <w:hideMark/>
          </w:tcPr>
          <w:p w14:paraId="7AB7B45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41,7</w:t>
            </w:r>
          </w:p>
        </w:tc>
        <w:tc>
          <w:tcPr>
            <w:tcW w:w="1152" w:type="pct"/>
            <w:shd w:val="clear" w:color="auto" w:fill="F2F2F2"/>
            <w:vAlign w:val="center"/>
          </w:tcPr>
          <w:p w14:paraId="748DB72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32,3</w:t>
            </w:r>
          </w:p>
        </w:tc>
        <w:tc>
          <w:tcPr>
            <w:tcW w:w="1152" w:type="pct"/>
            <w:shd w:val="clear" w:color="auto" w:fill="F2F2F2"/>
            <w:vAlign w:val="center"/>
          </w:tcPr>
          <w:p w14:paraId="7BB7822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21,0</w:t>
            </w:r>
          </w:p>
        </w:tc>
      </w:tr>
      <w:tr w:rsidR="003F2001" w:rsidRPr="003F2001" w14:paraId="5A2F9B7C"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540" w:type="pct"/>
            <w:noWrap/>
            <w:vAlign w:val="center"/>
            <w:hideMark/>
          </w:tcPr>
          <w:p w14:paraId="6E0C26AD"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1156" w:type="pct"/>
            <w:noWrap/>
            <w:vAlign w:val="center"/>
            <w:hideMark/>
          </w:tcPr>
          <w:p w14:paraId="6334A81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43,5</w:t>
            </w:r>
          </w:p>
        </w:tc>
        <w:tc>
          <w:tcPr>
            <w:tcW w:w="1152" w:type="pct"/>
            <w:vAlign w:val="center"/>
          </w:tcPr>
          <w:p w14:paraId="7621744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33,8</w:t>
            </w:r>
          </w:p>
        </w:tc>
        <w:tc>
          <w:tcPr>
            <w:tcW w:w="1152" w:type="pct"/>
            <w:vAlign w:val="center"/>
          </w:tcPr>
          <w:p w14:paraId="7C761C7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21,6</w:t>
            </w:r>
          </w:p>
        </w:tc>
      </w:tr>
      <w:tr w:rsidR="003F2001" w:rsidRPr="003F2001" w14:paraId="60D6CF8F"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540" w:type="pct"/>
            <w:noWrap/>
            <w:vAlign w:val="center"/>
            <w:hideMark/>
          </w:tcPr>
          <w:p w14:paraId="6F6CC72D"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1156" w:type="pct"/>
            <w:noWrap/>
            <w:vAlign w:val="center"/>
            <w:hideMark/>
          </w:tcPr>
          <w:p w14:paraId="3B21EF1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45,4</w:t>
            </w:r>
          </w:p>
        </w:tc>
        <w:tc>
          <w:tcPr>
            <w:tcW w:w="1152" w:type="pct"/>
            <w:vAlign w:val="center"/>
          </w:tcPr>
          <w:p w14:paraId="1FDE85B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35,1</w:t>
            </w:r>
          </w:p>
        </w:tc>
        <w:tc>
          <w:tcPr>
            <w:tcW w:w="1152" w:type="pct"/>
            <w:vAlign w:val="center"/>
          </w:tcPr>
          <w:p w14:paraId="36BBE1E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22,0</w:t>
            </w:r>
          </w:p>
        </w:tc>
      </w:tr>
    </w:tbl>
    <w:p w14:paraId="2BE57CF6"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1DF7C54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Według stanu z końca grudnia 2023 r., kobiety stanowiły 51,5% ogólnej liczby ludności Gminy Opole Lubelskie, a </w:t>
      </w:r>
      <w:r w:rsidRPr="003F2001">
        <w:rPr>
          <w:rFonts w:eastAsia="Times New Roman" w:cs="Times New Roman"/>
          <w:b/>
          <w:bCs/>
          <w:color w:val="4D160F"/>
          <w:kern w:val="0"/>
          <w:szCs w:val="20"/>
          <w:lang w:bidi="en-US"/>
          <w14:ligatures w14:val="none"/>
        </w:rPr>
        <w:t>wskaźnik feminizacji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wynosił 106. Analiza danych statystycznych pokazuje, </w:t>
      </w:r>
      <w:r w:rsidRPr="003F2001">
        <w:rPr>
          <w:rFonts w:eastAsia="Times New Roman" w:cs="Times New Roman"/>
          <w:kern w:val="0"/>
          <w:szCs w:val="20"/>
          <w:lang w:bidi="en-US"/>
          <w14:ligatures w14:val="none"/>
        </w:rPr>
        <w:lastRenderedPageBreak/>
        <w:t xml:space="preserve">że wskaźnik ten w ostatnim dziesięcioleciu utrzymywał się na stałym poziomie. Ponadto, zgodnie z prognozą stanu i struktury ludności, nie zmieni się to w przyszłości. W skali obszaru wyższym wskaźnikiem feminizacji charakteryzuje się miasto (110), niższym zaś obszar wiejski (103), co jest powiązane ze strukturą wieku ludności tych jednostek. Na obszarze gminy </w:t>
      </w:r>
      <w:r w:rsidRPr="003F2001">
        <w:rPr>
          <w:rFonts w:eastAsia="Times New Roman" w:cs="Times New Roman"/>
          <w:b/>
          <w:bCs/>
          <w:color w:val="4D160F"/>
          <w:kern w:val="0"/>
          <w:szCs w:val="20"/>
          <w:lang w:bidi="en-US"/>
          <w14:ligatures w14:val="none"/>
        </w:rPr>
        <w:t>współczynnik feminizacji jest zróżnicowany ze względu na wiek</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wśród ludności do około 49 roku życia występuje liczebna przewaga mężczyzn. Z kolei dla grupy osób w wieku 50 lat i więcej współczynnik feminizacji jest znacznie wyższy, co jest wynikiem dłuższego trwania życia kobiet.</w:t>
      </w:r>
    </w:p>
    <w:p w14:paraId="4559164E" w14:textId="3F629CC1"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55" w:name="_Toc189166365"/>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9</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Piramida wieku i płci ludności Gminy Opole Lubelskie w 2023 r. (osoby)</w:t>
      </w:r>
      <w:bookmarkEnd w:id="55"/>
    </w:p>
    <w:p w14:paraId="05B9876E" w14:textId="77777777" w:rsidR="003F2001" w:rsidRPr="003F2001" w:rsidRDefault="003F2001" w:rsidP="003F2001">
      <w:pPr>
        <w:spacing w:line="276" w:lineRule="auto"/>
        <w:jc w:val="center"/>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0D5A681E" wp14:editId="60590DC7">
            <wp:extent cx="5334000" cy="3714749"/>
            <wp:effectExtent l="0" t="0" r="0" b="635"/>
            <wp:docPr id="11" name="Wykres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BE213B9-4EDA-47D1-9F5E-3E377915E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8D3950"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79DC8E4C" w14:textId="64873C8D" w:rsidR="003F2001" w:rsidRPr="003F2001" w:rsidRDefault="003F2001" w:rsidP="00941F1D">
      <w:pPr>
        <w:pStyle w:val="Nagwek2"/>
      </w:pPr>
      <w:bookmarkStart w:id="56" w:name="_Toc173435444"/>
      <w:bookmarkStart w:id="57" w:name="_Toc191908759"/>
      <w:r>
        <w:t xml:space="preserve">2.2.4 </w:t>
      </w:r>
      <w:r w:rsidRPr="003F2001">
        <w:t>Kapitał ludzki i społeczny</w:t>
      </w:r>
      <w:bookmarkEnd w:id="56"/>
      <w:bookmarkEnd w:id="57"/>
    </w:p>
    <w:p w14:paraId="1D4BEA74"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Kapitał ludzki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to wiedza, umiejętności, zdolności oraz inne właściwe jednostce atrybuty ułatwiające tworzenie osobistego, społecznego oraz ekonomicznego dobrostanu</w:t>
      </w:r>
      <w:r w:rsidRPr="003F2001">
        <w:rPr>
          <w:rFonts w:eastAsia="Times New Roman" w:cs="Times New Roman"/>
          <w:kern w:val="0"/>
          <w:szCs w:val="20"/>
          <w:vertAlign w:val="superscript"/>
          <w:lang w:bidi="en-US"/>
          <w14:ligatures w14:val="none"/>
        </w:rPr>
        <w:footnoteReference w:id="3"/>
      </w:r>
      <w:r w:rsidRPr="003F2001">
        <w:rPr>
          <w:rFonts w:eastAsia="Times New Roman" w:cs="Times New Roman"/>
          <w:kern w:val="0"/>
          <w:szCs w:val="20"/>
          <w:lang w:bidi="en-US"/>
          <w14:ligatures w14:val="none"/>
        </w:rPr>
        <w:t xml:space="preserve">. Najistotniejszym miernikiem kapitału ludzkiego jest </w:t>
      </w:r>
      <w:r w:rsidRPr="003F2001">
        <w:rPr>
          <w:rFonts w:eastAsia="Times New Roman" w:cs="Times New Roman"/>
          <w:b/>
          <w:bCs/>
          <w:color w:val="4D160F"/>
          <w:kern w:val="0"/>
          <w:szCs w:val="20"/>
          <w:lang w:bidi="en-US"/>
          <w14:ligatures w14:val="none"/>
        </w:rPr>
        <w:t>poziom wykształcenia ludności</w:t>
      </w:r>
      <w:r w:rsidRPr="003F2001">
        <w:rPr>
          <w:rFonts w:eastAsia="Times New Roman" w:cs="Times New Roman"/>
          <w:kern w:val="0"/>
          <w:szCs w:val="20"/>
          <w:lang w:bidi="en-US"/>
          <w14:ligatures w14:val="none"/>
        </w:rPr>
        <w:t xml:space="preserve">. Według Narodowego Spisu Powszechnego z 2021 r. 18,5% ludności Gminy Opole Lubelskie posiada wykształcenie wyższe, 3,8% wykształcenie policealne, 10,1% średnie ogólnokształcące, a 23,1% średnie zawodowe. Wykształceniem zasadniczym zawodowym/branżowym legitymuje się 20,9% mieszkańców gminy, gimnazjalnym 2,8%, natomiast 15,5% ukończonym podstawowym. Aż 3,8% mieszkańców zakończyło edukację przed ukończeniem szkoły podstawowej. Należy przy tym zauważyć, że w porównaniu do średniej w województwie lubelskim udział osób z wykształceniem wyższym w Gminie Opole Lubelskie był znacznie niższy. Analiza dostępnych danych pokazuje również </w:t>
      </w:r>
      <w:r w:rsidRPr="003F2001">
        <w:rPr>
          <w:rFonts w:eastAsia="Times New Roman" w:cs="Times New Roman"/>
          <w:b/>
          <w:bCs/>
          <w:color w:val="4D160F"/>
          <w:kern w:val="0"/>
          <w:szCs w:val="20"/>
          <w:lang w:bidi="en-US"/>
          <w14:ligatures w14:val="none"/>
        </w:rPr>
        <w:t>znaczące różnice w wykształceniu mieszkańców obszaru wiejskiego i miejskiego</w:t>
      </w:r>
      <w:r w:rsidRPr="003F2001">
        <w:rPr>
          <w:rFonts w:eastAsia="Times New Roman" w:cs="Times New Roman"/>
          <w:kern w:val="0"/>
          <w:szCs w:val="20"/>
          <w:lang w:bidi="en-US"/>
          <w14:ligatures w14:val="none"/>
        </w:rPr>
        <w:t xml:space="preserve"> - struktura wykształcenia mieszkańców miasta jest bowiem wyraźnie przesunięta w </w:t>
      </w:r>
      <w:r w:rsidRPr="003F2001">
        <w:rPr>
          <w:rFonts w:eastAsia="Times New Roman" w:cs="Times New Roman"/>
          <w:kern w:val="0"/>
          <w:szCs w:val="20"/>
          <w:lang w:bidi="en-US"/>
          <w14:ligatures w14:val="none"/>
        </w:rPr>
        <w:lastRenderedPageBreak/>
        <w:t>kierunku wyższych poziomów edukacji, natomiast na wsi większy jest udział osób z niższymi poziomami wykształcenia.</w:t>
      </w:r>
    </w:p>
    <w:p w14:paraId="046E2CE6" w14:textId="0D6AF6E1"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58" w:name="_Toc189166366"/>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10</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Poziom wykształcenia ludności Gminy Opole Lubelskie, powiatu opolskiego i województwa lubelskiego w 2021 r. (%)</w:t>
      </w:r>
      <w:bookmarkEnd w:id="58"/>
    </w:p>
    <w:p w14:paraId="11BD355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5372850D" wp14:editId="6B6723EE">
            <wp:extent cx="5760720" cy="3060000"/>
            <wp:effectExtent l="0" t="0" r="0" b="7620"/>
            <wp:docPr id="14" name="Wykres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B436E1"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76AA1B45" w14:textId="77777777" w:rsidR="003F2001" w:rsidRPr="003F2001" w:rsidRDefault="003F2001" w:rsidP="003F2001">
      <w:pPr>
        <w:spacing w:line="276" w:lineRule="auto"/>
        <w:rPr>
          <w:rFonts w:eastAsia="Times New Roman" w:cs="Times New Roman"/>
          <w:b/>
          <w:bCs/>
          <w:kern w:val="0"/>
          <w:sz w:val="16"/>
          <w:szCs w:val="18"/>
          <w:lang w:bidi="en-US"/>
          <w14:ligatures w14:val="none"/>
        </w:rPr>
      </w:pPr>
      <w:r w:rsidRPr="003F2001">
        <w:rPr>
          <w:rFonts w:eastAsia="Times New Roman" w:cs="Times New Roman"/>
          <w:kern w:val="0"/>
          <w:szCs w:val="20"/>
          <w:lang w:bidi="en-US"/>
          <w14:ligatures w14:val="none"/>
        </w:rPr>
        <w:t xml:space="preserve">Bardzo istotnym wskaźnikiem kapitału ludzkiego są również </w:t>
      </w:r>
      <w:r w:rsidRPr="003F2001">
        <w:rPr>
          <w:rFonts w:eastAsia="Times New Roman" w:cs="Times New Roman"/>
          <w:b/>
          <w:bCs/>
          <w:color w:val="4D160F"/>
          <w:kern w:val="0"/>
          <w:szCs w:val="20"/>
          <w:lang w:bidi="en-US"/>
          <w14:ligatures w14:val="none"/>
        </w:rPr>
        <w:t>dane o wynikach egzaminu ósmoklasisty</w:t>
      </w:r>
      <w:r w:rsidRPr="003F2001">
        <w:rPr>
          <w:rFonts w:eastAsia="Times New Roman" w:cs="Times New Roman"/>
          <w:kern w:val="0"/>
          <w:szCs w:val="20"/>
          <w:lang w:bidi="en-US"/>
          <w14:ligatures w14:val="none"/>
        </w:rPr>
        <w:t xml:space="preserve">. W 2024 r. każdy ósmoklasista przystąpił do egzaminu z trzech przedmiotów obowiązkowych: języka polskiego, matematyki i języka obcego nowożytnego. Zadania sprawdzały, w jakim stopniu uczniowie opanowali wymagania ogólne i szczegółowe, z zakresu trzech przedmiotów egzaminacyjnych, określone w podstawie programowej kształcenia ogólnego dla II etapu edukacyjnego. </w:t>
      </w:r>
    </w:p>
    <w:p w14:paraId="76E5157B" w14:textId="71B6AD30"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59" w:name="_Toc189166367"/>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11</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Wyniki egzaminu ósmoklasisty w szkołach na terenie Gminy Opole Lubelskie, powiatu opolskiego i województwa lubelskiego w 2024 r. (%)</w:t>
      </w:r>
      <w:bookmarkEnd w:id="59"/>
    </w:p>
    <w:p w14:paraId="4D7613C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6EDA43FD" wp14:editId="466F3BB8">
            <wp:extent cx="5759450" cy="2664000"/>
            <wp:effectExtent l="0" t="0" r="0" b="3175"/>
            <wp:docPr id="33" name="Wykres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ED291F-98BE-4866-B5C4-B7FF19BA7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E1C27D"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Okręgowej Komisji Egzaminacyjnej w Krakowie.</w:t>
      </w:r>
    </w:p>
    <w:p w14:paraId="00EEFF4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 xml:space="preserve">W 2024 r. z egzaminu z języka polskiego ósmoklasiści ze szkół podstawowych z terenu gminy uzyskali średnio 66,5% punktów możliwych do zdobycia (wobec 60,4% w powiecie opolskim i 63,1% w województwie lubelskim), z matematyki – 52,3% (wobec 49,8% w powiecie opolskim i 50,7% w województwie lubelskim), natomiast z języka angielskiego – 63,7% (wobec 57,6% w powiecie opolskim oraz 63,7% w województwie lubelskim). Dane dotyczące wyników egzaminu ósmoklasisty z 2024 r. pozakazują, że średnie </w:t>
      </w:r>
      <w:r w:rsidRPr="003F2001">
        <w:rPr>
          <w:rFonts w:eastAsia="Times New Roman" w:cs="Times New Roman"/>
          <w:b/>
          <w:bCs/>
          <w:color w:val="4D160F"/>
          <w:kern w:val="0"/>
          <w:szCs w:val="20"/>
          <w:lang w:bidi="en-US"/>
          <w14:ligatures w14:val="none"/>
        </w:rPr>
        <w:t>wyniki uczniów klas ósmych z obszaru gminy były wyższe do średnich wyników w powiecie opolskim i regionie</w:t>
      </w:r>
      <w:r w:rsidRPr="003F2001">
        <w:rPr>
          <w:rFonts w:eastAsia="Times New Roman" w:cs="Times New Roman"/>
          <w:kern w:val="0"/>
          <w:szCs w:val="20"/>
          <w:lang w:bidi="en-US"/>
          <w14:ligatures w14:val="none"/>
        </w:rPr>
        <w:t>. Należy przy tym zauważyć, że w skali obszaru słabiej wypadli uczniowie ze szkół zlokalizowanych na obszarze wiejskim.</w:t>
      </w:r>
    </w:p>
    <w:p w14:paraId="6BC4977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Według danych Okręgowej Komisji Egzaminacyjnej w Krakowie w 2024 r. w Gminie Opole Lubelskie egzamin dojrzałości zdało 91,1% maturzystów.</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 xml:space="preserve">W 2024 r. z egzaminu z języka polskiego (poziom podstawowy) maturzyści ze szkół ponadpodstawowych z terenu gminy uzyskali średnio 55,7% punktów możliwych do zdobycia (wobec 55,8% w powiecie opolskim i 60,3% w województwie lubelskim), z matematyki (poziom podstawowy) – 49,8% (wobec 56,5% w powiecie opolskim i 63,4% w województwie lubelskim), natomiast z języka angielskiego – 64,3% (wobec 69,9% w powiecie opolskim oraz 75,3% w województwie lubelskim). Dane dotyczące wyników egzaminu maturalnego z 2024 r. pozakazują, że </w:t>
      </w:r>
      <w:r w:rsidRPr="003F2001">
        <w:rPr>
          <w:rFonts w:eastAsia="Times New Roman" w:cs="Times New Roman"/>
          <w:b/>
          <w:bCs/>
          <w:color w:val="4D160F"/>
          <w:kern w:val="0"/>
          <w:szCs w:val="20"/>
          <w:lang w:bidi="en-US"/>
          <w14:ligatures w14:val="none"/>
        </w:rPr>
        <w:t>średnie wyniki uczniów z obszaru gminy były zdecydowanie niższe do średnich wyników w powiecie opolskim i regionie</w:t>
      </w:r>
      <w:r w:rsidRPr="003F2001">
        <w:rPr>
          <w:rFonts w:eastAsia="Times New Roman" w:cs="Times New Roman"/>
          <w:kern w:val="0"/>
          <w:szCs w:val="20"/>
          <w:lang w:bidi="en-US"/>
          <w14:ligatures w14:val="none"/>
        </w:rPr>
        <w:t xml:space="preserve">. </w:t>
      </w:r>
    </w:p>
    <w:p w14:paraId="6FF3AB69" w14:textId="2305FDC1"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60" w:name="_Toc189166368"/>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12</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Wyniki egzaminu maturalnego w szkołach na terenie Gminy Opole Lubelskie, powiatu opolskiego i województwa lubelskiego w 2024 r. (%)</w:t>
      </w:r>
      <w:bookmarkEnd w:id="60"/>
    </w:p>
    <w:p w14:paraId="7203D83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3452D098" wp14:editId="68192D62">
            <wp:extent cx="5760720" cy="2700000"/>
            <wp:effectExtent l="0" t="0" r="0" b="5715"/>
            <wp:docPr id="34" name="Wykres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5007A6A-522D-4D38-906F-1101838A2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89FC83"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Okręgowej Komisji Egzaminacyjnej w Krakowie.</w:t>
      </w:r>
    </w:p>
    <w:p w14:paraId="00A8FB4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Kapitał społeczny</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zaliczany jest do jednego z istotnych, endogenicznych czynników rozwoju lokalnego. Jakość kapitału społecznego i jego zaangażowanie w proces zarządzania jednostkami samorządu terytorialnego jest obecnie jednym z głównych przejawów dobrego zarządzania na poziomie lokalnym. Podobnie, jak dla kapitału ludzkiego, wskaźnikami kapitału społecznego są cechy jakościowe. Jako mierniki ilustrujące pewien aspekt kapitału społecznego można zastosować wskaźnik frekwencji wyborczej, wskaźnik dotyczący liczby stowarzyszeń i organizacji społecznych oraz fundacji na 10 000 ludności, a także aktywność przedsiębiorczą mieszkańców.</w:t>
      </w:r>
    </w:p>
    <w:p w14:paraId="6DBD2D95" w14:textId="1082E55F"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Przejawem istnienia bądź też tworzenia się kapitału społecznego jest świadomość mieszkańców o możliwości współdecydowania w sprawach istotnych dla społeczeństwa, </w:t>
      </w:r>
      <w:r w:rsidRPr="003F2001">
        <w:rPr>
          <w:rFonts w:eastAsia="Times New Roman" w:cs="Times New Roman"/>
          <w:kern w:val="0"/>
          <w:szCs w:val="20"/>
          <w:lang w:bidi="en-US"/>
          <w14:ligatures w14:val="none"/>
        </w:rPr>
        <w:lastRenderedPageBreak/>
        <w:t xml:space="preserve">w tym społeczności lokalnej. Za swoisty miernik społeczeństwa obywatelskiego i poziomu kapitału społecznego należy uznać </w:t>
      </w:r>
      <w:r w:rsidRPr="003F2001">
        <w:rPr>
          <w:rFonts w:eastAsia="Times New Roman" w:cs="Times New Roman"/>
          <w:b/>
          <w:bCs/>
          <w:color w:val="4D160F"/>
          <w:kern w:val="0"/>
          <w:szCs w:val="20"/>
          <w:lang w:bidi="en-US"/>
          <w14:ligatures w14:val="none"/>
        </w:rPr>
        <w:t>frekwencję w wyborach powszechnych</w:t>
      </w:r>
      <w:r w:rsidRPr="003F2001">
        <w:rPr>
          <w:rFonts w:eastAsia="Times New Roman" w:cs="Times New Roman"/>
          <w:kern w:val="0"/>
          <w:szCs w:val="20"/>
          <w:lang w:bidi="en-US"/>
          <w14:ligatures w14:val="none"/>
        </w:rPr>
        <w:t xml:space="preserve">, w tym przede wszystkim w wyborach samorządowych, mających przełożenie na kierunki i charakter działań podejmowanych przez władze publiczne na rzecz rozwoju lokalnego. W tym kontekście należy zauważyć, że frekwencja w wyborach samorządowych w 2024 r., obliczona dla </w:t>
      </w:r>
      <w:r w:rsidR="00596088">
        <w:rPr>
          <w:rFonts w:eastAsia="Times New Roman" w:cs="Times New Roman"/>
          <w:kern w:val="0"/>
          <w:szCs w:val="20"/>
          <w:lang w:bidi="en-US"/>
          <w14:ligatures w14:val="none"/>
        </w:rPr>
        <w:t>Gminy Opole Lubelskie</w:t>
      </w:r>
      <w:r w:rsidRPr="003F2001">
        <w:rPr>
          <w:rFonts w:eastAsia="Times New Roman" w:cs="Times New Roman"/>
          <w:kern w:val="0"/>
          <w:szCs w:val="20"/>
          <w:lang w:bidi="en-US"/>
          <w14:ligatures w14:val="none"/>
        </w:rPr>
        <w:t xml:space="preserve">, była </w:t>
      </w:r>
      <w:r w:rsidRPr="003F2001">
        <w:rPr>
          <w:rFonts w:eastAsia="Times New Roman" w:cs="Times New Roman"/>
          <w:b/>
          <w:bCs/>
          <w:color w:val="4D160F"/>
          <w:kern w:val="0"/>
          <w:szCs w:val="20"/>
          <w:lang w:bidi="en-US"/>
          <w14:ligatures w14:val="none"/>
        </w:rPr>
        <w:t>niższa od danych dla powiatu opolskiego</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oraz </w:t>
      </w:r>
      <w:r w:rsidRPr="003F2001">
        <w:rPr>
          <w:rFonts w:eastAsia="Times New Roman" w:cs="Times New Roman"/>
          <w:b/>
          <w:bCs/>
          <w:color w:val="4D160F"/>
          <w:kern w:val="0"/>
          <w:szCs w:val="20"/>
          <w:lang w:bidi="en-US"/>
          <w14:ligatures w14:val="none"/>
        </w:rPr>
        <w:t>średniej frekwencji w województwie lubelskim</w:t>
      </w:r>
      <w:r w:rsidRPr="003F2001">
        <w:rPr>
          <w:rFonts w:eastAsia="Times New Roman" w:cs="Times New Roman"/>
          <w:kern w:val="0"/>
          <w:szCs w:val="20"/>
          <w:lang w:bidi="en-US"/>
          <w14:ligatures w14:val="none"/>
        </w:rPr>
        <w:t>. W skali obszaru wyższą frekwencją wyborczą charakteryzowało się miasto, niższą zaś obszar wiejski.</w:t>
      </w:r>
    </w:p>
    <w:p w14:paraId="0D8A95F5" w14:textId="6C011E32"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61" w:name="_Toc189166369"/>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13</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Frekwencja wyborcza w wyborach powszechnych na terenie Gminy Opole Lubelskie, powiatu opolskiego i województwa lubelskiego (%)</w:t>
      </w:r>
      <w:bookmarkEnd w:id="61"/>
    </w:p>
    <w:p w14:paraId="18A79B84"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28EF0476" wp14:editId="748AE001">
            <wp:extent cx="5760720" cy="2700000"/>
            <wp:effectExtent l="0" t="0" r="0" b="5715"/>
            <wp:docPr id="66" name="Wykres 6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ED291F-98BE-4866-B5C4-B7FF19BA7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05E3AD"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Państwowej Komisji Wyborczej.</w:t>
      </w:r>
    </w:p>
    <w:p w14:paraId="09FC640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Również w porównaniu do pozostałych ośrodków lokalnych województwa lubelskiego, Gmina Opole Lubelskie cechuje się zdecydowanie najniższą frekwencją wyborczą.</w:t>
      </w:r>
    </w:p>
    <w:p w14:paraId="32971878" w14:textId="7E66450A"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62" w:name="_Toc189166337"/>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5</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Frekwencja wyborcza w wyborach powszechnych w Gminie Opole Lubelskie oraz jednostkach porównawczych.</w:t>
      </w:r>
      <w:bookmarkEnd w:id="62"/>
    </w:p>
    <w:tbl>
      <w:tblPr>
        <w:tblStyle w:val="Tabelasiatki1jasnaakcent121"/>
        <w:tblW w:w="5000" w:type="pct"/>
        <w:tblLook w:val="04A0" w:firstRow="1" w:lastRow="0" w:firstColumn="1" w:lastColumn="0" w:noHBand="0" w:noVBand="1"/>
      </w:tblPr>
      <w:tblGrid>
        <w:gridCol w:w="3187"/>
        <w:gridCol w:w="1963"/>
        <w:gridCol w:w="1956"/>
        <w:gridCol w:w="1956"/>
      </w:tblGrid>
      <w:tr w:rsidR="003F2001" w:rsidRPr="003F2001" w14:paraId="55EAA06C"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58" w:type="pct"/>
            <w:vAlign w:val="center"/>
            <w:hideMark/>
          </w:tcPr>
          <w:p w14:paraId="699293F3"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1083" w:type="pct"/>
            <w:vAlign w:val="center"/>
            <w:hideMark/>
          </w:tcPr>
          <w:p w14:paraId="3742C1BF"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Wybory do Sejmu i Senatu - 2023 r. (%)</w:t>
            </w:r>
          </w:p>
        </w:tc>
        <w:tc>
          <w:tcPr>
            <w:tcW w:w="1079" w:type="pct"/>
            <w:vAlign w:val="center"/>
          </w:tcPr>
          <w:p w14:paraId="170F8884"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Wybory samorządowe - 2024 r. (%)</w:t>
            </w:r>
          </w:p>
        </w:tc>
        <w:tc>
          <w:tcPr>
            <w:tcW w:w="1079" w:type="pct"/>
            <w:vAlign w:val="center"/>
          </w:tcPr>
          <w:p w14:paraId="49F4F869"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Wybory do Parlamentu Europejskiego -2024 r. (%)</w:t>
            </w:r>
          </w:p>
        </w:tc>
      </w:tr>
      <w:tr w:rsidR="003F2001" w:rsidRPr="003F2001" w14:paraId="4C5EC93C"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758" w:type="pct"/>
            <w:noWrap/>
            <w:vAlign w:val="center"/>
            <w:hideMark/>
          </w:tcPr>
          <w:p w14:paraId="251925A1"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1083" w:type="pct"/>
            <w:noWrap/>
            <w:vAlign w:val="center"/>
          </w:tcPr>
          <w:p w14:paraId="50C55586"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72,5</w:t>
            </w:r>
          </w:p>
        </w:tc>
        <w:tc>
          <w:tcPr>
            <w:tcW w:w="1079" w:type="pct"/>
            <w:vAlign w:val="center"/>
          </w:tcPr>
          <w:p w14:paraId="3D6ECCD2"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53,5</w:t>
            </w:r>
          </w:p>
        </w:tc>
        <w:tc>
          <w:tcPr>
            <w:tcW w:w="1079" w:type="pct"/>
            <w:vAlign w:val="center"/>
          </w:tcPr>
          <w:p w14:paraId="5EB477A4"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41,4</w:t>
            </w:r>
          </w:p>
        </w:tc>
      </w:tr>
      <w:tr w:rsidR="003F2001" w:rsidRPr="003F2001" w14:paraId="05A356FB"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758" w:type="pct"/>
            <w:noWrap/>
            <w:vAlign w:val="center"/>
            <w:hideMark/>
          </w:tcPr>
          <w:p w14:paraId="6B5AE9E5"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1083" w:type="pct"/>
            <w:noWrap/>
            <w:vAlign w:val="center"/>
          </w:tcPr>
          <w:p w14:paraId="19CBF400"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73,9</w:t>
            </w:r>
          </w:p>
        </w:tc>
        <w:tc>
          <w:tcPr>
            <w:tcW w:w="1079" w:type="pct"/>
            <w:vAlign w:val="center"/>
          </w:tcPr>
          <w:p w14:paraId="405C5694"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50,0</w:t>
            </w:r>
          </w:p>
        </w:tc>
        <w:tc>
          <w:tcPr>
            <w:tcW w:w="1079" w:type="pct"/>
            <w:vAlign w:val="center"/>
          </w:tcPr>
          <w:p w14:paraId="3172368C"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40,2</w:t>
            </w:r>
          </w:p>
        </w:tc>
      </w:tr>
      <w:tr w:rsidR="003F2001" w:rsidRPr="003F2001" w14:paraId="62C5E556"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758" w:type="pct"/>
            <w:shd w:val="clear" w:color="auto" w:fill="F2F2F2"/>
            <w:noWrap/>
            <w:vAlign w:val="center"/>
            <w:hideMark/>
          </w:tcPr>
          <w:p w14:paraId="664C7E8C"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1083" w:type="pct"/>
            <w:shd w:val="clear" w:color="auto" w:fill="F2F2F2"/>
            <w:noWrap/>
            <w:vAlign w:val="center"/>
            <w:hideMark/>
          </w:tcPr>
          <w:p w14:paraId="1F9FB6E0"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66,9</w:t>
            </w:r>
          </w:p>
        </w:tc>
        <w:tc>
          <w:tcPr>
            <w:tcW w:w="1079" w:type="pct"/>
            <w:shd w:val="clear" w:color="auto" w:fill="F2F2F2"/>
            <w:vAlign w:val="center"/>
          </w:tcPr>
          <w:p w14:paraId="4D376612"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49,0</w:t>
            </w:r>
          </w:p>
        </w:tc>
        <w:tc>
          <w:tcPr>
            <w:tcW w:w="1079" w:type="pct"/>
            <w:shd w:val="clear" w:color="auto" w:fill="F2F2F2"/>
            <w:vAlign w:val="center"/>
          </w:tcPr>
          <w:p w14:paraId="6153B14E"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33,8</w:t>
            </w:r>
          </w:p>
        </w:tc>
      </w:tr>
      <w:tr w:rsidR="003F2001" w:rsidRPr="003F2001" w14:paraId="399E9AFC"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758" w:type="pct"/>
            <w:noWrap/>
            <w:vAlign w:val="center"/>
            <w:hideMark/>
          </w:tcPr>
          <w:p w14:paraId="5CFBF293"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1083" w:type="pct"/>
            <w:noWrap/>
            <w:vAlign w:val="center"/>
          </w:tcPr>
          <w:p w14:paraId="4895E58A"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70,7</w:t>
            </w:r>
          </w:p>
        </w:tc>
        <w:tc>
          <w:tcPr>
            <w:tcW w:w="1079" w:type="pct"/>
            <w:vAlign w:val="center"/>
          </w:tcPr>
          <w:p w14:paraId="3993CDCD"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52,5</w:t>
            </w:r>
          </w:p>
        </w:tc>
        <w:tc>
          <w:tcPr>
            <w:tcW w:w="1079" w:type="pct"/>
            <w:vAlign w:val="center"/>
          </w:tcPr>
          <w:p w14:paraId="764B162C"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37,0</w:t>
            </w:r>
          </w:p>
        </w:tc>
      </w:tr>
      <w:tr w:rsidR="003F2001" w:rsidRPr="003F2001" w14:paraId="1049D0D4"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758" w:type="pct"/>
            <w:noWrap/>
            <w:vAlign w:val="center"/>
            <w:hideMark/>
          </w:tcPr>
          <w:p w14:paraId="14AC78E9"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1083" w:type="pct"/>
            <w:noWrap/>
            <w:vAlign w:val="center"/>
          </w:tcPr>
          <w:p w14:paraId="37A7416F"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74,4</w:t>
            </w:r>
          </w:p>
        </w:tc>
        <w:tc>
          <w:tcPr>
            <w:tcW w:w="1079" w:type="pct"/>
            <w:vAlign w:val="center"/>
          </w:tcPr>
          <w:p w14:paraId="26862168"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56,1</w:t>
            </w:r>
          </w:p>
        </w:tc>
        <w:tc>
          <w:tcPr>
            <w:tcW w:w="1079" w:type="pct"/>
            <w:vAlign w:val="center"/>
          </w:tcPr>
          <w:p w14:paraId="02BC63B5" w14:textId="77777777" w:rsidR="003F2001" w:rsidRPr="003F2001" w:rsidRDefault="003F2001" w:rsidP="003F20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38,4</w:t>
            </w:r>
          </w:p>
        </w:tc>
      </w:tr>
    </w:tbl>
    <w:p w14:paraId="7ADCFFB9"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Państwowej Komisji Wyborczej.</w:t>
      </w:r>
    </w:p>
    <w:p w14:paraId="0B4B6195" w14:textId="77777777" w:rsidR="003F2001" w:rsidRPr="003F2001" w:rsidRDefault="003F2001" w:rsidP="003F2001">
      <w:pPr>
        <w:spacing w:line="276" w:lineRule="auto"/>
        <w:rPr>
          <w:rFonts w:eastAsia="Times New Roman" w:cs="Times New Roman"/>
          <w:color w:val="000000"/>
          <w:kern w:val="0"/>
          <w:szCs w:val="20"/>
          <w:lang w:bidi="en-US"/>
          <w14:ligatures w14:val="none"/>
        </w:rPr>
      </w:pPr>
      <w:r w:rsidRPr="003F2001">
        <w:rPr>
          <w:rFonts w:eastAsia="Times New Roman" w:cs="Times New Roman"/>
          <w:kern w:val="0"/>
          <w:szCs w:val="20"/>
          <w:lang w:bidi="en-US"/>
          <w14:ligatures w14:val="none"/>
        </w:rPr>
        <w:t xml:space="preserve">Według danych GUS, na terenie Gminy Opole Lubelskie w 2023 r. działały 72 organizacje pozarządowe (68 stowarzyszeń oraz 4 fundacje), z czego 38 na terenie miasta oraz 34 na obszarze wiejskim. Od 2014 r. </w:t>
      </w:r>
      <w:r w:rsidRPr="003F2001">
        <w:rPr>
          <w:rFonts w:eastAsia="Times New Roman" w:cs="Times New Roman"/>
          <w:b/>
          <w:bCs/>
          <w:color w:val="4D160F"/>
          <w:kern w:val="0"/>
          <w:szCs w:val="20"/>
          <w:lang w:bidi="en-US"/>
          <w14:ligatures w14:val="none"/>
        </w:rPr>
        <w:t>liczba organizacji pozarządowych</w:t>
      </w:r>
      <w:r w:rsidRPr="003F2001">
        <w:rPr>
          <w:rFonts w:eastAsia="Times New Roman" w:cs="Times New Roman"/>
          <w:color w:val="000000"/>
          <w:kern w:val="0"/>
          <w:szCs w:val="20"/>
          <w:lang w:bidi="en-US"/>
          <w14:ligatures w14:val="none"/>
        </w:rPr>
        <w:t xml:space="preserve"> wzrosła o 44,0% (22 organizacje), przy czym na terenie miasta ich liczba wzrosła o 12 organizacji, a na terenie wiejskim o 10. W przeliczeniu na 1 000 mieszkańców liczba organizacji pozarządowych w 2023 r. </w:t>
      </w:r>
      <w:r w:rsidRPr="003F2001">
        <w:rPr>
          <w:rFonts w:eastAsia="Times New Roman" w:cs="Times New Roman"/>
          <w:color w:val="000000"/>
          <w:kern w:val="0"/>
          <w:szCs w:val="20"/>
          <w:lang w:bidi="en-US"/>
          <w14:ligatures w14:val="none"/>
        </w:rPr>
        <w:lastRenderedPageBreak/>
        <w:t xml:space="preserve">wyniosła 4,45 i była nieznacznie niższa w porównaniu ze średnią w powiecie opolskim (4,56) oraz w województwie lubelskim (4,57). </w:t>
      </w:r>
    </w:p>
    <w:p w14:paraId="65EB50E4" w14:textId="286802DD"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63" w:name="_Toc189166370"/>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14</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organizacji pozarządowych na 1 000 mieszkańców w 2023 r. na terenie Gminy Opole Lubelskie, powiatu opolskiego i województwa lubelskiego (%)</w:t>
      </w:r>
      <w:bookmarkEnd w:id="63"/>
    </w:p>
    <w:p w14:paraId="0F8B2AC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0EC08EF6" wp14:editId="0C392BF1">
            <wp:extent cx="5759450" cy="2699385"/>
            <wp:effectExtent l="0" t="0" r="0" b="5715"/>
            <wp:docPr id="69" name="Wykres 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F4AFA4" w14:textId="77777777" w:rsidR="003F2001" w:rsidRPr="003F2001" w:rsidRDefault="003F2001" w:rsidP="003F2001">
      <w:pPr>
        <w:spacing w:before="120" w:line="276" w:lineRule="auto"/>
        <w:rPr>
          <w:rFonts w:eastAsia="Times New Roman" w:cs="Times New Roman"/>
          <w:color w:val="000000"/>
          <w:kern w:val="0"/>
          <w:sz w:val="16"/>
          <w:szCs w:val="16"/>
          <w:lang w:bidi="en-US"/>
          <w14:ligatures w14:val="none"/>
        </w:rPr>
      </w:pPr>
      <w:r w:rsidRPr="003F2001">
        <w:rPr>
          <w:rFonts w:eastAsia="Times New Roman" w:cs="Times New Roman"/>
          <w:color w:val="000000"/>
          <w:kern w:val="0"/>
          <w:sz w:val="16"/>
          <w:szCs w:val="16"/>
          <w:lang w:bidi="en-US"/>
          <w14:ligatures w14:val="none"/>
        </w:rPr>
        <w:t>Źródło: Opracowanie własne na podstawie danych BDL GUS.</w:t>
      </w:r>
    </w:p>
    <w:p w14:paraId="0E030BE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Gmina Opole Lubelskie wypada natomiast korzystnie pod względem wskaźnika prezentującego liczbę fundacji, stowarzyszeń i organizacji w przeliczeniu na 1 000 mieszkańców w porównaniu do pozostałych ośrodków lokalnych. W 2023 r. przedmiotowy wskaźnik w Opolu Lubelskim osiągnął wartość 4,45, co uplasowało gminę na 2 miejscu. Wśród porównywanych jednostek najwięcej organizacji pozarządowych w przeliczeniu na 1 000 mieszkańców zlokalizowanych jest w Janowie Lubelskiem. Ponadto w Opolu Lubelskiem organizacje pozarządowe stanowią aż 4,4% podmiotów gospodarki narodowej wpisanych do rejestru REGON.</w:t>
      </w:r>
    </w:p>
    <w:p w14:paraId="25EBA6C2" w14:textId="31FC71EE"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64" w:name="_Toc189166338"/>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6</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organizacji pozarządowych w 2023 r. w Gminie Opole Lubelskie oraz jednostkach porównawczych.</w:t>
      </w:r>
      <w:bookmarkEnd w:id="64"/>
    </w:p>
    <w:tbl>
      <w:tblPr>
        <w:tblStyle w:val="Tabelasiatki1jasnaakcent121"/>
        <w:tblW w:w="5000" w:type="pct"/>
        <w:tblLook w:val="04A0" w:firstRow="1" w:lastRow="0" w:firstColumn="1" w:lastColumn="0" w:noHBand="0" w:noVBand="1"/>
      </w:tblPr>
      <w:tblGrid>
        <w:gridCol w:w="2265"/>
        <w:gridCol w:w="2265"/>
        <w:gridCol w:w="2266"/>
        <w:gridCol w:w="2266"/>
      </w:tblGrid>
      <w:tr w:rsidR="003F2001" w:rsidRPr="003F2001" w14:paraId="640B45A8"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C692928" w14:textId="77777777" w:rsidR="003F2001" w:rsidRPr="003F2001" w:rsidRDefault="003F2001" w:rsidP="003F2001">
            <w:pPr>
              <w:spacing w:after="0" w:line="240" w:lineRule="auto"/>
              <w:contextualSpacing/>
              <w:jc w:val="center"/>
              <w:rPr>
                <w:rFonts w:cs="Times New Roman"/>
                <w:color w:val="000000"/>
                <w:sz w:val="16"/>
                <w:szCs w:val="16"/>
                <w:lang w:bidi="en-US"/>
              </w:rPr>
            </w:pPr>
            <w:r w:rsidRPr="003F2001">
              <w:rPr>
                <w:rFonts w:cs="Times New Roman"/>
                <w:color w:val="000000"/>
                <w:sz w:val="16"/>
                <w:szCs w:val="16"/>
                <w:lang w:bidi="en-US"/>
              </w:rPr>
              <w:t>Ośrodek lokalny</w:t>
            </w:r>
          </w:p>
        </w:tc>
        <w:tc>
          <w:tcPr>
            <w:tcW w:w="1250" w:type="pct"/>
            <w:vAlign w:val="center"/>
            <w:hideMark/>
          </w:tcPr>
          <w:p w14:paraId="495CC4B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Organizacje pozarządowe - fundacje, stowarzyszenia i organizacje społeczne</w:t>
            </w:r>
          </w:p>
          <w:p w14:paraId="06F36A83"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(szt.)</w:t>
            </w:r>
          </w:p>
        </w:tc>
        <w:tc>
          <w:tcPr>
            <w:tcW w:w="1250" w:type="pct"/>
            <w:vAlign w:val="center"/>
          </w:tcPr>
          <w:p w14:paraId="4349E8C0"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Organizacje pozarządowe na 1 000 mieszkańców</w:t>
            </w:r>
          </w:p>
          <w:p w14:paraId="0572DA55"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(szt.)</w:t>
            </w:r>
          </w:p>
        </w:tc>
        <w:tc>
          <w:tcPr>
            <w:tcW w:w="1250" w:type="pct"/>
            <w:vAlign w:val="center"/>
          </w:tcPr>
          <w:p w14:paraId="222E946C"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Udział organizacji pozarządowych w ogólnej liczbie podmiotów gospodarki narodowej</w:t>
            </w:r>
          </w:p>
          <w:p w14:paraId="7000A6C8"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w:t>
            </w:r>
          </w:p>
        </w:tc>
      </w:tr>
      <w:tr w:rsidR="003F2001" w:rsidRPr="003F2001" w14:paraId="499DA76A"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F7C39BD" w14:textId="77777777" w:rsidR="003F2001" w:rsidRPr="003F2001" w:rsidRDefault="003F2001" w:rsidP="003F2001">
            <w:pPr>
              <w:spacing w:after="0" w:line="240" w:lineRule="auto"/>
              <w:contextualSpacing/>
              <w:jc w:val="left"/>
              <w:rPr>
                <w:rFonts w:cs="Times New Roman"/>
                <w:color w:val="000000"/>
                <w:sz w:val="16"/>
                <w:szCs w:val="16"/>
                <w:lang w:bidi="en-US"/>
              </w:rPr>
            </w:pPr>
            <w:r w:rsidRPr="003F2001">
              <w:rPr>
                <w:rFonts w:cs="Times New Roman"/>
                <w:color w:val="000000"/>
                <w:sz w:val="16"/>
                <w:szCs w:val="16"/>
              </w:rPr>
              <w:t>Gmina Janów Lubelski</w:t>
            </w:r>
          </w:p>
        </w:tc>
        <w:tc>
          <w:tcPr>
            <w:tcW w:w="1250" w:type="pct"/>
            <w:noWrap/>
            <w:vAlign w:val="center"/>
          </w:tcPr>
          <w:p w14:paraId="7BBFDD3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78</w:t>
            </w:r>
          </w:p>
        </w:tc>
        <w:tc>
          <w:tcPr>
            <w:tcW w:w="1250" w:type="pct"/>
            <w:vAlign w:val="center"/>
          </w:tcPr>
          <w:p w14:paraId="0A96E48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5,35</w:t>
            </w:r>
          </w:p>
        </w:tc>
        <w:tc>
          <w:tcPr>
            <w:tcW w:w="1250" w:type="pct"/>
            <w:vAlign w:val="center"/>
          </w:tcPr>
          <w:p w14:paraId="59CA86A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4,0</w:t>
            </w:r>
          </w:p>
        </w:tc>
      </w:tr>
      <w:tr w:rsidR="003F2001" w:rsidRPr="003F2001" w14:paraId="1BE13725"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02C5E0E" w14:textId="77777777" w:rsidR="003F2001" w:rsidRPr="003F2001" w:rsidRDefault="003F2001" w:rsidP="003F2001">
            <w:pPr>
              <w:spacing w:after="0" w:line="240" w:lineRule="auto"/>
              <w:contextualSpacing/>
              <w:jc w:val="left"/>
              <w:rPr>
                <w:rFonts w:cs="Times New Roman"/>
                <w:color w:val="000000"/>
                <w:sz w:val="16"/>
                <w:szCs w:val="16"/>
                <w:lang w:bidi="en-US"/>
              </w:rPr>
            </w:pPr>
            <w:r w:rsidRPr="003F2001">
              <w:rPr>
                <w:rFonts w:cs="Times New Roman"/>
                <w:color w:val="000000"/>
                <w:sz w:val="16"/>
                <w:szCs w:val="16"/>
              </w:rPr>
              <w:t>Gmina Łęczna</w:t>
            </w:r>
          </w:p>
        </w:tc>
        <w:tc>
          <w:tcPr>
            <w:tcW w:w="1250" w:type="pct"/>
            <w:noWrap/>
            <w:vAlign w:val="center"/>
          </w:tcPr>
          <w:p w14:paraId="0121230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80</w:t>
            </w:r>
          </w:p>
        </w:tc>
        <w:tc>
          <w:tcPr>
            <w:tcW w:w="1250" w:type="pct"/>
            <w:vAlign w:val="center"/>
          </w:tcPr>
          <w:p w14:paraId="6F4A1C4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3,58</w:t>
            </w:r>
          </w:p>
        </w:tc>
        <w:tc>
          <w:tcPr>
            <w:tcW w:w="1250" w:type="pct"/>
            <w:vAlign w:val="center"/>
          </w:tcPr>
          <w:p w14:paraId="092CEF3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4,4</w:t>
            </w:r>
          </w:p>
        </w:tc>
      </w:tr>
      <w:tr w:rsidR="003F2001" w:rsidRPr="003F2001" w14:paraId="54C9D7C6"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auto" w:fill="F2F2F2"/>
            <w:noWrap/>
            <w:vAlign w:val="center"/>
            <w:hideMark/>
          </w:tcPr>
          <w:p w14:paraId="2A0D4216" w14:textId="77777777" w:rsidR="003F2001" w:rsidRPr="003F2001" w:rsidRDefault="003F2001" w:rsidP="003F2001">
            <w:pPr>
              <w:spacing w:after="0" w:line="240" w:lineRule="auto"/>
              <w:contextualSpacing/>
              <w:jc w:val="left"/>
              <w:rPr>
                <w:rFonts w:cs="Times New Roman"/>
                <w:color w:val="000000"/>
                <w:sz w:val="16"/>
                <w:szCs w:val="16"/>
                <w:lang w:bidi="en-US"/>
              </w:rPr>
            </w:pPr>
            <w:r w:rsidRPr="003F2001">
              <w:rPr>
                <w:rFonts w:cs="Times New Roman"/>
                <w:color w:val="000000"/>
                <w:sz w:val="16"/>
                <w:szCs w:val="16"/>
              </w:rPr>
              <w:t>Gmina Opole Lubelskie</w:t>
            </w:r>
          </w:p>
        </w:tc>
        <w:tc>
          <w:tcPr>
            <w:tcW w:w="1250" w:type="pct"/>
            <w:shd w:val="clear" w:color="auto" w:fill="F2F2F2"/>
            <w:noWrap/>
            <w:vAlign w:val="center"/>
          </w:tcPr>
          <w:p w14:paraId="59AD0FF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16"/>
                <w:szCs w:val="16"/>
                <w:lang w:bidi="en-US"/>
              </w:rPr>
            </w:pPr>
            <w:r w:rsidRPr="003F2001">
              <w:rPr>
                <w:rFonts w:cs="Times New Roman"/>
                <w:b/>
                <w:bCs/>
                <w:color w:val="000000"/>
                <w:sz w:val="16"/>
                <w:szCs w:val="16"/>
                <w:lang w:bidi="en-US"/>
              </w:rPr>
              <w:t>72</w:t>
            </w:r>
          </w:p>
        </w:tc>
        <w:tc>
          <w:tcPr>
            <w:tcW w:w="1250" w:type="pct"/>
            <w:shd w:val="clear" w:color="auto" w:fill="F2F2F2"/>
            <w:vAlign w:val="center"/>
          </w:tcPr>
          <w:p w14:paraId="5F499B7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16"/>
                <w:szCs w:val="16"/>
                <w:lang w:bidi="en-US"/>
              </w:rPr>
            </w:pPr>
            <w:r w:rsidRPr="003F2001">
              <w:rPr>
                <w:rFonts w:cs="Times New Roman"/>
                <w:b/>
                <w:bCs/>
                <w:color w:val="000000"/>
                <w:sz w:val="16"/>
                <w:szCs w:val="16"/>
                <w:lang w:bidi="en-US"/>
              </w:rPr>
              <w:t>4,45</w:t>
            </w:r>
          </w:p>
        </w:tc>
        <w:tc>
          <w:tcPr>
            <w:tcW w:w="1250" w:type="pct"/>
            <w:shd w:val="clear" w:color="auto" w:fill="F2F2F2"/>
            <w:vAlign w:val="center"/>
          </w:tcPr>
          <w:p w14:paraId="25DE1B4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16"/>
                <w:szCs w:val="16"/>
                <w:lang w:bidi="en-US"/>
              </w:rPr>
            </w:pPr>
            <w:r w:rsidRPr="003F2001">
              <w:rPr>
                <w:rFonts w:cs="Times New Roman"/>
                <w:b/>
                <w:bCs/>
                <w:color w:val="000000"/>
                <w:sz w:val="16"/>
                <w:szCs w:val="16"/>
                <w:lang w:bidi="en-US"/>
              </w:rPr>
              <w:t>4,4</w:t>
            </w:r>
          </w:p>
        </w:tc>
      </w:tr>
      <w:tr w:rsidR="003F2001" w:rsidRPr="003F2001" w14:paraId="15E6343F"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5E67A45D" w14:textId="77777777" w:rsidR="003F2001" w:rsidRPr="003F2001" w:rsidRDefault="003F2001" w:rsidP="003F2001">
            <w:pPr>
              <w:spacing w:after="0" w:line="240" w:lineRule="auto"/>
              <w:contextualSpacing/>
              <w:jc w:val="left"/>
              <w:rPr>
                <w:rFonts w:cs="Times New Roman"/>
                <w:color w:val="000000"/>
                <w:sz w:val="16"/>
                <w:szCs w:val="16"/>
                <w:lang w:bidi="en-US"/>
              </w:rPr>
            </w:pPr>
            <w:r w:rsidRPr="003F2001">
              <w:rPr>
                <w:rFonts w:cs="Times New Roman"/>
                <w:color w:val="000000"/>
                <w:sz w:val="16"/>
                <w:szCs w:val="16"/>
              </w:rPr>
              <w:t>Gmina Parczew</w:t>
            </w:r>
          </w:p>
        </w:tc>
        <w:tc>
          <w:tcPr>
            <w:tcW w:w="1250" w:type="pct"/>
            <w:noWrap/>
            <w:vAlign w:val="center"/>
          </w:tcPr>
          <w:p w14:paraId="4919710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54</w:t>
            </w:r>
          </w:p>
        </w:tc>
        <w:tc>
          <w:tcPr>
            <w:tcW w:w="1250" w:type="pct"/>
            <w:vAlign w:val="center"/>
          </w:tcPr>
          <w:p w14:paraId="7012134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3,94</w:t>
            </w:r>
          </w:p>
        </w:tc>
        <w:tc>
          <w:tcPr>
            <w:tcW w:w="1250" w:type="pct"/>
            <w:vAlign w:val="center"/>
          </w:tcPr>
          <w:p w14:paraId="007B512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3,8</w:t>
            </w:r>
          </w:p>
        </w:tc>
      </w:tr>
      <w:tr w:rsidR="003F2001" w:rsidRPr="003F2001" w14:paraId="51FF6FC2"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3B6F02E5" w14:textId="77777777" w:rsidR="003F2001" w:rsidRPr="003F2001" w:rsidRDefault="003F2001" w:rsidP="003F2001">
            <w:pPr>
              <w:spacing w:after="0" w:line="240" w:lineRule="auto"/>
              <w:contextualSpacing/>
              <w:jc w:val="left"/>
              <w:rPr>
                <w:rFonts w:cs="Times New Roman"/>
                <w:color w:val="000000"/>
                <w:sz w:val="16"/>
                <w:szCs w:val="16"/>
                <w:lang w:bidi="en-US"/>
              </w:rPr>
            </w:pPr>
            <w:r w:rsidRPr="003F2001">
              <w:rPr>
                <w:rFonts w:cs="Times New Roman"/>
                <w:color w:val="000000"/>
                <w:sz w:val="16"/>
                <w:szCs w:val="16"/>
              </w:rPr>
              <w:t>Gmina Ryki</w:t>
            </w:r>
          </w:p>
        </w:tc>
        <w:tc>
          <w:tcPr>
            <w:tcW w:w="1250" w:type="pct"/>
            <w:noWrap/>
            <w:vAlign w:val="center"/>
          </w:tcPr>
          <w:p w14:paraId="2CCEDE6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79</w:t>
            </w:r>
          </w:p>
        </w:tc>
        <w:tc>
          <w:tcPr>
            <w:tcW w:w="1250" w:type="pct"/>
            <w:vAlign w:val="center"/>
          </w:tcPr>
          <w:p w14:paraId="1736D11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4,13</w:t>
            </w:r>
          </w:p>
        </w:tc>
        <w:tc>
          <w:tcPr>
            <w:tcW w:w="1250" w:type="pct"/>
            <w:vAlign w:val="center"/>
          </w:tcPr>
          <w:p w14:paraId="2CFF1CC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bidi="en-US"/>
              </w:rPr>
            </w:pPr>
            <w:r w:rsidRPr="003F2001">
              <w:rPr>
                <w:rFonts w:cs="Times New Roman"/>
                <w:color w:val="000000"/>
                <w:sz w:val="16"/>
                <w:szCs w:val="16"/>
                <w:lang w:bidi="en-US"/>
              </w:rPr>
              <w:t>4,0</w:t>
            </w:r>
          </w:p>
        </w:tc>
      </w:tr>
    </w:tbl>
    <w:p w14:paraId="4F6F362C" w14:textId="77777777" w:rsidR="003F2001" w:rsidRPr="003F2001" w:rsidRDefault="003F2001" w:rsidP="003F2001">
      <w:pPr>
        <w:spacing w:before="120" w:line="276" w:lineRule="auto"/>
        <w:rPr>
          <w:rFonts w:eastAsia="Times New Roman" w:cs="Times New Roman"/>
          <w:color w:val="000000"/>
          <w:kern w:val="0"/>
          <w:sz w:val="16"/>
          <w:szCs w:val="16"/>
          <w:lang w:bidi="en-US"/>
          <w14:ligatures w14:val="none"/>
        </w:rPr>
      </w:pPr>
      <w:r w:rsidRPr="003F2001">
        <w:rPr>
          <w:rFonts w:eastAsia="Times New Roman" w:cs="Times New Roman"/>
          <w:color w:val="000000"/>
          <w:kern w:val="0"/>
          <w:sz w:val="16"/>
          <w:szCs w:val="16"/>
          <w:lang w:bidi="en-US"/>
          <w14:ligatures w14:val="none"/>
        </w:rPr>
        <w:t>Źródło: Opracowanie własne na podstawie danych BDL GUS.</w:t>
      </w:r>
    </w:p>
    <w:p w14:paraId="787E27D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Przedsiębiorczość</w:t>
      </w:r>
      <w:r w:rsidRPr="003F2001">
        <w:rPr>
          <w:rFonts w:eastAsia="Times New Roman" w:cs="Times New Roman"/>
          <w:kern w:val="0"/>
          <w:szCs w:val="20"/>
          <w:lang w:bidi="en-US"/>
          <w14:ligatures w14:val="none"/>
        </w:rPr>
        <w:t xml:space="preserve"> to wyraz aktywności jednostek i społeczeństw będący efektem obserwacji, przemyśleń, wiedzy, doświadczenia. Istotnym miernikiem poziomu przedsiębiorczości jest </w:t>
      </w:r>
      <w:r w:rsidRPr="003F2001">
        <w:rPr>
          <w:rFonts w:eastAsia="Times New Roman" w:cs="Times New Roman"/>
          <w:b/>
          <w:bCs/>
          <w:color w:val="4D160F"/>
          <w:kern w:val="0"/>
          <w:szCs w:val="20"/>
          <w:lang w:bidi="en-US"/>
          <w14:ligatures w14:val="none"/>
        </w:rPr>
        <w:t>liczba osób fizycznych prowadzących działalność gospodarczą</w:t>
      </w:r>
      <w:r w:rsidRPr="003F2001">
        <w:rPr>
          <w:rFonts w:eastAsia="Times New Roman" w:cs="Times New Roman"/>
          <w:kern w:val="0"/>
          <w:szCs w:val="20"/>
          <w:lang w:bidi="en-US"/>
          <w14:ligatures w14:val="none"/>
        </w:rPr>
        <w:t xml:space="preserve">. Wskaźnik ten obrazuje aktywność indywidualnych osób i jest postrzegany jako przejaw ich kreatywności, odwagi, niezależności. Na terenie Gminy Opole Lubelskie na koniec 2023 r. w rejestrze REGON zaewidencjonowane były 1 624 podmioty gospodarcze, w tym 1 246 osób fizycznych prowadzących działalność </w:t>
      </w:r>
      <w:r w:rsidRPr="003F2001">
        <w:rPr>
          <w:rFonts w:eastAsia="Times New Roman" w:cs="Times New Roman"/>
          <w:kern w:val="0"/>
          <w:szCs w:val="20"/>
          <w:lang w:bidi="en-US"/>
          <w14:ligatures w14:val="none"/>
        </w:rPr>
        <w:lastRenderedPageBreak/>
        <w:t xml:space="preserve">gospodarczą. Należy zauważyć, że poziom przedsiębiorczości obszaru, mierzony liczbą osób fizycznych podejmujących działalność gospodarczą, jest </w:t>
      </w:r>
      <w:r w:rsidRPr="003F2001">
        <w:rPr>
          <w:rFonts w:eastAsia="Times New Roman" w:cs="Times New Roman"/>
          <w:b/>
          <w:bCs/>
          <w:color w:val="4D160F"/>
          <w:kern w:val="0"/>
          <w:szCs w:val="20"/>
          <w:lang w:bidi="en-US"/>
          <w14:ligatures w14:val="none"/>
        </w:rPr>
        <w:t>stosunkowo wysoki</w:t>
      </w:r>
      <w:r w:rsidRPr="003F2001">
        <w:rPr>
          <w:rFonts w:eastAsia="Times New Roman" w:cs="Times New Roman"/>
          <w:kern w:val="0"/>
          <w:szCs w:val="20"/>
          <w:lang w:bidi="en-US"/>
          <w14:ligatures w14:val="none"/>
        </w:rPr>
        <w:t>. Wartości wskaźników dotyczących liczby osób fizycznych prowadzących w działalność gospodarczą na 1 000 mieszkańców oraz na 100 osób w wieku produkcyjnym obliczone dla Gminy Opole Lubelskie wynosiły odpowiednio 77 oraz 14 i były zdecydowanie wyższe od wartości dla powiatu opolskiego oraz zbliżone do średniej dla regionu.</w:t>
      </w:r>
    </w:p>
    <w:p w14:paraId="1ACC99D0" w14:textId="285DFE84"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65" w:name="_Toc189166371"/>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15</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Osoby prowadzące działalność gospodarczą na 1 000 mieszkańców oraz 100 osób w wieku produkcyjnym w 2023 r. na terenie Gminy Opole Lubelskie, powiatu opolskie i województwa lubelskiego (osoby)</w:t>
      </w:r>
      <w:bookmarkEnd w:id="65"/>
    </w:p>
    <w:p w14:paraId="36358785" w14:textId="77777777" w:rsidR="003F2001" w:rsidRPr="003F2001" w:rsidRDefault="003F2001" w:rsidP="003F2001">
      <w:pPr>
        <w:spacing w:line="276" w:lineRule="auto"/>
        <w:jc w:val="center"/>
        <w:rPr>
          <w:rFonts w:eastAsia="Times New Roman" w:cs="Times New Roman"/>
          <w:color w:val="FF0000"/>
          <w:kern w:val="0"/>
          <w:szCs w:val="20"/>
          <w:lang w:bidi="en-US"/>
          <w14:ligatures w14:val="none"/>
        </w:rPr>
      </w:pPr>
      <w:r w:rsidRPr="003F2001">
        <w:rPr>
          <w:rFonts w:ascii="Calibri" w:eastAsia="Calibri" w:hAnsi="Calibri" w:cs="Times New Roman"/>
          <w:noProof/>
          <w:sz w:val="22"/>
          <w:lang w:eastAsia="pl-PL"/>
        </w:rPr>
        <w:drawing>
          <wp:inline distT="0" distB="0" distL="0" distR="0" wp14:anchorId="0857755A" wp14:editId="1E3DA509">
            <wp:extent cx="5760720" cy="2699385"/>
            <wp:effectExtent l="0" t="0" r="0" b="5715"/>
            <wp:docPr id="70" name="Wykres 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D0EB4B-A96E-42AC-A61C-4B7311B3A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9CD3AE"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2171964D"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Analiza danych zgromadzonych dla jednostek porównawczych uwidacznia znaczne zróżnicowanie wskaźników dotyczących poziomu przedsiębiorczości. W 2023 r. najmniej osób fizycznych prowadziło działalność gospodarczą w Łęcznej – 62 osoby na 1 000 mieszkańców. Ośrodek ten charakteryzował się również najniższą liczbą przedsiębiorców na 100 osób w wieku produkcyjnym – 10 osób. Opole Lubelskie, na tle pozostałych ośrodków lokalnych, odznacza się średnimi wskaźnikami przedsiębiorczości mieszkańców – zdecydowanie wyższe wartości wskaźników odnotowano w Janowie Lubelskim.</w:t>
      </w:r>
    </w:p>
    <w:p w14:paraId="1D9FC484" w14:textId="4A5D80B7"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66" w:name="_Toc189166339"/>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7</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Osoby fizyczne prowadzące działalność gospodarczą w 2023 r. w Gminie Opole Lubelskie oraz jednostkach porównawczych.</w:t>
      </w:r>
      <w:bookmarkEnd w:id="66"/>
    </w:p>
    <w:tbl>
      <w:tblPr>
        <w:tblStyle w:val="Tabelasiatki1jasnaakcent121"/>
        <w:tblW w:w="5000" w:type="pct"/>
        <w:tblLook w:val="04A0" w:firstRow="1" w:lastRow="0" w:firstColumn="1" w:lastColumn="0" w:noHBand="0" w:noVBand="1"/>
      </w:tblPr>
      <w:tblGrid>
        <w:gridCol w:w="2265"/>
        <w:gridCol w:w="2265"/>
        <w:gridCol w:w="2266"/>
        <w:gridCol w:w="2266"/>
      </w:tblGrid>
      <w:tr w:rsidR="003F2001" w:rsidRPr="003F2001" w14:paraId="71920D06"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542CCCE"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1250" w:type="pct"/>
            <w:vAlign w:val="center"/>
            <w:hideMark/>
          </w:tcPr>
          <w:p w14:paraId="3EB7ADF0"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 fizyczne prowadzące działalność gospodarczą</w:t>
            </w:r>
          </w:p>
          <w:p w14:paraId="2798A562"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c>
          <w:tcPr>
            <w:tcW w:w="1250" w:type="pct"/>
          </w:tcPr>
          <w:p w14:paraId="260D683C"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 fizyczne prowadzące działalność gospodarczą na 1 000 ludności</w:t>
            </w:r>
          </w:p>
          <w:p w14:paraId="6B649225"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c>
          <w:tcPr>
            <w:tcW w:w="1250" w:type="pct"/>
          </w:tcPr>
          <w:p w14:paraId="0C47992B"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 fizyczne prowadzące działalność gospodarczą na 100 osób w wieku produkcyjnym</w:t>
            </w:r>
          </w:p>
          <w:p w14:paraId="31CBC6B0"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r>
      <w:tr w:rsidR="003F2001" w:rsidRPr="003F2001" w14:paraId="73D3EED6"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B0A9D23"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1250" w:type="pct"/>
            <w:noWrap/>
            <w:vAlign w:val="center"/>
            <w:hideMark/>
          </w:tcPr>
          <w:p w14:paraId="313B083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1 499</w:t>
            </w:r>
          </w:p>
        </w:tc>
        <w:tc>
          <w:tcPr>
            <w:tcW w:w="1250" w:type="pct"/>
            <w:vAlign w:val="center"/>
          </w:tcPr>
          <w:p w14:paraId="40B781F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103</w:t>
            </w:r>
          </w:p>
        </w:tc>
        <w:tc>
          <w:tcPr>
            <w:tcW w:w="1250" w:type="pct"/>
            <w:vAlign w:val="center"/>
          </w:tcPr>
          <w:p w14:paraId="5B01EC5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18</w:t>
            </w:r>
          </w:p>
        </w:tc>
      </w:tr>
      <w:tr w:rsidR="003F2001" w:rsidRPr="003F2001" w14:paraId="7D8D9743"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47E7AE9"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1250" w:type="pct"/>
            <w:noWrap/>
            <w:vAlign w:val="center"/>
            <w:hideMark/>
          </w:tcPr>
          <w:p w14:paraId="233DF72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1 388</w:t>
            </w:r>
          </w:p>
        </w:tc>
        <w:tc>
          <w:tcPr>
            <w:tcW w:w="1250" w:type="pct"/>
            <w:vAlign w:val="center"/>
          </w:tcPr>
          <w:p w14:paraId="1B3FDAC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62</w:t>
            </w:r>
          </w:p>
        </w:tc>
        <w:tc>
          <w:tcPr>
            <w:tcW w:w="1250" w:type="pct"/>
            <w:vAlign w:val="center"/>
          </w:tcPr>
          <w:p w14:paraId="7BB8D9E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10</w:t>
            </w:r>
          </w:p>
        </w:tc>
      </w:tr>
      <w:tr w:rsidR="003F2001" w:rsidRPr="003F2001" w14:paraId="190A4FEF"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auto" w:fill="F2F2F2"/>
            <w:noWrap/>
            <w:vAlign w:val="center"/>
            <w:hideMark/>
          </w:tcPr>
          <w:p w14:paraId="3BF0E5D8"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1250" w:type="pct"/>
            <w:shd w:val="clear" w:color="auto" w:fill="F2F2F2"/>
            <w:noWrap/>
            <w:vAlign w:val="center"/>
            <w:hideMark/>
          </w:tcPr>
          <w:p w14:paraId="23AE56B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1 246</w:t>
            </w:r>
          </w:p>
        </w:tc>
        <w:tc>
          <w:tcPr>
            <w:tcW w:w="1250" w:type="pct"/>
            <w:shd w:val="clear" w:color="auto" w:fill="F2F2F2"/>
            <w:vAlign w:val="center"/>
          </w:tcPr>
          <w:p w14:paraId="7241ED7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77</w:t>
            </w:r>
          </w:p>
        </w:tc>
        <w:tc>
          <w:tcPr>
            <w:tcW w:w="1250" w:type="pct"/>
            <w:shd w:val="clear" w:color="auto" w:fill="F2F2F2"/>
            <w:vAlign w:val="center"/>
          </w:tcPr>
          <w:p w14:paraId="663EFA0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13</w:t>
            </w:r>
          </w:p>
        </w:tc>
      </w:tr>
      <w:tr w:rsidR="003F2001" w:rsidRPr="003F2001" w14:paraId="63744C27"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3BA94D8E"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1250" w:type="pct"/>
            <w:noWrap/>
            <w:vAlign w:val="center"/>
            <w:hideMark/>
          </w:tcPr>
          <w:p w14:paraId="6911103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1 071</w:t>
            </w:r>
          </w:p>
        </w:tc>
        <w:tc>
          <w:tcPr>
            <w:tcW w:w="1250" w:type="pct"/>
            <w:vAlign w:val="center"/>
          </w:tcPr>
          <w:p w14:paraId="4EA8AAD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78</w:t>
            </w:r>
          </w:p>
        </w:tc>
        <w:tc>
          <w:tcPr>
            <w:tcW w:w="1250" w:type="pct"/>
            <w:vAlign w:val="center"/>
          </w:tcPr>
          <w:p w14:paraId="37AF845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14</w:t>
            </w:r>
          </w:p>
        </w:tc>
      </w:tr>
      <w:tr w:rsidR="003F2001" w:rsidRPr="003F2001" w14:paraId="3E301A41"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7F9A5280"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1250" w:type="pct"/>
            <w:noWrap/>
            <w:vAlign w:val="center"/>
            <w:hideMark/>
          </w:tcPr>
          <w:p w14:paraId="5E5BECA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1 474</w:t>
            </w:r>
          </w:p>
        </w:tc>
        <w:tc>
          <w:tcPr>
            <w:tcW w:w="1250" w:type="pct"/>
            <w:vAlign w:val="center"/>
          </w:tcPr>
          <w:p w14:paraId="0792180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77</w:t>
            </w:r>
          </w:p>
        </w:tc>
        <w:tc>
          <w:tcPr>
            <w:tcW w:w="1250" w:type="pct"/>
            <w:vAlign w:val="center"/>
          </w:tcPr>
          <w:p w14:paraId="0AB0DD8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14</w:t>
            </w:r>
          </w:p>
        </w:tc>
      </w:tr>
    </w:tbl>
    <w:p w14:paraId="566BF3A6"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066EFE73" w14:textId="77777777" w:rsidR="003F2001" w:rsidRPr="003F2001" w:rsidRDefault="003F2001" w:rsidP="003F2001">
      <w:pPr>
        <w:spacing w:after="160" w:line="259" w:lineRule="auto"/>
        <w:jc w:val="left"/>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br w:type="page"/>
      </w:r>
    </w:p>
    <w:p w14:paraId="6B243EC4" w14:textId="759D239B" w:rsidR="003F2001" w:rsidRPr="003F2001" w:rsidRDefault="003F2001" w:rsidP="00941F1D">
      <w:pPr>
        <w:pStyle w:val="Nagwek2"/>
      </w:pPr>
      <w:bookmarkStart w:id="67" w:name="_Toc173435445"/>
      <w:bookmarkStart w:id="68" w:name="_Toc191908760"/>
      <w:r>
        <w:lastRenderedPageBreak/>
        <w:t xml:space="preserve">2.2.5 </w:t>
      </w:r>
      <w:r w:rsidRPr="003F2001">
        <w:t>Podsumowanie i wnioski</w:t>
      </w:r>
      <w:bookmarkEnd w:id="67"/>
      <w:bookmarkEnd w:id="68"/>
    </w:p>
    <w:p w14:paraId="6888DFDC"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Zgodnie z danymi statystycznymi Gminę Opole Lubelskie w końcu 2023 r. zamieszkiwało 16 189 osób (8 339 kobiet i 7 850 mężczyzn). Miasto Opole Lubelskie liczyło 7 864 mieszkańców, natomiast na terenie wiejskim gminy miejsko-wiejskiej mieszkało 8 325 osób. </w:t>
      </w:r>
    </w:p>
    <w:p w14:paraId="6600E219"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Na przestrzeni ostatnich lat na terenie Gminy Opole Lubelskie odnotowuje się systematyczny spadek liczby ludności – od 2014 r. liczba mieszkańców tego terenu zmniejszyła się o 1 530 osób, co stanowi 8,6% ludności zamieszkującej obszar w 2014 r. Należy przy tym zauważyć, że proces depopulacji zdecydowanie szybciej następuje w mieście, niż na terenie wiejskim.</w:t>
      </w:r>
    </w:p>
    <w:p w14:paraId="4AEEB77E"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Gmina Opole Lubelskie charakteryzuje się ujemnym przyrostem naturalnym, w wyniku którego w 2023 r. liczba mieszkańców zmniejszyła się o 110 osób, przy czym wartości ujemne odnotowano zarówno na obszarze miasta (-47 osób), jak i na terenie wiejskim gminy (-63 osoby). Warto również zauważać, że przyrost naturalny na terenie gminy w latach 2014-2023 stale utrzymywał wartość ujemną, a dodatkowo w ostatnich czterech latach znacząco się zmniejszył.</w:t>
      </w:r>
    </w:p>
    <w:p w14:paraId="43023184"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Problemem w odniesieniu do sytuacji demograficznej obszaru jest również odpływ migracyjny ludności. Saldo migracji od 2014 r. na terenie Gminy Opole Lubelskie niezmiennie przyjmuje wartości ujemne, a w 2023 r. osiągnęło wartość -37 osób. Na saldo migracji gminy wywarł głównie odpływ mieszkańców z miasta, który w 2023 r. wyniósł -48 osób. Dodatnie saldo migracji odnotowano natomiast na terenie wiejskim, gdzie w roku 2023 było o 11 więcej zameldowań niż wymeldowań. Przyczyny tego stanu rzeczy należy upatrywać m.in. w osadnictwie mieszkańców miasta na terenie wiejskim, a także odpływem ludności poza obszar gminy. </w:t>
      </w:r>
    </w:p>
    <w:p w14:paraId="46327F80"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Zła sytuacja dotycząca odpływu migracyjnego ludności spowodowana jest przede wszystkim przyczynami ekonomicznymi, tj. chęcią poprawy warunków bytowych, lepszą dostępnością do pracy w większych ośrodkach miejskich, a także emigracją młodych ludzi w celu podjęcia nauki w ośrodkach akademickich znajdujących się poza obszarem funkcjonalnym. Jest to zjawisko bardzo negatywne, w szczególności ze względu na fakt, że migracja jest procesem selektywnym – wyraźnie wyższe od średnich są wskaźniki migracji dla ludzi młodych, o wyższym poziomie wykształcenia. W rezultacie znaczące ujemne saldo migracji może oznaczać odpływ najlepszej, z punktu widzenia ekonomicznej przyszłości obszaru, części jego mieszkańców. Nie dość, że obserwuje się w takiej sytuacji odpływ ludzi o wysokim potencjale, to dodatkowo w przyśpieszonym tempie postępuje proces starzenia się społeczności, także za sprawą spadającego przyrostu naturalnego, będącego konsekwencją odpływu kobiet w wieku produkcyjnym.</w:t>
      </w:r>
      <w:r w:rsidRPr="003F2001">
        <w:rPr>
          <w:rFonts w:ascii="Calibri" w:eastAsia="Calibri" w:hAnsi="Calibri" w:cs="Times New Roman"/>
          <w:sz w:val="22"/>
        </w:rPr>
        <w:t xml:space="preserve"> </w:t>
      </w:r>
    </w:p>
    <w:p w14:paraId="1A523695"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W porównaniu do pozostałych ośrodków lokalnych województwa lubelskiego Gmina Opole Lubelskie cechuje się najkorzystniejszym, choć ujemnym, współczynnikiem salda migracji. Jednocześnie współczynnik przyrostu naturalnego obliczony dla analizowanej gminy jest zdecydowanie najniższy w grupie porównawczej. </w:t>
      </w:r>
    </w:p>
    <w:p w14:paraId="5F04A6E0"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Analiza danych dotyczących struktury demograficznej gminy wskazuje na utrzymującą się niekorzystną strukturę wiekową populacji - spadek liczby osób w wieku przedprodukcyjnym i produkcyjnym oraz zwiększanie się grupy osób starszych. Proces demograficznego starzenia się społeczeństwa wynika bezpośrednio z niskiego przyrostu naturalnego, zwłaszcza z malejącej dzietności, przy jednocześnie wydłużającym się okresie przeciętnego dalszego trwania życia. W skali obszaru niekorzystne zmiany demograficzne są zdecydowanie bardziej widoczne na terenie miasta niż na terenie wiejskim, co może być częściowo spowodowane postępującymi procesami </w:t>
      </w:r>
      <w:r w:rsidRPr="003F2001">
        <w:rPr>
          <w:rFonts w:eastAsia="Times New Roman" w:cs="Times New Roman"/>
          <w:color w:val="4D160F"/>
          <w:kern w:val="0"/>
          <w:szCs w:val="20"/>
          <w:lang w:bidi="en-US"/>
          <w14:ligatures w14:val="none"/>
        </w:rPr>
        <w:lastRenderedPageBreak/>
        <w:t xml:space="preserve">suburbanizacyjnymi (przenoszenie się na tereny podmiejskie osób w wieku produkcyjnym, rodzin z dziećmi). Prognozy demograficzne wskazują, że tendencje te będą się pogłębiać, co w perspektywie może skutkować problemami społecznymi i gospodarczymi. Warto natomiast podkreślić, że w porównaniu do pozostałych ośrodków lokalnych w regionie, Opole Lubelskie wyróżnia się relatywnie korzystnymi wskaźniki obciążenia demograficznego – niższe wartości obserwuje się jedynie w Łęcznej. </w:t>
      </w:r>
    </w:p>
    <w:p w14:paraId="5082DAC8"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Według stanu z końca grudnia 2023 r., kobiety stanowiły 51,5% ogólnej liczby ludności Gminy Opole Lubelskie, a wskaźnik feminizacji wynosił 106. Analiza danych statystycznych pokazuje, że wskaźnik ten w ostatnim dziesięcioleciu utrzymywał się na stałym poziomie.</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Na obszarze gminy współczynnik feminizacji jest zróżnicowany ze względu na wiek – wśród ludności do około 49 roku życia występuje liczebna przewaga mężczyzn. Z kolei dla grupy osób w wieku 50 lat i więcej współczynnik feminizacji jest znacznie wyższy, co jest wynikiem dłuższego trwania życia kobiet.</w:t>
      </w:r>
    </w:p>
    <w:p w14:paraId="47100AB7"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Kapitał ludzki stanowi jeden z kluczowych elementów rozwoju jednostek samorządu terytorialnego. Istotnym miernikiem kapitału ludzkiego jest poziom wykształcenia ludności. Według Narodowego Spisu Powszechnego z 2021 r., w porównaniu do średniej w województwie lubelskim udział osób z wykształceniem wyższym w Gminie Opole Lubelskie były znacznie niższy. Analiza dostępnych danych pokazuje również znaczące różnice w wykształceniu mieszkańców obszaru wiejskiego i miejskiego - struktura wykształcenia mieszkańców miasta jest bowiem wyraźnie przesunięta w kierunku wyższych poziomów edukacji, natomiast na wsi większy jest udział osób z niższymi poziomami wykształcenia.</w:t>
      </w:r>
    </w:p>
    <w:p w14:paraId="4D77E313"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Wskaźnikiem kapitału ludzkiego są także dane o wynikach egzaminu ósmoklasisty i egzaminu maturalnego. Dane dotyczące wyników egzaminu ósmoklasisty z 2024 r. pozakazują, że średnie wyniki uczniów klas ósmych z obszaru gminy były wyższe do średnich wyników w powiecie opolskim i regionie. Należy przy tym zauważyć, że w skali obszaru słabiej wypadli uczniowie ze szkół zlokalizowanych na obszarze wiejskim. Natomiast w przypadki egzaminu maturalnego w 2024 r. średnie wyniki uczniów z obszaru gminy były zdecydowanie niższe do średnich wyników w powiecie opolskim i regionie.</w:t>
      </w:r>
    </w:p>
    <w:p w14:paraId="0B4F2C84"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Jakość kapitału społecznego i jego zaangażowanie w proces zarządzania jednostkami samorządu terytorialnego jest obecnie jednym z głównych przejawów dobrego zarządzania na poziomie lokalnym. Za swoisty miernik społeczeństwa obywatelskiego i poziomu kapitału społecznego należy uznać frekwencję w wyborach powszechnych, w tym przede wszystkim w wyborach samorządowych, mających przełożenie na kierunki i charakter działań podejmowanych przez władze publiczne na rzecz rozwoju lokalnego. Frekwencja w wyborach samorządowych w 2024 r., obliczona dla Gminy Opole Lubelskie, była zdecydowanie niższa od danych dla powiatu opolskiego oraz średniej frekwencji w województwie lubelskim. W skali obszaru wyższą frekwencją wyborczą charakteryzowała się miasto, niższą zaś obszar wiejski. Natomiast, w porównaniu do pozostałych ośrodków lokalnych województwa lubelskiego, Gmina Opole Lubelskie cechuje się zdecydowanie najniższą frekwencją wyborczą.</w:t>
      </w:r>
    </w:p>
    <w:p w14:paraId="776B8AE8"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Jako mierniki ilustrujące pewien aspekt kapitału społecznego można zastosować również wskaźniki dotyczące liczby stowarzyszeń i organizacji społecznych oraz fundacji na 1 000 ludności oraz aktywności gospodarczej. W 2023 r. liczba organizacji pozarządowych w przeliczeniu na 1 000 mieszkańców wyniosła 4,45 i była nieznacznie niższa w porównaniu ze średnią w powiecie opolskim (4,56) oraz w województwie lubelskim (4,57). Gmina Opole Lubelskie wypada natomiast korzystnie pod względem wskaźnika prezentującego liczbę fundacji, stowarzyszeń i organizacji w przeliczeniu na 1 000 mieszkańców w porównaniu do pozostałych ośrodków lokalnych. W 2023 r. osiągnięta </w:t>
      </w:r>
      <w:r w:rsidRPr="003F2001">
        <w:rPr>
          <w:rFonts w:eastAsia="Times New Roman" w:cs="Times New Roman"/>
          <w:color w:val="4D160F"/>
          <w:kern w:val="0"/>
          <w:szCs w:val="20"/>
          <w:lang w:bidi="en-US"/>
          <w14:ligatures w14:val="none"/>
        </w:rPr>
        <w:lastRenderedPageBreak/>
        <w:t>wartość wskaźnika uplasowała gminę na 2 miejscu. Wśród porównywanych jednostek najwięcej organizacji pozarządowych w przeliczeniu na 1 000 mieszkańców zlokalizowanych było w Janowie Lubelskiem.</w:t>
      </w:r>
    </w:p>
    <w:p w14:paraId="73BCE701"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Poziom przedsiębiorczości obszaru, mierzony liczbą osób fizycznych podejmujących działalność gospodarczą, jest stosunkowo wysoki. Wartości wskaźników dotyczących liczby osób fizycznych prowadzących w działalność gospodarczą na 1 000 mieszkańców oraz na 100 osób w wieku produkcyjnym obliczone dla Gminy Opole Lubelskie wynosiły odpowiednio 77 oraz 14 i były zdecydowanie wyższe od wartości dla powiatu opolskiego oraz zbliżone do średniej dla regionu.</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Opole Lubelskie, na tle pozostałych ośrodków lokalnych, odznacza się średnimi wskaźnikami przedsiębiorczości mieszkańców – zdecydowanie wyższe wartości wskaźników odnotowano w Janowie Lubelskim.</w:t>
      </w:r>
    </w:p>
    <w:p w14:paraId="30F713F7" w14:textId="77777777" w:rsidR="003F2001" w:rsidRPr="003F2001" w:rsidRDefault="003F2001">
      <w:pPr>
        <w:numPr>
          <w:ilvl w:val="0"/>
          <w:numId w:val="55"/>
        </w:numPr>
        <w:spacing w:after="160" w:line="276" w:lineRule="auto"/>
        <w:ind w:left="426" w:hanging="284"/>
        <w:contextualSpacing/>
        <w:jc w:val="left"/>
        <w:rPr>
          <w:rFonts w:ascii="Calibri" w:eastAsia="Calibri" w:hAnsi="Calibri" w:cs="Times New Roman"/>
          <w:color w:val="4D160F"/>
          <w:sz w:val="22"/>
        </w:rPr>
      </w:pPr>
      <w:r w:rsidRPr="003F2001">
        <w:rPr>
          <w:rFonts w:eastAsia="Times New Roman" w:cs="Times New Roman"/>
          <w:color w:val="4D160F"/>
          <w:kern w:val="0"/>
          <w:szCs w:val="20"/>
          <w:lang w:bidi="en-US"/>
          <w14:ligatures w14:val="none"/>
        </w:rPr>
        <w:t>Analiza danych demograficznych wskazuje na konieczność podjęcia działań w zakresie zahamowania odpływu ludności z terenu gminy, powstrzymania negatywnych trendów demograficznych związanych ze starzeniem się społeczeństwa, a także rozwój kapitału ludzkiego oraz kapitału społecznego obszaru.</w:t>
      </w:r>
    </w:p>
    <w:p w14:paraId="11C5B54A"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Tworzenie nowych miejsc pracy, a także aktywizacja zawodowa osób młodych na lokalnym rynku pracy są niewątpliwie głównymi wyzwaniami przed jakimi stoi gmina. Priorytetem są również działania stymulujące rozwój lokalnej przedsiębiorczości, jak i lepsze wykorzystanie lokalnych zasobów w sferze produkcji i świadczenia usług, również tych związanych z rozwojem turystyki, kultury i sportu. Dzięki działaniom proinwestycyjnym negatywne tendencje demograficzne mogą zostać odwrócone.</w:t>
      </w:r>
    </w:p>
    <w:p w14:paraId="68C88117"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Biorąc pod uwagę obecne tendencje, możemy spodziewać się dalszego wzrostu liczby ludności w wieku poprodukcyjnym oraz wzrost udziału ludności w tym wieku w ogólnej liczbie ludności, co będzie prowadzić do obciążenia osób pracujących kosztami utrzymania systemów zabezpieczenia społecznego. Uwzględniając wyniki prognozy demograficznej, w tym zmieniającą się strukturę ludności, konieczne jest dostosowanie działań związanych z rozwojem infrastruktury społecznej do potrzeb powiększającej się społeczności osób starszych, a także rozwój usług społecznych z zakresu opieki i aktywizacji osób starszych i długotrwale chorych. Należy również założyć, że w kolejnych latach będzie wzrastało zapotrzebowanie na różne formy wsparcia seniorów tj. usługi w miejscu zamieszkania, placówki pobytu całodobowego oraz wsparcia środowiskowego.</w:t>
      </w:r>
    </w:p>
    <w:p w14:paraId="6F0D4BCF" w14:textId="77777777" w:rsidR="003F2001" w:rsidRPr="003F2001" w:rsidRDefault="003F2001">
      <w:pPr>
        <w:numPr>
          <w:ilvl w:val="0"/>
          <w:numId w:val="5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Analiza danych obrazujących aktywność obywatelską i potencjał społeczny wskazuje na konieczność podjęcia działań mających na celu dalszy rozwój kapitału ludzkiego oraz kapitału społecznego obszaru. W obliczu depopulacji i starzenia się mieszkańców władze samorządowe powinny dążyć do zwiększenia aktywności i integracji społecznej przez rozwijanie organizacji pozarządowych, a także aktywnie angażować mieszkańców w realizację wspólnych przedsięwzięć rozwojowych.</w:t>
      </w:r>
      <w:r w:rsidRPr="003F2001">
        <w:rPr>
          <w:rFonts w:ascii="Calibri" w:eastAsia="Calibri" w:hAnsi="Calibri" w:cs="Times New Roman"/>
          <w:sz w:val="22"/>
        </w:rPr>
        <w:t xml:space="preserve"> </w:t>
      </w:r>
      <w:r w:rsidRPr="003F2001">
        <w:rPr>
          <w:rFonts w:eastAsia="Times New Roman" w:cs="Times New Roman"/>
          <w:color w:val="4D160F"/>
          <w:kern w:val="0"/>
          <w:szCs w:val="20"/>
          <w:lang w:bidi="en-US"/>
          <w14:ligatures w14:val="none"/>
        </w:rPr>
        <w:t>Niewątpliwym potencjałem w tym zakresie są jednak już stworzone obecnie w gminie warunki do rozwoju narzędzi partycypacji społecznej takich jak Budżet Obywatelski. Stworzone mechanizmy oraz przyjęte zasady jego funkcjonowania, jako instrumentu partycypacji społecznej, pozwalają stwierdzić, iż stanowi on ważne narzędzie w procesie rozwoju społeczeństwa obywatelskiego i kapitału społecznego.</w:t>
      </w:r>
    </w:p>
    <w:p w14:paraId="6C223916" w14:textId="77777777" w:rsidR="003F2001" w:rsidRPr="003F2001" w:rsidRDefault="003F2001" w:rsidP="003F2001">
      <w:pPr>
        <w:spacing w:after="160" w:line="259" w:lineRule="auto"/>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br w:type="page"/>
      </w:r>
    </w:p>
    <w:p w14:paraId="77F4E89D" w14:textId="11117673" w:rsidR="003F2001" w:rsidRPr="003F2001" w:rsidRDefault="003F2001" w:rsidP="00941F1D">
      <w:pPr>
        <w:pStyle w:val="Nagwek1"/>
        <w:rPr>
          <w:lang w:bidi="en-US"/>
        </w:rPr>
      </w:pPr>
      <w:bookmarkStart w:id="69" w:name="_Toc173435446"/>
      <w:bookmarkStart w:id="70" w:name="_Toc191908761"/>
      <w:r>
        <w:rPr>
          <w:lang w:bidi="en-US"/>
        </w:rPr>
        <w:lastRenderedPageBreak/>
        <w:t xml:space="preserve">2.3 </w:t>
      </w:r>
      <w:r w:rsidRPr="003F2001">
        <w:rPr>
          <w:lang w:bidi="en-US"/>
        </w:rPr>
        <w:t>Rynek pracy</w:t>
      </w:r>
      <w:bookmarkEnd w:id="69"/>
      <w:bookmarkEnd w:id="70"/>
    </w:p>
    <w:p w14:paraId="098CD755" w14:textId="197B8A72" w:rsidR="003F2001" w:rsidRPr="003F2001" w:rsidRDefault="003F2001" w:rsidP="00941F1D">
      <w:pPr>
        <w:pStyle w:val="Nagwek2"/>
      </w:pPr>
      <w:bookmarkStart w:id="71" w:name="_Toc173435447"/>
      <w:bookmarkStart w:id="72" w:name="_Toc191908762"/>
      <w:r>
        <w:t xml:space="preserve">2.3.1 </w:t>
      </w:r>
      <w:r w:rsidRPr="003F2001">
        <w:t>Pracujący i struktura zatrudnienia</w:t>
      </w:r>
      <w:bookmarkEnd w:id="71"/>
      <w:bookmarkEnd w:id="72"/>
    </w:p>
    <w:p w14:paraId="7B2D9AF0" w14:textId="77777777" w:rsidR="003F2001" w:rsidRPr="003F2001" w:rsidRDefault="003F2001" w:rsidP="003F2001">
      <w:pPr>
        <w:spacing w:line="276" w:lineRule="auto"/>
        <w:rPr>
          <w:rFonts w:eastAsia="Times New Roman" w:cs="Times New Roman"/>
          <w:kern w:val="0"/>
          <w:sz w:val="16"/>
          <w:szCs w:val="16"/>
          <w:lang w:bidi="en-US"/>
          <w14:ligatures w14:val="none"/>
        </w:rPr>
      </w:pPr>
      <w:r w:rsidRPr="003F2001">
        <w:rPr>
          <w:rFonts w:eastAsia="Times New Roman" w:cs="Times New Roman"/>
          <w:kern w:val="0"/>
          <w:szCs w:val="20"/>
          <w:lang w:bidi="en-US"/>
          <w14:ligatures w14:val="none"/>
        </w:rPr>
        <w:t xml:space="preserve">Według danych GUS w 2023 r. zbiorowość </w:t>
      </w:r>
      <w:r w:rsidRPr="003F2001">
        <w:rPr>
          <w:rFonts w:eastAsia="Times New Roman" w:cs="Times New Roman"/>
          <w:b/>
          <w:bCs/>
          <w:color w:val="4D160F"/>
          <w:kern w:val="0"/>
          <w:szCs w:val="20"/>
          <w:lang w:bidi="en-US"/>
          <w14:ligatures w14:val="none"/>
        </w:rPr>
        <w:t>osób pracujących</w:t>
      </w:r>
      <w:r w:rsidRPr="003F2001">
        <w:rPr>
          <w:rFonts w:eastAsia="Times New Roman" w:cs="Times New Roman"/>
          <w:kern w:val="0"/>
          <w:szCs w:val="20"/>
          <w:vertAlign w:val="superscript"/>
          <w:lang w:bidi="en-US"/>
          <w14:ligatures w14:val="none"/>
        </w:rPr>
        <w:footnoteReference w:id="4"/>
      </w:r>
      <w:r w:rsidRPr="003F2001">
        <w:rPr>
          <w:rFonts w:eastAsia="Times New Roman" w:cs="Times New Roman"/>
          <w:kern w:val="0"/>
          <w:szCs w:val="20"/>
          <w:lang w:bidi="en-US"/>
          <w14:ligatures w14:val="none"/>
        </w:rPr>
        <w:t xml:space="preserve"> na terenie Gminy Opole Lubelskie wynosiła 6 039 osób (2 810 kobiet i 3 229 mężczyzn), przy czym 52,8% pracujących stanowili mieszkańcy obszaru wiejskiego gminy. </w:t>
      </w:r>
      <w:r w:rsidRPr="003F2001">
        <w:rPr>
          <w:rFonts w:eastAsia="Times New Roman" w:cs="Times New Roman"/>
          <w:b/>
          <w:bCs/>
          <w:color w:val="4D160F"/>
          <w:kern w:val="0"/>
          <w:szCs w:val="20"/>
          <w:lang w:bidi="en-US"/>
          <w14:ligatures w14:val="none"/>
        </w:rPr>
        <w:t>Wskaźnik zatrudnienia</w:t>
      </w:r>
      <w:r w:rsidRPr="003F2001">
        <w:rPr>
          <w:rFonts w:eastAsia="Times New Roman" w:cs="Times New Roman"/>
          <w:kern w:val="0"/>
          <w:szCs w:val="20"/>
          <w:lang w:bidi="en-US"/>
          <w14:ligatures w14:val="none"/>
        </w:rPr>
        <w:t>, prezentujący liczbę osób pracujących na 1 000 mieszkańców w 2023 r. wynosił 373 osoby, wobec 375 w powiecie opolskim oraz 379 na terenie całego województwa lubelskiego.</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Na jeszcze pełniejszy ogląd sytuacji grupy osób pracujących pozwala wskaźnik odnoszący ich liczbę do liczby osób w wieku produkcyjnym. Również w przypadku tego wskaźnika wartości obliczone dla Gminy Opole Lubelskie są jedynie nieznacznie niższe od średnich wartości dla powiatu opolskiego i regionu.</w:t>
      </w:r>
    </w:p>
    <w:p w14:paraId="1F9DD8D5" w14:textId="1035530D"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73" w:name="_Toc189166372"/>
      <w:r w:rsidRPr="003F2001">
        <w:rPr>
          <w:rFonts w:eastAsia="Calibri" w:cs="Times New Roman"/>
          <w:b/>
          <w:bCs/>
          <w:color w:val="7B230B"/>
          <w:kern w:val="0"/>
          <w:sz w:val="16"/>
          <w:szCs w:val="19"/>
          <w:lang w:bidi="en-US"/>
          <w14:ligatures w14:val="none"/>
        </w:rPr>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16</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Liczba pracujących na 1 000 mieszkańców oraz liczba pracujących na 1 000 mieszkańców w wieku produkcyjnym w 2023 r. na terenie Gminy Opole Lubelskie, powiatu opolskiego i województwa lubelskiego (osoby)</w:t>
      </w:r>
      <w:bookmarkEnd w:id="73"/>
    </w:p>
    <w:p w14:paraId="05942FB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3DF10B9C" wp14:editId="63572222">
            <wp:extent cx="5759450" cy="2699385"/>
            <wp:effectExtent l="0" t="0" r="0" b="5715"/>
            <wp:docPr id="1057186311" name="Wykres 10571863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F7F64C"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63B0818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porównaniu do pozostałych ośrodków lokalnych Gmina Opole Lubelskie wyróżnia się relatywnie niskimi wartościami wskaźników dotyczących liczby osób pracujących. Niższe wartości wskaźników zatrudnienia odnotowano jedynie w Janowie Lubelskim.</w:t>
      </w:r>
    </w:p>
    <w:p w14:paraId="0565C933" w14:textId="77777777" w:rsidR="003F2001" w:rsidRPr="003F2001" w:rsidRDefault="003F2001" w:rsidP="003F2001">
      <w:pPr>
        <w:spacing w:after="160" w:line="259" w:lineRule="auto"/>
        <w:jc w:val="left"/>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br w:type="page"/>
      </w:r>
    </w:p>
    <w:p w14:paraId="2CE46300" w14:textId="1B1D1B80"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74" w:name="_Toc189166340"/>
      <w:r w:rsidRPr="003F2001">
        <w:rPr>
          <w:rFonts w:eastAsia="Calibri" w:cs="Times New Roman"/>
          <w:b/>
          <w:bCs/>
          <w:color w:val="7B230B"/>
          <w:kern w:val="0"/>
          <w:sz w:val="16"/>
          <w:szCs w:val="19"/>
          <w:lang w:bidi="en-US"/>
          <w14:ligatures w14:val="none"/>
        </w:rPr>
        <w:lastRenderedPageBreak/>
        <w:t xml:space="preserve">Tabela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Tabela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8</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Pracujący w Gminie Opole Lubelskie oraz jednostkach porównawczych.</w:t>
      </w:r>
      <w:bookmarkEnd w:id="74"/>
    </w:p>
    <w:tbl>
      <w:tblPr>
        <w:tblStyle w:val="Tabelasiatki1jasnaakcent13"/>
        <w:tblW w:w="5000" w:type="pct"/>
        <w:tblLook w:val="04A0" w:firstRow="1" w:lastRow="0" w:firstColumn="1" w:lastColumn="0" w:noHBand="0" w:noVBand="1"/>
      </w:tblPr>
      <w:tblGrid>
        <w:gridCol w:w="2748"/>
        <w:gridCol w:w="2104"/>
        <w:gridCol w:w="2106"/>
        <w:gridCol w:w="2104"/>
      </w:tblGrid>
      <w:tr w:rsidR="003F2001" w:rsidRPr="003F2001" w14:paraId="1FCAE714"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14:paraId="50B6B6B0" w14:textId="77777777" w:rsidR="003F2001" w:rsidRPr="003F2001" w:rsidRDefault="003F2001" w:rsidP="003F2001">
            <w:pPr>
              <w:spacing w:after="0" w:line="276" w:lineRule="auto"/>
              <w:contextualSpacing/>
              <w:jc w:val="center"/>
              <w:rPr>
                <w:rFonts w:cs="Times New Roman"/>
                <w:sz w:val="16"/>
                <w:szCs w:val="16"/>
                <w:lang w:bidi="en-US"/>
              </w:rPr>
            </w:pPr>
            <w:r w:rsidRPr="003F2001">
              <w:rPr>
                <w:rFonts w:cs="Times New Roman"/>
                <w:sz w:val="16"/>
                <w:szCs w:val="16"/>
                <w:lang w:bidi="en-US"/>
              </w:rPr>
              <w:t>Ośrodek lokalny</w:t>
            </w:r>
          </w:p>
        </w:tc>
        <w:tc>
          <w:tcPr>
            <w:tcW w:w="1161" w:type="pct"/>
            <w:vAlign w:val="center"/>
            <w:hideMark/>
          </w:tcPr>
          <w:p w14:paraId="0C8B66EA"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osób pracujących (osoby)</w:t>
            </w:r>
          </w:p>
        </w:tc>
        <w:tc>
          <w:tcPr>
            <w:tcW w:w="1162" w:type="pct"/>
            <w:vAlign w:val="center"/>
          </w:tcPr>
          <w:p w14:paraId="5AF7E4D7"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osób pracujących na 1 000 mieszkańców</w:t>
            </w:r>
          </w:p>
          <w:p w14:paraId="7312F108"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c>
          <w:tcPr>
            <w:tcW w:w="1161" w:type="pct"/>
            <w:vAlign w:val="center"/>
          </w:tcPr>
          <w:p w14:paraId="38B5B372"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osób pracujących na 1 000 mieszkańców w wieku produkcyjnym</w:t>
            </w:r>
          </w:p>
          <w:p w14:paraId="2DB1F9DA"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r>
      <w:tr w:rsidR="003F2001" w:rsidRPr="003F2001" w14:paraId="09F1EC03"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516" w:type="pct"/>
            <w:noWrap/>
            <w:vAlign w:val="center"/>
            <w:hideMark/>
          </w:tcPr>
          <w:p w14:paraId="460FBDA9"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Janów Lubelski</w:t>
            </w:r>
          </w:p>
        </w:tc>
        <w:tc>
          <w:tcPr>
            <w:tcW w:w="1161" w:type="pct"/>
            <w:noWrap/>
            <w:vAlign w:val="center"/>
            <w:hideMark/>
          </w:tcPr>
          <w:p w14:paraId="64EBDC9A"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5 319</w:t>
            </w:r>
          </w:p>
        </w:tc>
        <w:tc>
          <w:tcPr>
            <w:tcW w:w="1162" w:type="pct"/>
            <w:vAlign w:val="center"/>
          </w:tcPr>
          <w:p w14:paraId="477AE27A"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365</w:t>
            </w:r>
          </w:p>
        </w:tc>
        <w:tc>
          <w:tcPr>
            <w:tcW w:w="1161" w:type="pct"/>
            <w:vAlign w:val="center"/>
          </w:tcPr>
          <w:p w14:paraId="504F36B0"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635</w:t>
            </w:r>
          </w:p>
        </w:tc>
      </w:tr>
      <w:tr w:rsidR="003F2001" w:rsidRPr="003F2001" w14:paraId="38D36CFA"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516" w:type="pct"/>
            <w:noWrap/>
            <w:vAlign w:val="center"/>
            <w:hideMark/>
          </w:tcPr>
          <w:p w14:paraId="20F7DC0D"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Łęczna</w:t>
            </w:r>
          </w:p>
        </w:tc>
        <w:tc>
          <w:tcPr>
            <w:tcW w:w="1161" w:type="pct"/>
            <w:noWrap/>
            <w:vAlign w:val="center"/>
            <w:hideMark/>
          </w:tcPr>
          <w:p w14:paraId="5FC19199"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8 683</w:t>
            </w:r>
          </w:p>
        </w:tc>
        <w:tc>
          <w:tcPr>
            <w:tcW w:w="1162" w:type="pct"/>
            <w:vAlign w:val="center"/>
          </w:tcPr>
          <w:p w14:paraId="1FFB813C"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388</w:t>
            </w:r>
          </w:p>
        </w:tc>
        <w:tc>
          <w:tcPr>
            <w:tcW w:w="1161" w:type="pct"/>
            <w:vAlign w:val="center"/>
          </w:tcPr>
          <w:p w14:paraId="0E99AECB"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654</w:t>
            </w:r>
          </w:p>
        </w:tc>
      </w:tr>
      <w:tr w:rsidR="003F2001" w:rsidRPr="003F2001" w14:paraId="37F6901E"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516" w:type="pct"/>
            <w:shd w:val="clear" w:color="auto" w:fill="F2F2F2"/>
            <w:noWrap/>
            <w:vAlign w:val="center"/>
            <w:hideMark/>
          </w:tcPr>
          <w:p w14:paraId="22087462"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Opole Lubelskie</w:t>
            </w:r>
          </w:p>
        </w:tc>
        <w:tc>
          <w:tcPr>
            <w:tcW w:w="1161" w:type="pct"/>
            <w:shd w:val="clear" w:color="auto" w:fill="F2F2F2"/>
            <w:noWrap/>
            <w:vAlign w:val="center"/>
            <w:hideMark/>
          </w:tcPr>
          <w:p w14:paraId="3965AAF8"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6 039</w:t>
            </w:r>
          </w:p>
        </w:tc>
        <w:tc>
          <w:tcPr>
            <w:tcW w:w="1162" w:type="pct"/>
            <w:shd w:val="clear" w:color="auto" w:fill="F2F2F2"/>
            <w:vAlign w:val="center"/>
          </w:tcPr>
          <w:p w14:paraId="0C5CBDFE"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373</w:t>
            </w:r>
          </w:p>
        </w:tc>
        <w:tc>
          <w:tcPr>
            <w:tcW w:w="1161" w:type="pct"/>
            <w:shd w:val="clear" w:color="auto" w:fill="F2F2F2"/>
            <w:vAlign w:val="center"/>
          </w:tcPr>
          <w:p w14:paraId="5CF18134"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638</w:t>
            </w:r>
          </w:p>
        </w:tc>
      </w:tr>
      <w:tr w:rsidR="003F2001" w:rsidRPr="003F2001" w14:paraId="28A3912A"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516" w:type="pct"/>
            <w:noWrap/>
            <w:vAlign w:val="center"/>
            <w:hideMark/>
          </w:tcPr>
          <w:p w14:paraId="09039BC7"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Parczew</w:t>
            </w:r>
          </w:p>
        </w:tc>
        <w:tc>
          <w:tcPr>
            <w:tcW w:w="1161" w:type="pct"/>
            <w:noWrap/>
            <w:vAlign w:val="center"/>
            <w:hideMark/>
          </w:tcPr>
          <w:p w14:paraId="6A7BE2B4"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5 106</w:t>
            </w:r>
          </w:p>
        </w:tc>
        <w:tc>
          <w:tcPr>
            <w:tcW w:w="1162" w:type="pct"/>
            <w:vAlign w:val="center"/>
          </w:tcPr>
          <w:p w14:paraId="2DB5032F"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373</w:t>
            </w:r>
          </w:p>
        </w:tc>
        <w:tc>
          <w:tcPr>
            <w:tcW w:w="1161" w:type="pct"/>
            <w:vAlign w:val="center"/>
          </w:tcPr>
          <w:p w14:paraId="1447FC37"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650</w:t>
            </w:r>
          </w:p>
        </w:tc>
      </w:tr>
      <w:tr w:rsidR="003F2001" w:rsidRPr="003F2001" w14:paraId="686DC2B6"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516" w:type="pct"/>
            <w:noWrap/>
            <w:vAlign w:val="center"/>
            <w:hideMark/>
          </w:tcPr>
          <w:p w14:paraId="2604C12A"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Ryki</w:t>
            </w:r>
          </w:p>
        </w:tc>
        <w:tc>
          <w:tcPr>
            <w:tcW w:w="1161" w:type="pct"/>
            <w:noWrap/>
            <w:vAlign w:val="center"/>
            <w:hideMark/>
          </w:tcPr>
          <w:p w14:paraId="1F7337FC"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7 663</w:t>
            </w:r>
          </w:p>
        </w:tc>
        <w:tc>
          <w:tcPr>
            <w:tcW w:w="1162" w:type="pct"/>
            <w:vAlign w:val="center"/>
          </w:tcPr>
          <w:p w14:paraId="22377C37"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400</w:t>
            </w:r>
          </w:p>
        </w:tc>
        <w:tc>
          <w:tcPr>
            <w:tcW w:w="1161" w:type="pct"/>
            <w:vAlign w:val="center"/>
          </w:tcPr>
          <w:p w14:paraId="45A51043"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715</w:t>
            </w:r>
          </w:p>
        </w:tc>
      </w:tr>
    </w:tbl>
    <w:p w14:paraId="55D3C14B"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37AB39C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Biorąc pod uwagę </w:t>
      </w:r>
      <w:r w:rsidRPr="003F2001">
        <w:rPr>
          <w:rFonts w:eastAsia="Times New Roman" w:cs="Times New Roman"/>
          <w:b/>
          <w:bCs/>
          <w:color w:val="4D160F"/>
          <w:kern w:val="0"/>
          <w:szCs w:val="20"/>
          <w:lang w:bidi="en-US"/>
          <w14:ligatures w14:val="none"/>
        </w:rPr>
        <w:t>liczbę osób pracujących według sekcji Polskiej Klasyfikacji Działalności</w:t>
      </w:r>
      <w:r w:rsidRPr="003F2001">
        <w:rPr>
          <w:rFonts w:eastAsia="Times New Roman" w:cs="Times New Roman"/>
          <w:kern w:val="0"/>
          <w:szCs w:val="20"/>
          <w:lang w:bidi="en-US"/>
          <w14:ligatures w14:val="none"/>
        </w:rPr>
        <w:t>, zgodnie z danymi GUS w 2022 r. największy odsetek osób pracujących w powiecie opolskim stanowiły osoby zatrudnione w sektorze rolniczym (sekcja A) - 35,8%, handlu (sekcja G) – 12,4% oraz przetwórstwie przemysłowym (sekcja C) – 12,3%.</w:t>
      </w:r>
    </w:p>
    <w:p w14:paraId="3ED477D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Informacji na temat stanu i struktury rynku pracy dostarcza również </w:t>
      </w:r>
      <w:r w:rsidRPr="003F2001">
        <w:rPr>
          <w:rFonts w:eastAsia="Times New Roman" w:cs="Times New Roman"/>
          <w:b/>
          <w:bCs/>
          <w:color w:val="4D160F"/>
          <w:kern w:val="0"/>
          <w:szCs w:val="20"/>
          <w:lang w:bidi="en-US"/>
          <w14:ligatures w14:val="none"/>
        </w:rPr>
        <w:t>analiza zawodów deficytowych i nadwyżkowych</w:t>
      </w:r>
      <w:r w:rsidRPr="003F2001">
        <w:rPr>
          <w:rFonts w:eastAsia="Times New Roman" w:cs="Times New Roman"/>
          <w:kern w:val="0"/>
          <w:szCs w:val="20"/>
          <w:lang w:bidi="en-US"/>
          <w14:ligatures w14:val="none"/>
        </w:rPr>
        <w:t xml:space="preserve">. Problemem rynku pracy w Gminie Opole Lubelskie pozostaje wciąż niedopasowanie kwalifikacji osób poszukujących pracy do potrzeb pracodawców. Z badania „Barometr zawodów", przygotowanego na zlecenie Ministerstwa Pracy i Polityki Społecznej wynika, że na terenie powiatu opolskiego wiele branż zmaga się z deficytem pracowników. Według danych z 2023 r. w powiecie opolskim za deficytowe uznano 43 zawody. Najbardziej poszukiwane profesje to: analitycy, testerzy i operatorzy systemów teleinformatycznych, betoniarze i zbrojarze, blacharze i lakiernicy samochodowi, cieśle i stolarze budowlani, cukiernicy, diagności laboratoryjni medyczni, diagności samochodowi, elektrycy, elektromechanicy i elektromonterzy, farmaceuci, fryzjerzy, geodeci i kartografowie, inspektorzy nadzoru budowlanego, kamieniarze, kierowcy autobusów, kierowcy samochodów ciężarowych i ciągników siodłowych, kosmetyczki, kucharze, lekarze, magazynierzy, mechanicy maszyn i urządzeń, mechanicy pojazdów samochodowych, monterzy instalacji budowlanych, monterzy konstrukcji metalowych, murarze i tynkarze, ogrodnicy i sadownicy, operatorzy maszyn do produkcji wyrobów z gumy i tworzyw sztucznych, operatorzy obrabiarek skrawających, piekarze, pielęgniarki i położne, pracownicy robót wykończeniowych w budownictwie, pracownicy socjalni, psycholodzy i psychoterapeuci, recepcjoniści i rejestratorzy, robotnicy budowlani, robotnicy obróbki drewna i stolarze, samodzielni księgowi, spawacze, spedytorzy i logistycy, sprzedawcy i kasjerzy, ślusarze, technicy budownictwa, technicy mechanicy, zaopatrzeniowcy i dostawcy. </w:t>
      </w:r>
    </w:p>
    <w:p w14:paraId="78061FD6" w14:textId="3391AE32" w:rsidR="003F2001" w:rsidRPr="003F2001" w:rsidRDefault="003F2001" w:rsidP="00941F1D">
      <w:pPr>
        <w:pStyle w:val="Nagwek2"/>
      </w:pPr>
      <w:bookmarkStart w:id="75" w:name="_Toc173435448"/>
      <w:bookmarkStart w:id="76" w:name="_Toc191908763"/>
      <w:r>
        <w:t xml:space="preserve">2.3.2 </w:t>
      </w:r>
      <w:r w:rsidRPr="003F2001">
        <w:t>Bezrobocie i jego struktura</w:t>
      </w:r>
      <w:bookmarkEnd w:id="75"/>
      <w:bookmarkEnd w:id="76"/>
    </w:p>
    <w:p w14:paraId="1E003F7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Skrajny – wobec pracujących - wymiar rynku pracy stanowi grupa </w:t>
      </w:r>
      <w:r w:rsidRPr="003F2001">
        <w:rPr>
          <w:rFonts w:eastAsia="Times New Roman" w:cs="Times New Roman"/>
          <w:b/>
          <w:bCs/>
          <w:color w:val="4D160F"/>
          <w:kern w:val="0"/>
          <w:szCs w:val="20"/>
          <w:lang w:bidi="en-US"/>
          <w14:ligatures w14:val="none"/>
        </w:rPr>
        <w:t>osób bezrobotnych</w:t>
      </w:r>
      <w:r w:rsidRPr="003F2001">
        <w:rPr>
          <w:rFonts w:eastAsia="Times New Roman" w:cs="Times New Roman"/>
          <w:kern w:val="0"/>
          <w:szCs w:val="20"/>
          <w:lang w:bidi="en-US"/>
          <w14:ligatures w14:val="none"/>
        </w:rPr>
        <w:t>. Według stanu na koniec 2023 r. na terenie Gminy Opole Lubelskie zarejestrowanych było 541 bezrobotnych, z czego nieznacznie większy odsetek stanowiły kobiety (50,6%). W przekroju terytorialnym więcej bezrobotnych zarejestrowanych było na obszarze wiejskim (51,8%).</w:t>
      </w:r>
    </w:p>
    <w:p w14:paraId="0A8E9EB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Podobnie do obserwowanego trendu w województwie lubelskim w latach 2014-2019 </w:t>
      </w:r>
      <w:r w:rsidRPr="003F2001">
        <w:rPr>
          <w:rFonts w:eastAsia="Times New Roman" w:cs="Times New Roman"/>
          <w:b/>
          <w:bCs/>
          <w:color w:val="4D160F"/>
          <w:kern w:val="0"/>
          <w:szCs w:val="20"/>
          <w:lang w:bidi="en-US"/>
          <w14:ligatures w14:val="none"/>
        </w:rPr>
        <w:t>liczba osób bezrobotnych</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na terenie gminy systematycznie spadała z 1 026 osób w 2014 r. do 633 osób w 2019 r. Natomiast biorąc pod uwagę rok 2020 to w porównaniu z grudniem 2019 r. liczba bezrobotnych zwiększyła się o 8,4% (189 osób). Wzrost liczby zarejestrowanych bezrobotnych w tym okresie odnotowano również w województwie lubelskim (10,3%). Analiza danych </w:t>
      </w:r>
      <w:r w:rsidRPr="003F2001">
        <w:rPr>
          <w:rFonts w:eastAsia="Times New Roman" w:cs="Times New Roman"/>
          <w:kern w:val="0"/>
          <w:szCs w:val="20"/>
          <w:lang w:bidi="en-US"/>
          <w14:ligatures w14:val="none"/>
        </w:rPr>
        <w:lastRenderedPageBreak/>
        <w:t>wskazuje, że wpływ na wzrost liczby bezrobotnych miało niewątpliwie spowolnienie gospodarcze wywołane pandemią COVID-19 – obserwowana od lat stała tendencja spadku bezrobocia w gminie oraz w regionie została zachwiana dopiero w 2020 r. Pozytywny jest natomiast fakt, że w następnych latach 2021-2023 na terenie gminy ponownie obserwuje się spadek liczby osób bezrobotnych (o 21,1% w porównywaniu do końca 2020 r.).</w:t>
      </w:r>
    </w:p>
    <w:p w14:paraId="1C6B3244" w14:textId="6761244E"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77" w:name="_Toc189166373"/>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17</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bezrobotnych na terenie Gminy Opole Lubelskie w latach 2014-2023 (osoby)</w:t>
      </w:r>
      <w:bookmarkEnd w:id="77"/>
    </w:p>
    <w:p w14:paraId="57740A2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20C5509D" wp14:editId="4CB25DD8">
            <wp:extent cx="5760720" cy="2699385"/>
            <wp:effectExtent l="0" t="0" r="0" b="5715"/>
            <wp:docPr id="920218005" name="Wykres 92021800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B5935E" w14:textId="77777777" w:rsidR="003F2001" w:rsidRPr="003F2001" w:rsidRDefault="003F2001" w:rsidP="003F2001">
      <w:pPr>
        <w:spacing w:before="120" w:line="276" w:lineRule="auto"/>
        <w:rPr>
          <w:rFonts w:eastAsia="Times New Roman" w:cs="Times New Roman"/>
          <w:color w:val="000000"/>
          <w:kern w:val="0"/>
          <w:sz w:val="16"/>
          <w:szCs w:val="16"/>
          <w:lang w:bidi="en-US"/>
          <w14:ligatures w14:val="none"/>
        </w:rPr>
      </w:pPr>
      <w:r w:rsidRPr="003F2001">
        <w:rPr>
          <w:rFonts w:eastAsia="Times New Roman" w:cs="Times New Roman"/>
          <w:color w:val="000000"/>
          <w:kern w:val="0"/>
          <w:sz w:val="16"/>
          <w:szCs w:val="16"/>
          <w:lang w:bidi="en-US"/>
          <w14:ligatures w14:val="none"/>
        </w:rPr>
        <w:t>Źródło: Opracowanie własne na podstawie danych BDL GUS.</w:t>
      </w:r>
    </w:p>
    <w:p w14:paraId="65E34EE5" w14:textId="77777777" w:rsidR="003F2001" w:rsidRPr="003F2001" w:rsidRDefault="003F2001" w:rsidP="003F2001">
      <w:pPr>
        <w:spacing w:line="276" w:lineRule="auto"/>
        <w:rPr>
          <w:rFonts w:eastAsia="Times New Roman" w:cs="Times New Roman"/>
          <w:color w:val="000000"/>
          <w:kern w:val="0"/>
          <w:szCs w:val="20"/>
          <w:lang w:bidi="en-US"/>
          <w14:ligatures w14:val="none"/>
        </w:rPr>
      </w:pPr>
      <w:r w:rsidRPr="003F2001">
        <w:rPr>
          <w:rFonts w:eastAsia="Times New Roman" w:cs="Times New Roman"/>
          <w:b/>
          <w:bCs/>
          <w:color w:val="4D160F"/>
          <w:kern w:val="0"/>
          <w:szCs w:val="20"/>
          <w:lang w:bidi="en-US"/>
          <w14:ligatures w14:val="none"/>
        </w:rPr>
        <w:t>Wskaźnik bezrobocia</w:t>
      </w:r>
      <w:r w:rsidRPr="003F2001">
        <w:rPr>
          <w:rFonts w:eastAsia="Times New Roman" w:cs="Times New Roman"/>
          <w:color w:val="4D160F"/>
          <w:kern w:val="0"/>
          <w:szCs w:val="20"/>
          <w:lang w:bidi="en-US"/>
          <w14:ligatures w14:val="none"/>
        </w:rPr>
        <w:t xml:space="preserve"> </w:t>
      </w:r>
      <w:r w:rsidRPr="003F2001">
        <w:rPr>
          <w:rFonts w:eastAsia="Times New Roman" w:cs="Times New Roman"/>
          <w:color w:val="000000"/>
          <w:kern w:val="0"/>
          <w:szCs w:val="20"/>
          <w:lang w:bidi="en-US"/>
          <w14:ligatures w14:val="none"/>
        </w:rPr>
        <w:t xml:space="preserve">(mierzony stosunkiem liczby osób bezrobotnych zarejestrowanych do liczby osób w wieku produkcyjnym) na obszarze gminy w 2023 r. wyniósł 5,7 i jego wartość była nieznacznie niższa od wartości wskaźnika dla powiatu opolskiego (5,8), a jednocześnie wyraźnie wyższa od wartości dla województwa lubelskiego (4,9). </w:t>
      </w:r>
    </w:p>
    <w:p w14:paraId="5C56878C" w14:textId="32E1AD19"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78" w:name="_Toc189166374"/>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18</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bezrobotnych na 100 mieszkańców w wieku produkcyjnym w 2023 r. na terenie Gminy Opole Lubelskie, powiatu opolskiego i województwa lubelskiego (osoby)</w:t>
      </w:r>
      <w:bookmarkEnd w:id="78"/>
    </w:p>
    <w:p w14:paraId="7E9AF653" w14:textId="77777777" w:rsidR="003F2001" w:rsidRPr="003F2001" w:rsidRDefault="003F2001" w:rsidP="003F2001">
      <w:pPr>
        <w:spacing w:line="276" w:lineRule="auto"/>
        <w:rPr>
          <w:rFonts w:eastAsia="Times New Roman" w:cs="Times New Roman"/>
          <w:color w:val="000000"/>
          <w:kern w:val="0"/>
          <w:szCs w:val="20"/>
          <w:lang w:bidi="en-US"/>
          <w14:ligatures w14:val="none"/>
        </w:rPr>
      </w:pPr>
      <w:r w:rsidRPr="003F2001">
        <w:rPr>
          <w:rFonts w:ascii="Calibri" w:eastAsia="Calibri" w:hAnsi="Calibri" w:cs="Times New Roman"/>
          <w:noProof/>
          <w:sz w:val="22"/>
          <w:lang w:eastAsia="pl-PL"/>
        </w:rPr>
        <w:drawing>
          <wp:inline distT="0" distB="0" distL="0" distR="0" wp14:anchorId="71C6F3E5" wp14:editId="78877C84">
            <wp:extent cx="5759450" cy="2699385"/>
            <wp:effectExtent l="0" t="0" r="0" b="5715"/>
            <wp:docPr id="12" name="Wykres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E8C0A5" w14:textId="77777777" w:rsidR="003F2001" w:rsidRPr="003F2001" w:rsidRDefault="003F2001" w:rsidP="003F2001">
      <w:pPr>
        <w:spacing w:before="120" w:line="276" w:lineRule="auto"/>
        <w:rPr>
          <w:rFonts w:eastAsia="Times New Roman" w:cs="Times New Roman"/>
          <w:color w:val="000000"/>
          <w:kern w:val="0"/>
          <w:sz w:val="16"/>
          <w:szCs w:val="16"/>
          <w:lang w:bidi="en-US"/>
          <w14:ligatures w14:val="none"/>
        </w:rPr>
      </w:pPr>
      <w:r w:rsidRPr="003F2001">
        <w:rPr>
          <w:rFonts w:eastAsia="Times New Roman" w:cs="Times New Roman"/>
          <w:color w:val="000000"/>
          <w:kern w:val="0"/>
          <w:sz w:val="16"/>
          <w:szCs w:val="16"/>
          <w:lang w:bidi="en-US"/>
          <w14:ligatures w14:val="none"/>
        </w:rPr>
        <w:t>Źródło: Opracowanie własne na podstawie danych BDL GUS.</w:t>
      </w:r>
    </w:p>
    <w:p w14:paraId="1133426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Należy jednak podkreślić, że w odniesieniu do liczby osób w wieku produkcyjnym udział zarejestrowanych bezrobotnych zmniejszył się względem roku 2014 r. o 3,5 p.p. </w:t>
      </w:r>
    </w:p>
    <w:p w14:paraId="76870F54"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Wskaźnik bezrobocia obliczony dla Gminy Opole Lubelskie w 2023 r. był relatywnie wyższy w porównaniu do pozostałych ośrodków lokalnych – wyższą wartość wskaźnika odnotowano jedynie w Janowie Lubelskim. Ponadto, biorąc pod uwagę procentową zmianę liczby osób bezrobotnych można stwierdzić, że w ostatnich latach w Gminie Opole Lubelskiego spadek bezrobocia przebiegał wolniej niż w jednostkach porównawczych.</w:t>
      </w:r>
    </w:p>
    <w:p w14:paraId="36640646" w14:textId="1E8642A5"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79" w:name="_Toc189166341"/>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9</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Bezrobotni w Gminie Opole Lubelskie oraz jednostkach porównawczych.</w:t>
      </w:r>
      <w:bookmarkEnd w:id="79"/>
    </w:p>
    <w:tbl>
      <w:tblPr>
        <w:tblStyle w:val="Tabelasiatki1jasnaakcent13"/>
        <w:tblW w:w="5000" w:type="pct"/>
        <w:tblLook w:val="04A0" w:firstRow="1" w:lastRow="0" w:firstColumn="1" w:lastColumn="0" w:noHBand="0" w:noVBand="1"/>
      </w:tblPr>
      <w:tblGrid>
        <w:gridCol w:w="2230"/>
        <w:gridCol w:w="1707"/>
        <w:gridCol w:w="1709"/>
        <w:gridCol w:w="1709"/>
        <w:gridCol w:w="1707"/>
      </w:tblGrid>
      <w:tr w:rsidR="003F2001" w:rsidRPr="003F2001" w14:paraId="45815EC3"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0" w:type="pct"/>
            <w:vAlign w:val="center"/>
            <w:hideMark/>
          </w:tcPr>
          <w:p w14:paraId="36516F8A" w14:textId="77777777" w:rsidR="003F2001" w:rsidRPr="003F2001" w:rsidRDefault="003F2001" w:rsidP="003F2001">
            <w:pPr>
              <w:spacing w:after="0" w:line="276" w:lineRule="auto"/>
              <w:contextualSpacing/>
              <w:jc w:val="center"/>
              <w:rPr>
                <w:rFonts w:cs="Times New Roman"/>
                <w:sz w:val="16"/>
                <w:szCs w:val="16"/>
                <w:lang w:bidi="en-US"/>
              </w:rPr>
            </w:pPr>
            <w:r w:rsidRPr="003F2001">
              <w:rPr>
                <w:rFonts w:cs="Times New Roman"/>
                <w:sz w:val="16"/>
                <w:szCs w:val="16"/>
                <w:lang w:bidi="en-US"/>
              </w:rPr>
              <w:t>Ośrodek lokalny</w:t>
            </w:r>
          </w:p>
        </w:tc>
        <w:tc>
          <w:tcPr>
            <w:tcW w:w="942" w:type="pct"/>
            <w:vAlign w:val="center"/>
            <w:hideMark/>
          </w:tcPr>
          <w:p w14:paraId="6D30DF3E"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osób bezrobotnych</w:t>
            </w:r>
          </w:p>
          <w:p w14:paraId="06F12CC3"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c>
          <w:tcPr>
            <w:tcW w:w="943" w:type="pct"/>
            <w:vAlign w:val="center"/>
          </w:tcPr>
          <w:p w14:paraId="6D4EE338"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Zmiana liczby osób bezrobotnych w stosunku do 2014 r.</w:t>
            </w:r>
          </w:p>
          <w:p w14:paraId="066FC5E5"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t>
            </w:r>
          </w:p>
        </w:tc>
        <w:tc>
          <w:tcPr>
            <w:tcW w:w="943" w:type="pct"/>
            <w:vAlign w:val="center"/>
          </w:tcPr>
          <w:p w14:paraId="0907A10F"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osób bezrobotnych na 100 osób w wieku produkcyjnym (osoby)</w:t>
            </w:r>
          </w:p>
        </w:tc>
        <w:tc>
          <w:tcPr>
            <w:tcW w:w="942" w:type="pct"/>
            <w:vAlign w:val="center"/>
          </w:tcPr>
          <w:p w14:paraId="04BA7F24"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Zmiana liczby bezrobotnych na 100 osób w wieku produkcyjnym w stosunku do 2014 r.</w:t>
            </w:r>
          </w:p>
          <w:p w14:paraId="01AC2E85"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t>
            </w:r>
          </w:p>
        </w:tc>
      </w:tr>
      <w:tr w:rsidR="003F2001" w:rsidRPr="003F2001" w14:paraId="16AC9FDE"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0F1D2C65"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Janów Lubelski</w:t>
            </w:r>
          </w:p>
        </w:tc>
        <w:tc>
          <w:tcPr>
            <w:tcW w:w="942" w:type="pct"/>
            <w:noWrap/>
            <w:vAlign w:val="center"/>
            <w:hideMark/>
          </w:tcPr>
          <w:p w14:paraId="6D3CE918"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709</w:t>
            </w:r>
          </w:p>
        </w:tc>
        <w:tc>
          <w:tcPr>
            <w:tcW w:w="943" w:type="pct"/>
            <w:vAlign w:val="center"/>
          </w:tcPr>
          <w:p w14:paraId="54C725B8"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-39,6%</w:t>
            </w:r>
          </w:p>
        </w:tc>
        <w:tc>
          <w:tcPr>
            <w:tcW w:w="943" w:type="pct"/>
            <w:vAlign w:val="center"/>
          </w:tcPr>
          <w:p w14:paraId="76FEE22D"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8,5</w:t>
            </w:r>
          </w:p>
        </w:tc>
        <w:tc>
          <w:tcPr>
            <w:tcW w:w="942" w:type="pct"/>
            <w:vAlign w:val="center"/>
          </w:tcPr>
          <w:p w14:paraId="2B37CC7D"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-24,1%</w:t>
            </w:r>
          </w:p>
        </w:tc>
      </w:tr>
      <w:tr w:rsidR="003F2001" w:rsidRPr="003F2001" w14:paraId="417283DD"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777DD3EC"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Łęczna</w:t>
            </w:r>
          </w:p>
        </w:tc>
        <w:tc>
          <w:tcPr>
            <w:tcW w:w="942" w:type="pct"/>
            <w:noWrap/>
            <w:vAlign w:val="center"/>
            <w:hideMark/>
          </w:tcPr>
          <w:p w14:paraId="3138017E"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435</w:t>
            </w:r>
          </w:p>
        </w:tc>
        <w:tc>
          <w:tcPr>
            <w:tcW w:w="943" w:type="pct"/>
            <w:vAlign w:val="center"/>
          </w:tcPr>
          <w:p w14:paraId="4C9E02E2"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-49,3%</w:t>
            </w:r>
          </w:p>
        </w:tc>
        <w:tc>
          <w:tcPr>
            <w:tcW w:w="943" w:type="pct"/>
            <w:vAlign w:val="center"/>
          </w:tcPr>
          <w:p w14:paraId="64E17636"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3,3</w:t>
            </w:r>
          </w:p>
        </w:tc>
        <w:tc>
          <w:tcPr>
            <w:tcW w:w="942" w:type="pct"/>
            <w:vAlign w:val="center"/>
          </w:tcPr>
          <w:p w14:paraId="3880D4DA"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-35,3%</w:t>
            </w:r>
          </w:p>
        </w:tc>
      </w:tr>
      <w:tr w:rsidR="003F2001" w:rsidRPr="003F2001" w14:paraId="3EB5595C"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30" w:type="pct"/>
            <w:shd w:val="clear" w:color="auto" w:fill="F2F2F2"/>
            <w:noWrap/>
            <w:vAlign w:val="center"/>
            <w:hideMark/>
          </w:tcPr>
          <w:p w14:paraId="613998DD"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Opole Lubelskie</w:t>
            </w:r>
          </w:p>
        </w:tc>
        <w:tc>
          <w:tcPr>
            <w:tcW w:w="942" w:type="pct"/>
            <w:shd w:val="clear" w:color="auto" w:fill="F2F2F2"/>
            <w:noWrap/>
            <w:vAlign w:val="center"/>
            <w:hideMark/>
          </w:tcPr>
          <w:p w14:paraId="79AA3F7B"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541</w:t>
            </w:r>
          </w:p>
        </w:tc>
        <w:tc>
          <w:tcPr>
            <w:tcW w:w="943" w:type="pct"/>
            <w:shd w:val="clear" w:color="auto" w:fill="F2F2F2"/>
            <w:vAlign w:val="center"/>
          </w:tcPr>
          <w:p w14:paraId="135252CA"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-47,3%</w:t>
            </w:r>
          </w:p>
        </w:tc>
        <w:tc>
          <w:tcPr>
            <w:tcW w:w="943" w:type="pct"/>
            <w:shd w:val="clear" w:color="auto" w:fill="F2F2F2"/>
            <w:vAlign w:val="center"/>
          </w:tcPr>
          <w:p w14:paraId="583EC1A9"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5,7</w:t>
            </w:r>
          </w:p>
        </w:tc>
        <w:tc>
          <w:tcPr>
            <w:tcW w:w="942" w:type="pct"/>
            <w:shd w:val="clear" w:color="auto" w:fill="F2F2F2"/>
            <w:vAlign w:val="center"/>
          </w:tcPr>
          <w:p w14:paraId="7A9845A9"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-38,0%</w:t>
            </w:r>
          </w:p>
        </w:tc>
      </w:tr>
      <w:tr w:rsidR="003F2001" w:rsidRPr="003F2001" w14:paraId="754740D0"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4E31E6BA"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Parczew</w:t>
            </w:r>
          </w:p>
        </w:tc>
        <w:tc>
          <w:tcPr>
            <w:tcW w:w="942" w:type="pct"/>
            <w:noWrap/>
            <w:vAlign w:val="center"/>
            <w:hideMark/>
          </w:tcPr>
          <w:p w14:paraId="6B6D5246"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374</w:t>
            </w:r>
          </w:p>
        </w:tc>
        <w:tc>
          <w:tcPr>
            <w:tcW w:w="943" w:type="pct"/>
            <w:vAlign w:val="center"/>
          </w:tcPr>
          <w:p w14:paraId="5BFA2610"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-50,3%</w:t>
            </w:r>
          </w:p>
        </w:tc>
        <w:tc>
          <w:tcPr>
            <w:tcW w:w="943" w:type="pct"/>
            <w:vAlign w:val="center"/>
          </w:tcPr>
          <w:p w14:paraId="26931D8A"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4,8</w:t>
            </w:r>
          </w:p>
        </w:tc>
        <w:tc>
          <w:tcPr>
            <w:tcW w:w="942" w:type="pct"/>
            <w:vAlign w:val="center"/>
          </w:tcPr>
          <w:p w14:paraId="74E0F5EB"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-40,7%</w:t>
            </w:r>
          </w:p>
        </w:tc>
      </w:tr>
      <w:tr w:rsidR="003F2001" w:rsidRPr="003F2001" w14:paraId="380FAA04"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498E62EC"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Ryki</w:t>
            </w:r>
          </w:p>
        </w:tc>
        <w:tc>
          <w:tcPr>
            <w:tcW w:w="942" w:type="pct"/>
            <w:noWrap/>
            <w:vAlign w:val="center"/>
            <w:hideMark/>
          </w:tcPr>
          <w:p w14:paraId="7675DF35"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449</w:t>
            </w:r>
          </w:p>
        </w:tc>
        <w:tc>
          <w:tcPr>
            <w:tcW w:w="943" w:type="pct"/>
            <w:vAlign w:val="center"/>
          </w:tcPr>
          <w:p w14:paraId="2300EE8A"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-64,0%</w:t>
            </w:r>
          </w:p>
        </w:tc>
        <w:tc>
          <w:tcPr>
            <w:tcW w:w="943" w:type="pct"/>
            <w:vAlign w:val="center"/>
          </w:tcPr>
          <w:p w14:paraId="75CBE864"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4,2</w:t>
            </w:r>
          </w:p>
        </w:tc>
        <w:tc>
          <w:tcPr>
            <w:tcW w:w="942" w:type="pct"/>
            <w:vAlign w:val="center"/>
          </w:tcPr>
          <w:p w14:paraId="2A9F3060"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-56,3%</w:t>
            </w:r>
          </w:p>
        </w:tc>
      </w:tr>
    </w:tbl>
    <w:p w14:paraId="4BFA3ECF"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5A485F7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Najistotniejszym problemem obszaru </w:t>
      </w:r>
      <w:r w:rsidRPr="003F2001">
        <w:rPr>
          <w:rFonts w:eastAsia="Times New Roman" w:cs="Times New Roman"/>
          <w:b/>
          <w:bCs/>
          <w:color w:val="4D160F"/>
          <w:kern w:val="0"/>
          <w:szCs w:val="20"/>
          <w:lang w:bidi="en-US"/>
          <w14:ligatures w14:val="none"/>
        </w:rPr>
        <w:t>jest bezrobocie długotrwałe</w:t>
      </w:r>
      <w:r w:rsidRPr="003F2001">
        <w:rPr>
          <w:rFonts w:eastAsia="Times New Roman" w:cs="Times New Roman"/>
          <w:kern w:val="0"/>
          <w:szCs w:val="20"/>
          <w:vertAlign w:val="superscript"/>
          <w:lang w:bidi="en-US"/>
          <w14:ligatures w14:val="none"/>
        </w:rPr>
        <w:footnoteReference w:id="5"/>
      </w:r>
      <w:r w:rsidRPr="003F2001">
        <w:rPr>
          <w:rFonts w:eastAsia="Times New Roman" w:cs="Times New Roman"/>
          <w:kern w:val="0"/>
          <w:szCs w:val="20"/>
          <w:lang w:bidi="en-US"/>
          <w14:ligatures w14:val="none"/>
        </w:rPr>
        <w:t xml:space="preserve">, dotykające ponad połowy zarejestrowanych bezrobotnych – według danych GUS na koniec 2023 r. na terenie gminy 52,3% stanowili długotrwale bezrobotni. Ważnym problemem jest również </w:t>
      </w:r>
      <w:r w:rsidRPr="003F2001">
        <w:rPr>
          <w:rFonts w:eastAsia="Times New Roman" w:cs="Times New Roman"/>
          <w:b/>
          <w:bCs/>
          <w:color w:val="4D160F"/>
          <w:kern w:val="0"/>
          <w:szCs w:val="20"/>
          <w:lang w:bidi="en-US"/>
          <w14:ligatures w14:val="none"/>
        </w:rPr>
        <w:t>bezrobocie osób młodych</w:t>
      </w:r>
      <w:r w:rsidRPr="003F2001">
        <w:rPr>
          <w:rFonts w:eastAsia="Times New Roman" w:cs="Times New Roman"/>
          <w:kern w:val="0"/>
          <w:szCs w:val="20"/>
          <w:lang w:bidi="en-US"/>
          <w14:ligatures w14:val="none"/>
        </w:rPr>
        <w:t xml:space="preserve">, do 30 roku życia, którzy stanowili 29,8% ogółu bezrobotnych, a także </w:t>
      </w:r>
      <w:r w:rsidRPr="003F2001">
        <w:rPr>
          <w:rFonts w:eastAsia="Times New Roman" w:cs="Times New Roman"/>
          <w:b/>
          <w:bCs/>
          <w:color w:val="4D160F"/>
          <w:kern w:val="0"/>
          <w:szCs w:val="20"/>
          <w:lang w:bidi="en-US"/>
          <w14:ligatures w14:val="none"/>
        </w:rPr>
        <w:t>bezrobocie osób po 50 roku życia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- 21,4% ogółu bezrobotnych.</w:t>
      </w:r>
    </w:p>
    <w:p w14:paraId="25844BE0" w14:textId="41AFC1E3"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80" w:name="_Toc189166375"/>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19</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Struktura bezrobocia w 2023 r. na terenie Gminy Opole Lubelskie, powiatu opolskiego i województwa lubelskiego (osoby)</w:t>
      </w:r>
      <w:bookmarkEnd w:id="80"/>
    </w:p>
    <w:p w14:paraId="5F5FA7D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00C0DC8D" wp14:editId="01D9C5CC">
            <wp:extent cx="5760720" cy="2699385"/>
            <wp:effectExtent l="0" t="0" r="0" b="5715"/>
            <wp:docPr id="17" name="Wykres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D0EB4B-A96E-42AC-A61C-4B7311B3A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B5D5CA"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21D7908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Na przestrzeni ostatnich dziesięciu lat można zaobserwować pewne trendy spadkowe: zmniejszyły się udział bezrobotnych do 30 roku życia oraz udział osób powyżej 50 roku życia w liczbie zarejestrowanych bezrobotnych ogółem. Znacznym wahaniom ulegał natomiast </w:t>
      </w:r>
      <w:r w:rsidRPr="003F2001">
        <w:rPr>
          <w:rFonts w:eastAsia="Times New Roman" w:cs="Times New Roman"/>
          <w:kern w:val="0"/>
          <w:szCs w:val="20"/>
          <w:lang w:bidi="en-US"/>
          <w14:ligatures w14:val="none"/>
        </w:rPr>
        <w:lastRenderedPageBreak/>
        <w:t>wskaźnik dotyczący bezrobocia długotrwałego – w latach 2018-2021 odsetek długotrwale bezrobotnych wyraźnie wzrósł, natomiast w ostatnich dwóch latach wartość wskaźnika zmniejsza się.</w:t>
      </w:r>
    </w:p>
    <w:p w14:paraId="65D18042" w14:textId="55C57510"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81" w:name="_Toc189166376"/>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20</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Wskaźniki dotyczące struktury bezrobocia w latach 2014-2023 na terenie Gminy Opole Lubelskie (%)</w:t>
      </w:r>
      <w:bookmarkEnd w:id="81"/>
    </w:p>
    <w:p w14:paraId="31325AAA"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1A85DBE9" wp14:editId="1C522C7C">
            <wp:extent cx="5760720" cy="2699385"/>
            <wp:effectExtent l="0" t="0" r="0" b="5715"/>
            <wp:docPr id="18" name="Wykres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23EC37-DB6B-4A55-AE28-FD9BA2764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CCFACE"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19BEA2E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Na tle pozostałych ośrodków lokalnych Gmina Opole Lubelskie wyróżnia się jednak wysokim odsetkiem bezrobotnych do 30 roku życia oraz niskim wskaźnikiem dotyczącym bezrobocia osób po 50 roku życia. Wskaźnik dotyczący udziału osób długotrwale bezrobotnych plasuje gminę w środku stawki.</w:t>
      </w:r>
    </w:p>
    <w:p w14:paraId="417B56E6" w14:textId="1FFEC6DE"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82" w:name="_Toc189166342"/>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10</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Struktura bezrobocia w Gminie Opole Lubelskie oraz jednostkach porównawczych.</w:t>
      </w:r>
      <w:bookmarkEnd w:id="82"/>
    </w:p>
    <w:tbl>
      <w:tblPr>
        <w:tblStyle w:val="Tabelasiatki1jasnaakcent13"/>
        <w:tblW w:w="5000" w:type="pct"/>
        <w:tblLook w:val="04A0" w:firstRow="1" w:lastRow="0" w:firstColumn="1" w:lastColumn="0" w:noHBand="0" w:noVBand="1"/>
      </w:tblPr>
      <w:tblGrid>
        <w:gridCol w:w="2265"/>
        <w:gridCol w:w="2265"/>
        <w:gridCol w:w="2266"/>
        <w:gridCol w:w="2266"/>
      </w:tblGrid>
      <w:tr w:rsidR="003F2001" w:rsidRPr="003F2001" w14:paraId="4DBA8C4D"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3C18222" w14:textId="77777777" w:rsidR="003F2001" w:rsidRPr="003F2001" w:rsidRDefault="003F2001" w:rsidP="003F2001">
            <w:pPr>
              <w:spacing w:after="0" w:line="276" w:lineRule="auto"/>
              <w:contextualSpacing/>
              <w:jc w:val="center"/>
              <w:rPr>
                <w:rFonts w:cs="Times New Roman"/>
                <w:sz w:val="16"/>
                <w:szCs w:val="16"/>
                <w:lang w:bidi="en-US"/>
              </w:rPr>
            </w:pPr>
            <w:r w:rsidRPr="003F2001">
              <w:rPr>
                <w:rFonts w:cs="Times New Roman"/>
                <w:sz w:val="16"/>
                <w:szCs w:val="16"/>
                <w:lang w:bidi="en-US"/>
              </w:rPr>
              <w:t>Ośrodek lokalny</w:t>
            </w:r>
          </w:p>
        </w:tc>
        <w:tc>
          <w:tcPr>
            <w:tcW w:w="1250" w:type="pct"/>
            <w:vAlign w:val="center"/>
            <w:hideMark/>
          </w:tcPr>
          <w:p w14:paraId="21AA1E42"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Bezrobotni do 30 roku życia</w:t>
            </w:r>
          </w:p>
          <w:p w14:paraId="16577D88"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 ogółu bezrobotnych)</w:t>
            </w:r>
          </w:p>
        </w:tc>
        <w:tc>
          <w:tcPr>
            <w:tcW w:w="1250" w:type="pct"/>
            <w:vAlign w:val="center"/>
          </w:tcPr>
          <w:p w14:paraId="35777CAF"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Bezrobotni powyżej 50 roku życia</w:t>
            </w:r>
          </w:p>
          <w:p w14:paraId="43F71AD8"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 ogółu bezrobotnych)</w:t>
            </w:r>
          </w:p>
        </w:tc>
        <w:tc>
          <w:tcPr>
            <w:tcW w:w="1250" w:type="pct"/>
            <w:vAlign w:val="center"/>
          </w:tcPr>
          <w:p w14:paraId="79CD9F11"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Długotrwale bezrobotni</w:t>
            </w:r>
          </w:p>
          <w:p w14:paraId="605C3DC5" w14:textId="77777777" w:rsidR="003F2001" w:rsidRPr="003F2001" w:rsidRDefault="003F2001" w:rsidP="003F2001">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 ogółu bezrobotnych)</w:t>
            </w:r>
          </w:p>
        </w:tc>
      </w:tr>
      <w:tr w:rsidR="003F2001" w:rsidRPr="003F2001" w14:paraId="22AE346C"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8A548BB"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Janów Lubelski</w:t>
            </w:r>
          </w:p>
        </w:tc>
        <w:tc>
          <w:tcPr>
            <w:tcW w:w="1250" w:type="pct"/>
            <w:noWrap/>
            <w:vAlign w:val="center"/>
            <w:hideMark/>
          </w:tcPr>
          <w:p w14:paraId="47E3F0D8"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25,4%</w:t>
            </w:r>
          </w:p>
        </w:tc>
        <w:tc>
          <w:tcPr>
            <w:tcW w:w="1250" w:type="pct"/>
            <w:vAlign w:val="center"/>
          </w:tcPr>
          <w:p w14:paraId="0E9B702E"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22,0%</w:t>
            </w:r>
          </w:p>
        </w:tc>
        <w:tc>
          <w:tcPr>
            <w:tcW w:w="1250" w:type="pct"/>
            <w:vAlign w:val="center"/>
          </w:tcPr>
          <w:p w14:paraId="7C2B42CA"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61,4%</w:t>
            </w:r>
          </w:p>
        </w:tc>
      </w:tr>
      <w:tr w:rsidR="003F2001" w:rsidRPr="003F2001" w14:paraId="270FB88D"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01DE296"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Łęczna</w:t>
            </w:r>
          </w:p>
        </w:tc>
        <w:tc>
          <w:tcPr>
            <w:tcW w:w="1250" w:type="pct"/>
            <w:noWrap/>
            <w:vAlign w:val="center"/>
            <w:hideMark/>
          </w:tcPr>
          <w:p w14:paraId="658A55AE"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30,3%</w:t>
            </w:r>
          </w:p>
        </w:tc>
        <w:tc>
          <w:tcPr>
            <w:tcW w:w="1250" w:type="pct"/>
            <w:vAlign w:val="center"/>
          </w:tcPr>
          <w:p w14:paraId="0705CF1A"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19,5%</w:t>
            </w:r>
          </w:p>
        </w:tc>
        <w:tc>
          <w:tcPr>
            <w:tcW w:w="1250" w:type="pct"/>
            <w:vAlign w:val="center"/>
          </w:tcPr>
          <w:p w14:paraId="04E6D896"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45,3%</w:t>
            </w:r>
          </w:p>
        </w:tc>
      </w:tr>
      <w:tr w:rsidR="003F2001" w:rsidRPr="003F2001" w14:paraId="6E5B8C78"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auto" w:fill="F2F2F2"/>
            <w:noWrap/>
            <w:vAlign w:val="center"/>
            <w:hideMark/>
          </w:tcPr>
          <w:p w14:paraId="2127CCB2"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Opole Lubelskie</w:t>
            </w:r>
          </w:p>
        </w:tc>
        <w:tc>
          <w:tcPr>
            <w:tcW w:w="1250" w:type="pct"/>
            <w:shd w:val="clear" w:color="auto" w:fill="F2F2F2"/>
            <w:noWrap/>
            <w:vAlign w:val="center"/>
            <w:hideMark/>
          </w:tcPr>
          <w:p w14:paraId="0EE4897B"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29,8%</w:t>
            </w:r>
          </w:p>
        </w:tc>
        <w:tc>
          <w:tcPr>
            <w:tcW w:w="1250" w:type="pct"/>
            <w:shd w:val="clear" w:color="auto" w:fill="F2F2F2"/>
            <w:vAlign w:val="center"/>
          </w:tcPr>
          <w:p w14:paraId="707AEBBA"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21,4%</w:t>
            </w:r>
          </w:p>
        </w:tc>
        <w:tc>
          <w:tcPr>
            <w:tcW w:w="1250" w:type="pct"/>
            <w:shd w:val="clear" w:color="auto" w:fill="F2F2F2"/>
            <w:vAlign w:val="center"/>
          </w:tcPr>
          <w:p w14:paraId="36B239AE"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52,3%</w:t>
            </w:r>
          </w:p>
        </w:tc>
      </w:tr>
      <w:tr w:rsidR="003F2001" w:rsidRPr="003F2001" w14:paraId="5895E264"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928C3A4"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Parczew</w:t>
            </w:r>
          </w:p>
        </w:tc>
        <w:tc>
          <w:tcPr>
            <w:tcW w:w="1250" w:type="pct"/>
            <w:noWrap/>
            <w:vAlign w:val="center"/>
            <w:hideMark/>
          </w:tcPr>
          <w:p w14:paraId="3BE641B8"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24,3%</w:t>
            </w:r>
          </w:p>
        </w:tc>
        <w:tc>
          <w:tcPr>
            <w:tcW w:w="1250" w:type="pct"/>
            <w:vAlign w:val="center"/>
          </w:tcPr>
          <w:p w14:paraId="0B741334"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23,0%</w:t>
            </w:r>
          </w:p>
        </w:tc>
        <w:tc>
          <w:tcPr>
            <w:tcW w:w="1250" w:type="pct"/>
            <w:vAlign w:val="center"/>
          </w:tcPr>
          <w:p w14:paraId="7F115FD1"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59,9%</w:t>
            </w:r>
          </w:p>
        </w:tc>
      </w:tr>
      <w:tr w:rsidR="003F2001" w:rsidRPr="003F2001" w14:paraId="34B8C2FF"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91AEDC6" w14:textId="77777777" w:rsidR="003F2001" w:rsidRPr="003F2001" w:rsidRDefault="003F2001" w:rsidP="003F2001">
            <w:pPr>
              <w:spacing w:after="0" w:line="276" w:lineRule="auto"/>
              <w:contextualSpacing/>
              <w:jc w:val="left"/>
              <w:rPr>
                <w:rFonts w:cs="Times New Roman"/>
                <w:sz w:val="16"/>
                <w:szCs w:val="16"/>
                <w:lang w:bidi="en-US"/>
              </w:rPr>
            </w:pPr>
            <w:r w:rsidRPr="003F2001">
              <w:rPr>
                <w:rFonts w:cs="Times New Roman"/>
                <w:sz w:val="16"/>
                <w:szCs w:val="16"/>
              </w:rPr>
              <w:t>Gmina Ryki</w:t>
            </w:r>
          </w:p>
        </w:tc>
        <w:tc>
          <w:tcPr>
            <w:tcW w:w="1250" w:type="pct"/>
            <w:noWrap/>
            <w:vAlign w:val="center"/>
            <w:hideMark/>
          </w:tcPr>
          <w:p w14:paraId="6920776E"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25,6%</w:t>
            </w:r>
          </w:p>
        </w:tc>
        <w:tc>
          <w:tcPr>
            <w:tcW w:w="1250" w:type="pct"/>
            <w:vAlign w:val="center"/>
          </w:tcPr>
          <w:p w14:paraId="1D92A123"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26,9%</w:t>
            </w:r>
          </w:p>
        </w:tc>
        <w:tc>
          <w:tcPr>
            <w:tcW w:w="1250" w:type="pct"/>
            <w:vAlign w:val="center"/>
          </w:tcPr>
          <w:p w14:paraId="1D3C7DF4" w14:textId="77777777" w:rsidR="003F2001" w:rsidRPr="003F2001" w:rsidRDefault="003F2001" w:rsidP="003F2001">
            <w:pPr>
              <w:spacing w:after="0"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50,6%</w:t>
            </w:r>
          </w:p>
        </w:tc>
      </w:tr>
    </w:tbl>
    <w:p w14:paraId="2F1D83CF"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1A566781" w14:textId="050CAFA7" w:rsidR="003F2001" w:rsidRPr="003F2001" w:rsidRDefault="003F2001" w:rsidP="001E5DDA">
      <w:pPr>
        <w:pStyle w:val="Nagwek2"/>
        <w:spacing w:before="120"/>
      </w:pPr>
      <w:bookmarkStart w:id="83" w:name="_Toc173435449"/>
      <w:bookmarkStart w:id="84" w:name="_Toc191908764"/>
      <w:r>
        <w:t xml:space="preserve">2.3.3 </w:t>
      </w:r>
      <w:r w:rsidRPr="003F2001">
        <w:t>Podsumowanie i wnioski</w:t>
      </w:r>
      <w:bookmarkEnd w:id="83"/>
      <w:bookmarkEnd w:id="84"/>
    </w:p>
    <w:p w14:paraId="7FCD8864" w14:textId="77777777" w:rsidR="003F2001" w:rsidRPr="003F2001" w:rsidRDefault="003F2001">
      <w:pPr>
        <w:numPr>
          <w:ilvl w:val="0"/>
          <w:numId w:val="62"/>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Według danych GUS w 2023 r. zbiorowość osób pracujących na terenie Gminy Opole Lubelskie wynosiła 6 039 osób (2 810 kobiet i 3 229 mężczyzn), przy czym 52,8% pracujących stanowili mieszkańcy obszaru wiejskiego gminy. </w:t>
      </w:r>
    </w:p>
    <w:p w14:paraId="0AF65DF1" w14:textId="77777777" w:rsidR="003F2001" w:rsidRPr="003F2001" w:rsidRDefault="003F2001">
      <w:pPr>
        <w:numPr>
          <w:ilvl w:val="0"/>
          <w:numId w:val="62"/>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Wskaźnik zatrudnienia, prezentujący liczbę osób pracujących na 1 000 mieszkańców w 2023 r. wynosił 373 osoby, wobec 375 w powiecie opolskim oraz 379 na terenie całego województwa lubelskiego. W porównaniu do pozostałych ośrodków lokalnych Gmina Opole Lubelskie wyróżnia się relatywnie niskimi wartościami wskaźników dotyczących liczby osób pracujących. Niższe wartości wskaźników zatrudnienia odnotowano jedynie w Janowie Lubelskim. </w:t>
      </w:r>
    </w:p>
    <w:p w14:paraId="287E9289" w14:textId="4F0C1DC5" w:rsidR="003F2001" w:rsidRPr="003F2001" w:rsidRDefault="003F2001">
      <w:pPr>
        <w:numPr>
          <w:ilvl w:val="0"/>
          <w:numId w:val="62"/>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lastRenderedPageBreak/>
        <w:t>Podobnie do obserwowanego trendu w województwie lubelskim w latach 2014-2019 liczba osób bezrobotnych na terenie gminy systematycznie spadała z 1 026 osób w 2014 r. do 633 osób w 2019 r. Natomiast biorąc pod uwagę rok 2020 to w porównaniu z grudniem 2019 r. liczba bezrobotnych zwiększyła się o 8,4% (189 osób). Wzrost liczby zarejestrowanych bezrobotnych w tym okresie odnotowano również w województwie lubelskim (10,3%). Analiza danych wskazuje, że wpływ na wzrost liczby bezrobotnych miało niewątpliwie spowolnienie gospodarcze wywołane pandemią COVID-19 – obserwowana od lat stała tendencja spadku bezrobocia w gminie oraz w regionie została zachwiana dopiero w 2020 r. Pozytywny jest natomiast fakt, że w latach 2021-2023 na gminy ponownie obserwuje się spadek liczby osób bezrobotnych (o 21,1% w</w:t>
      </w:r>
      <w:r w:rsidR="00B2530C">
        <w:rPr>
          <w:rFonts w:eastAsia="Times New Roman" w:cs="Times New Roman"/>
          <w:color w:val="4D160F"/>
          <w:kern w:val="0"/>
          <w:szCs w:val="20"/>
          <w:lang w:bidi="en-US"/>
          <w14:ligatures w14:val="none"/>
        </w:rPr>
        <w:t> </w:t>
      </w:r>
      <w:r w:rsidRPr="003F2001">
        <w:rPr>
          <w:rFonts w:eastAsia="Times New Roman" w:cs="Times New Roman"/>
          <w:color w:val="4D160F"/>
          <w:kern w:val="0"/>
          <w:szCs w:val="20"/>
          <w:lang w:bidi="en-US"/>
          <w14:ligatures w14:val="none"/>
        </w:rPr>
        <w:t>porównywaniu do końca 2020 r.).</w:t>
      </w:r>
    </w:p>
    <w:p w14:paraId="1AC85D26" w14:textId="66BDA404" w:rsidR="003F2001" w:rsidRPr="003F2001" w:rsidRDefault="003F2001">
      <w:pPr>
        <w:numPr>
          <w:ilvl w:val="0"/>
          <w:numId w:val="62"/>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Wskaźnik bezrobocia (mierzony stosunkiem liczby osób bezrobotnych zarejestrowanych do liczby osób w wieku produkcyjnym) na obszarze gminy w 2023 r. wyniósł 5,7 i jego wartość była nieznacznie niższa od wartości wskaźnika dla powiatu opolskiego (5,8), a</w:t>
      </w:r>
      <w:r w:rsidR="00B2530C">
        <w:rPr>
          <w:rFonts w:eastAsia="Times New Roman" w:cs="Times New Roman"/>
          <w:color w:val="4D160F"/>
          <w:kern w:val="0"/>
          <w:szCs w:val="20"/>
          <w:lang w:bidi="en-US"/>
          <w14:ligatures w14:val="none"/>
        </w:rPr>
        <w:t> </w:t>
      </w:r>
      <w:r w:rsidRPr="003F2001">
        <w:rPr>
          <w:rFonts w:eastAsia="Times New Roman" w:cs="Times New Roman"/>
          <w:color w:val="4D160F"/>
          <w:kern w:val="0"/>
          <w:szCs w:val="20"/>
          <w:lang w:bidi="en-US"/>
          <w14:ligatures w14:val="none"/>
        </w:rPr>
        <w:t xml:space="preserve">jednocześnie wyraźnie wyższa od wartości dla województwa lubelskiego (4,9). </w:t>
      </w:r>
    </w:p>
    <w:p w14:paraId="13AA4A4E" w14:textId="77777777" w:rsidR="003F2001" w:rsidRPr="003F2001" w:rsidRDefault="003F2001">
      <w:pPr>
        <w:numPr>
          <w:ilvl w:val="0"/>
          <w:numId w:val="62"/>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Mimo wzrostu liczby osób pracujących i jednoczesnego spadku liczby osób bezrobotnych w ostatnich latach, obszar zmaga się z licznymi problemami związanymi ze strukturą bezrobocia. Najistotniejszym problemem jest bezrobocie długotrwałe, dotykające ponad połowy zarejestrowanych bezrobotnych, bezrobocie ludzi młodych, do 30 roku życia oraz starszych, po 50 roku życia. Problemem rynku pracy w gminie pozostaje wciąż niedopasowanie do potrzeb pracodawców kwalifikacji osób poszukujących pracy.</w:t>
      </w:r>
    </w:p>
    <w:p w14:paraId="06F16177" w14:textId="77777777" w:rsidR="003F2001" w:rsidRPr="003F2001" w:rsidRDefault="003F2001">
      <w:pPr>
        <w:numPr>
          <w:ilvl w:val="0"/>
          <w:numId w:val="62"/>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Wskaźnik bezrobocia obliczony dla Gminy Opole Lubelskie w 2023 r. był relatywnie wyższy w porównaniu do pozostałych ośrodków lokalnych – wyższą wartość wskaźnika odnotowano jedynie w Janowie Lubelskim. Ponadto, biorąc pod uwagę procentową zmianę liczby osób bezrobotnych można stwierdzić, że w ostatnich latach w Gminie Opole Lubelskiego spadek bezrobocia przebiegał wolniej niż w jednostkach porównawczych.</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Na tle pozostałych ośrodków lokalnych Gmina Opole Lubelskie wyróżnia się także wysokim odsetkiem bezrobotnych do 30 roku życia.</w:t>
      </w:r>
    </w:p>
    <w:p w14:paraId="7534BE83" w14:textId="77777777" w:rsidR="003F2001" w:rsidRPr="003F2001" w:rsidRDefault="003F2001">
      <w:pPr>
        <w:numPr>
          <w:ilvl w:val="0"/>
          <w:numId w:val="62"/>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Zjawisko bezrobocia, a w szczególności bezrobocia długookresowego, jest na ogół przyczyną innych problemów społecznych. Osoby bezrobotne są bardziej zagrożone ubóstwem, wykluczeniem społecznym, a nawet problemami zdrowotnymi. Przyczynami przedłużania się okresu pozostawania bez pracy większości osób długotrwale bezrobotnych jest niskie wykształcenie oraz brak kwalifikacji zawodowych i doświadczenia zawodowego. Bezrobocie długotrwałe jest wysoce niekorzystne społecznie, wpływa bowiem zarówno na warunki bytowe rodziny (długotrwały brak stałego wynagrodzenia), jak i na kondycję psychologiczną i społeczną osoby pozostającej bez pracy. Ponadto, wśród osób długotrwale bezrobotnych następuje dezaktualizacja kwalifikacji zawodowych, a ich aktywizacja zawodowa i przywrócenie do grona pracujących staje się bardzo trudne. Osoby, które pozostają bez pracy przez dłuższy czas, mają większe problemy ze znalezieniem zatrudnienia, ponieważ tracą motywację, pewność siebie i umiejętności. Długotrwały brak stałego wynagrodzenia prowadzi również często do uzależnienia finansowego od transferów z pomocy społecznej i oddalenia od rynku pracy.</w:t>
      </w:r>
    </w:p>
    <w:p w14:paraId="037D8ED8" w14:textId="77777777" w:rsidR="003F2001" w:rsidRPr="003F2001" w:rsidRDefault="003F2001">
      <w:pPr>
        <w:numPr>
          <w:ilvl w:val="0"/>
          <w:numId w:val="62"/>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Przy relatywnie niskiej stopie bezrobocia, wyzwaniem jest nie tyle samo obniżanie jego poziomu, lecz skuteczna aktywizacja zawodowa osób będących w najtrudniejszej sytuacji na rynku pracy, a także pomoc w uzyskaniu lepszej jakości zatrudnienia, tak aby przeciwdziałać zjawisku tzw. ubogich pracujących.</w:t>
      </w:r>
    </w:p>
    <w:p w14:paraId="02DDB3A3" w14:textId="77777777" w:rsidR="003F2001" w:rsidRPr="003F2001" w:rsidRDefault="003F2001" w:rsidP="003F2001">
      <w:pPr>
        <w:spacing w:after="160" w:line="259" w:lineRule="auto"/>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br w:type="page"/>
      </w:r>
    </w:p>
    <w:p w14:paraId="0E412C6A" w14:textId="47F140E6" w:rsidR="003F2001" w:rsidRPr="003F2001" w:rsidRDefault="003F2001" w:rsidP="00941F1D">
      <w:pPr>
        <w:pStyle w:val="Nagwek1"/>
        <w:rPr>
          <w:lang w:bidi="en-US"/>
        </w:rPr>
      </w:pPr>
      <w:bookmarkStart w:id="85" w:name="_Toc173435450"/>
      <w:bookmarkStart w:id="86" w:name="_Toc191908765"/>
      <w:r>
        <w:rPr>
          <w:lang w:bidi="en-US"/>
        </w:rPr>
        <w:lastRenderedPageBreak/>
        <w:t xml:space="preserve">2.4 </w:t>
      </w:r>
      <w:r w:rsidRPr="003F2001">
        <w:rPr>
          <w:lang w:bidi="en-US"/>
        </w:rPr>
        <w:t>Potencjał gospodarczy</w:t>
      </w:r>
      <w:bookmarkEnd w:id="85"/>
      <w:bookmarkEnd w:id="86"/>
    </w:p>
    <w:p w14:paraId="75519AD3" w14:textId="7743D231" w:rsidR="003F2001" w:rsidRPr="003F2001" w:rsidRDefault="003F2001" w:rsidP="00941F1D">
      <w:pPr>
        <w:pStyle w:val="Nagwek2"/>
      </w:pPr>
      <w:bookmarkStart w:id="87" w:name="_Toc173435451"/>
      <w:bookmarkStart w:id="88" w:name="_Toc191908766"/>
      <w:r>
        <w:t xml:space="preserve">2.4.1 </w:t>
      </w:r>
      <w:r w:rsidRPr="003F2001">
        <w:t>Struktura funkcjonalno-przestrzenna</w:t>
      </w:r>
      <w:bookmarkEnd w:id="87"/>
      <w:bookmarkEnd w:id="88"/>
    </w:p>
    <w:p w14:paraId="56AD89F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Na sposób użytkowania obszaru Gminy Opole Lubelskie oraz zachodzące w nim zmiany wpływają przede wszystkim cechy środowiska przyrodniczego oraz oddziaływanie antropogeniczne wynikające z realizacji potrzeb społecznych, ekonomicznych, kulturowych i politycznych. Przeobrażenia w sposobie użytkowania gruntów zachodzą na skutek postępującej urbanizacji i związanego z nią rozwoju niezbędnej infrastruktury, a także podejmowanych działań ochronnych wynikających z prowadzonej polityki ekologicznej i przestrzennej.</w:t>
      </w:r>
    </w:p>
    <w:p w14:paraId="5A927F34" w14:textId="72A02B8D"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89" w:name="_Toc189166410"/>
      <w:bookmarkStart w:id="90" w:name="_Hlk183510734"/>
      <w:r w:rsidRPr="003F2001">
        <w:rPr>
          <w:rFonts w:eastAsia="Calibri" w:cs="Times New Roman"/>
          <w:b/>
          <w:bCs/>
          <w:color w:val="7B230B"/>
          <w:kern w:val="0"/>
          <w:sz w:val="16"/>
          <w:szCs w:val="19"/>
          <w14:ligatures w14:val="none"/>
        </w:rPr>
        <w:t xml:space="preserve">Ryc.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Ryc.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6</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xml:space="preserve">. </w:t>
      </w:r>
      <w:r w:rsidRPr="003F2001">
        <w:rPr>
          <w:rFonts w:eastAsia="Calibri" w:cs="Times New Roman"/>
          <w:b/>
          <w:bCs/>
          <w:color w:val="7B230B"/>
          <w:kern w:val="0"/>
          <w:sz w:val="16"/>
          <w:szCs w:val="19"/>
          <w:lang w:bidi="en-US"/>
          <w14:ligatures w14:val="none"/>
        </w:rPr>
        <w:t>Kierunki wykorzystania powierzchni Gminy Opole Lubelskie</w:t>
      </w:r>
      <w:bookmarkEnd w:id="89"/>
    </w:p>
    <w:bookmarkEnd w:id="90"/>
    <w:p w14:paraId="4126C9C1" w14:textId="77777777" w:rsidR="003F2001" w:rsidRPr="003F2001" w:rsidRDefault="003F2001" w:rsidP="003F2001">
      <w:pPr>
        <w:spacing w:before="120" w:line="240" w:lineRule="auto"/>
        <w:jc w:val="center"/>
        <w:rPr>
          <w:rFonts w:eastAsia="Times New Roman" w:cs="Times New Roman"/>
          <w:b/>
          <w:bCs/>
          <w:kern w:val="0"/>
          <w:sz w:val="16"/>
          <w:szCs w:val="18"/>
          <w:lang w:bidi="en-US"/>
          <w14:ligatures w14:val="none"/>
        </w:rPr>
      </w:pPr>
      <w:r w:rsidRPr="003F2001">
        <w:rPr>
          <w:rFonts w:eastAsia="Times New Roman" w:cs="Times New Roman"/>
          <w:noProof/>
          <w:kern w:val="0"/>
          <w:szCs w:val="20"/>
          <w:lang w:eastAsia="pl-PL"/>
          <w14:ligatures w14:val="none"/>
        </w:rPr>
        <w:drawing>
          <wp:inline distT="0" distB="0" distL="0" distR="0" wp14:anchorId="17814A08" wp14:editId="2B0033DA">
            <wp:extent cx="4351351" cy="5040000"/>
            <wp:effectExtent l="0" t="0" r="0" b="8255"/>
            <wp:docPr id="20" name="Obraz 20"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mapa, tekst, atlas&#10;&#10;Opis wygenerowany automatyczni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51351" cy="5040000"/>
                    </a:xfrm>
                    <a:prstGeom prst="rect">
                      <a:avLst/>
                    </a:prstGeom>
                  </pic:spPr>
                </pic:pic>
              </a:graphicData>
            </a:graphic>
          </wp:inline>
        </w:drawing>
      </w:r>
    </w:p>
    <w:p w14:paraId="0816BF1E" w14:textId="77777777" w:rsidR="003F2001" w:rsidRPr="003F2001" w:rsidRDefault="003F2001" w:rsidP="003F2001">
      <w:pPr>
        <w:spacing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Bazy Danych Obiektów Topograficznych 10k</w:t>
      </w:r>
      <w:r w:rsidRPr="003F2001">
        <w:rPr>
          <w:rFonts w:eastAsia="Times New Roman" w:cs="Times New Roman"/>
          <w:kern w:val="0"/>
          <w:szCs w:val="20"/>
          <w:lang w:bidi="en-US"/>
          <w14:ligatures w14:val="none"/>
        </w:rPr>
        <w:t xml:space="preserve"> </w:t>
      </w:r>
      <w:r w:rsidRPr="003F2001">
        <w:rPr>
          <w:rFonts w:eastAsia="Times New Roman" w:cs="Times New Roman"/>
          <w:kern w:val="0"/>
          <w:sz w:val="16"/>
          <w:szCs w:val="16"/>
          <w:lang w:bidi="en-US"/>
          <w14:ligatures w14:val="none"/>
        </w:rPr>
        <w:t>(BDOT10k).</w:t>
      </w:r>
    </w:p>
    <w:p w14:paraId="6BAE98B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Według ewidencji geodezyjnej największą część Gminy Opole Lubelskie stanowią </w:t>
      </w:r>
      <w:r w:rsidRPr="003F2001">
        <w:rPr>
          <w:rFonts w:eastAsia="Times New Roman" w:cs="Times New Roman"/>
          <w:b/>
          <w:bCs/>
          <w:color w:val="4D160F"/>
          <w:kern w:val="0"/>
          <w:szCs w:val="20"/>
          <w:lang w:bidi="en-US"/>
          <w14:ligatures w14:val="none"/>
        </w:rPr>
        <w:t>użytki roln</w:t>
      </w:r>
      <w:r w:rsidRPr="003F2001">
        <w:rPr>
          <w:rFonts w:eastAsia="Times New Roman" w:cs="Times New Roman"/>
          <w:b/>
          <w:bCs/>
          <w:kern w:val="0"/>
          <w:szCs w:val="20"/>
          <w:lang w:bidi="en-US"/>
          <w14:ligatures w14:val="none"/>
        </w:rPr>
        <w:t>e</w:t>
      </w:r>
      <w:r w:rsidRPr="003F2001">
        <w:rPr>
          <w:rFonts w:eastAsia="Times New Roman" w:cs="Times New Roman"/>
          <w:kern w:val="0"/>
          <w:szCs w:val="20"/>
          <w:lang w:bidi="en-US"/>
          <w14:ligatures w14:val="none"/>
        </w:rPr>
        <w:t xml:space="preserve">, które zajmują 12 731 ha, czyli ponad 65% jej powierzchni, przy czym 11 626 ha użytków rolnych znajduje się na terenie wiejskim gminy. Struktura użytkowania użytków rolnych wykazuje proporcje charakterystyczne dla obszarów wiejskich o charakterze rolniczym – zdecydowanie dominują grunty orne – 9 420 ha (74,0% powierzchni użytków rolnych), następnie sady – 965 ha (7,6%) oraz łąki trwałe – 844 ha (6,6%). </w:t>
      </w:r>
      <w:r w:rsidRPr="003F2001">
        <w:rPr>
          <w:rFonts w:eastAsia="Times New Roman" w:cs="Times New Roman"/>
          <w:b/>
          <w:bCs/>
          <w:color w:val="4D160F"/>
          <w:kern w:val="0"/>
          <w:szCs w:val="20"/>
          <w:lang w:bidi="en-US"/>
          <w14:ligatures w14:val="none"/>
        </w:rPr>
        <w:t>Grunty zabudowane i zurbanizowane</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stanowią jedynie </w:t>
      </w:r>
      <w:r w:rsidRPr="003F2001">
        <w:rPr>
          <w:rFonts w:eastAsia="Times New Roman" w:cs="Times New Roman"/>
          <w:kern w:val="0"/>
          <w:szCs w:val="20"/>
          <w:lang w:bidi="en-US"/>
          <w14:ligatures w14:val="none"/>
        </w:rPr>
        <w:lastRenderedPageBreak/>
        <w:t xml:space="preserve">3,2% (618 ha) obszaru gminy, przy czym zdecydowanie większym udziałem gruntów zabudowanych charakteryzuje się obszar miasta – 17,9%. </w:t>
      </w:r>
    </w:p>
    <w:p w14:paraId="2426AFB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Według stanu na koniec 2023 r. </w:t>
      </w:r>
      <w:r w:rsidRPr="003F2001">
        <w:rPr>
          <w:rFonts w:eastAsia="Times New Roman" w:cs="Times New Roman"/>
          <w:b/>
          <w:bCs/>
          <w:color w:val="4D160F"/>
          <w:kern w:val="0"/>
          <w:szCs w:val="20"/>
          <w:lang w:bidi="en-US"/>
          <w14:ligatures w14:val="none"/>
        </w:rPr>
        <w:t>grunty leśne</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w Gminie Opole Lubelskie zajmowały powierzchnię 5 642,92 ha i pokrywały 28,9% powierzchni gminy. Jest to odsetek wyraźnie większy od wskaźnika lesistości województwa lubelskiego, wynoszącego 22,2%. Zasadnicze znaczenie dla gospodarki leśnej posiadają lasy państwowe należące do Nadleśnictwa Kraśnik. Zgrupowane są dużych kompleksach, do których należą: Niezdów I, Kleniewo, Kluczkowice. W innym układzie przestrzennym występują lasy prywatne, ponieważ zgrupowane są w kilkudziesięciu, na ogół małych kompleksach w północnej i południowej części gminy. Do największych należą: Las Lipniak i Las Wandalin. Istotne znaczenie mają również zadrzewienia, które częściowo stanowią substytut lasu. Najczęściej są to różnowiekowe olszyny w dolinach Chodelki i Leonki towarzyszące głównie korytom tych cieków.</w:t>
      </w:r>
    </w:p>
    <w:p w14:paraId="7B305266" w14:textId="54350E54" w:rsidR="003F2001" w:rsidRPr="003F2001" w:rsidRDefault="003F2001" w:rsidP="00941F1D">
      <w:pPr>
        <w:pStyle w:val="Nagwek2"/>
      </w:pPr>
      <w:bookmarkStart w:id="91" w:name="_Toc173435452"/>
      <w:bookmarkStart w:id="92" w:name="_Toc191908767"/>
      <w:r>
        <w:t xml:space="preserve">2.4.2 </w:t>
      </w:r>
      <w:r w:rsidRPr="003F2001">
        <w:t>Rolnictwo</w:t>
      </w:r>
      <w:bookmarkEnd w:id="91"/>
      <w:bookmarkEnd w:id="92"/>
    </w:p>
    <w:p w14:paraId="07D61F7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Według danych GUS uzyskanych w ramach Powszechnego Spisu Rolnego z 2020 r. na terenie Gminy Opole Lubelskie zlokalizowanych było </w:t>
      </w:r>
      <w:r w:rsidRPr="003F2001">
        <w:rPr>
          <w:rFonts w:eastAsia="Times New Roman" w:cs="Times New Roman"/>
          <w:b/>
          <w:bCs/>
          <w:color w:val="4D160F"/>
          <w:kern w:val="0"/>
          <w:szCs w:val="20"/>
          <w:lang w:bidi="en-US"/>
          <w14:ligatures w14:val="none"/>
        </w:rPr>
        <w:t>1 848 gospodarstw rolnych</w:t>
      </w:r>
      <w:r w:rsidRPr="003F2001">
        <w:rPr>
          <w:rFonts w:eastAsia="Times New Roman" w:cs="Times New Roman"/>
          <w:kern w:val="0"/>
          <w:szCs w:val="20"/>
          <w:lang w:bidi="en-US"/>
          <w14:ligatures w14:val="none"/>
        </w:rPr>
        <w:t>,</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co stanowiło 22,9% gospodarstw rolnych z terenu całego powiatu opolskiego. Zdecydowanie wiodącą rolę w strukturze własnościowej gospodarstw odgrywają gospodarstwa indywidualne.</w:t>
      </w:r>
    </w:p>
    <w:p w14:paraId="3C8227B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Dane GUS wskazują, że na obszarze gminy rolnictwo jest wciąż istotnym źródłem uzyskiwania dochodów – na 1 848 gospodarstw domowych uzyskujących dochody z różnych źródeł aż 1 843 gospodarstwa (99,7%) wykazały dochód z działalności rolniczej.</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42,6% gospodarstw rolnych posiadało dochody z pracy najemnej, a 25,0% dochody z emerytury i renty. Dochody z innych niezarobkowych źródeł poza emeryturą i rentą wykazało 12,1%, a 10,6% gospodarstw miało dochody z pozarolniczej działalności gospodarczej.</w:t>
      </w:r>
    </w:p>
    <w:p w14:paraId="683A919D" w14:textId="0BAC8D6A"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93" w:name="_Toc189166377"/>
      <w:r w:rsidRPr="003F2001">
        <w:rPr>
          <w:rFonts w:eastAsia="Calibri" w:cs="Times New Roman"/>
          <w:b/>
          <w:bCs/>
          <w:color w:val="7B230B"/>
          <w:kern w:val="0"/>
          <w:sz w:val="16"/>
          <w:szCs w:val="19"/>
          <w:lang w:bidi="en-US"/>
          <w14:ligatures w14:val="none"/>
        </w:rPr>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21</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Gospodarstwa rolne w Gminie Opole Lubelskie według źródeł dochodów (liczba)</w:t>
      </w:r>
      <w:bookmarkEnd w:id="93"/>
    </w:p>
    <w:p w14:paraId="29F110B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211BAF0D" wp14:editId="3E174929">
            <wp:extent cx="5759450" cy="2699385"/>
            <wp:effectExtent l="0" t="0" r="0" b="5715"/>
            <wp:docPr id="1475945256" name="Wykres 14759452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23EC37-DB6B-4A55-AE28-FD9BA2764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1B5722"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53EA899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Czynnikiem wpływającym na stan rolnictwa i intensywność produkcji rolnej jest </w:t>
      </w:r>
      <w:r w:rsidRPr="003F2001">
        <w:rPr>
          <w:rFonts w:eastAsia="Times New Roman" w:cs="Times New Roman"/>
          <w:b/>
          <w:bCs/>
          <w:color w:val="4D160F"/>
          <w:kern w:val="0"/>
          <w:szCs w:val="20"/>
          <w:lang w:bidi="en-US"/>
          <w14:ligatures w14:val="none"/>
        </w:rPr>
        <w:t>struktura agrarna</w:t>
      </w:r>
      <w:r w:rsidRPr="003F2001">
        <w:rPr>
          <w:rFonts w:eastAsia="Times New Roman" w:cs="Times New Roman"/>
          <w:kern w:val="0"/>
          <w:szCs w:val="20"/>
          <w:lang w:bidi="en-US"/>
          <w14:ligatures w14:val="none"/>
        </w:rPr>
        <w:t xml:space="preserve">. Pod względem wielkości w Gminie Opole Lubelskie </w:t>
      </w:r>
      <w:r w:rsidRPr="003F2001">
        <w:rPr>
          <w:rFonts w:eastAsia="Times New Roman" w:cs="Times New Roman"/>
          <w:b/>
          <w:bCs/>
          <w:color w:val="4D160F"/>
          <w:kern w:val="0"/>
          <w:szCs w:val="20"/>
          <w:lang w:bidi="en-US"/>
          <w14:ligatures w14:val="none"/>
        </w:rPr>
        <w:t>dominowały małe gospodarstwa rolne</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 gospodarstwa o powierzchni do 1 ha włącznie oraz od 1 do 5 ha stanowiły łącznie 68,3% ogółu gospodarstw. Najmniej było gospodarstw największych, których powierzchnia wynosiła powyżej 15 ha, które stanowiły 2,1% gospodarstw ogółem. Średnia wielkość gospodarstwa rolnego wynosiła 5,62 ha, wobec 6,22 ha w powiecie opolskim oraz 9,64 </w:t>
      </w:r>
      <w:r w:rsidRPr="003F2001">
        <w:rPr>
          <w:rFonts w:eastAsia="Times New Roman" w:cs="Times New Roman"/>
          <w:kern w:val="0"/>
          <w:szCs w:val="20"/>
          <w:lang w:bidi="en-US"/>
          <w14:ligatures w14:val="none"/>
        </w:rPr>
        <w:lastRenderedPageBreak/>
        <w:t>w województwie lubelskim.</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Zmiany, jakie zaszły w tym zakresie na obszarze gminy, można zaobserwować, porównując wyniki Powszechnego Spisu Rolnego z 2020 r. z wynikami spisu przeprowadzonego w roku 2010. Rozkład gospodarstw rolnych według poszczególnych grup obszarowych przedstawiał się następująco: na 2 886 wszystkich gospodarstw, aż 26,0% stanowiły gospodarstwa do 1 ha włącznie, do 5 ha – 52,3%, 5 – 10 ha – 16,9%, 10 – 15 ha – 3,7%, a gospodarstwa powyżej 15 ha – tylko 1,1%. Widać więc wyraźnie, że choć rozdrobnienie gospodarstw nadal dominuje na terenie gminy, to zmiany jakie zaszły w ostatnich latach nieco poprawiły strukturę agrarną, przez co stała się ona bardziej efektywna.</w:t>
      </w:r>
    </w:p>
    <w:p w14:paraId="67AD68AE" w14:textId="730FA76C"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94" w:name="_Toc189166378"/>
      <w:r w:rsidRPr="003F2001">
        <w:rPr>
          <w:rFonts w:eastAsia="Calibri" w:cs="Times New Roman"/>
          <w:b/>
          <w:bCs/>
          <w:color w:val="7B230B"/>
          <w:kern w:val="0"/>
          <w:sz w:val="16"/>
          <w:szCs w:val="19"/>
          <w:lang w:bidi="en-US"/>
          <w14:ligatures w14:val="none"/>
        </w:rPr>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22</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Gospodarstwa rolne w Gminie Opole Lubelskie według grup obszarowych użytków rolnych (liczba)</w:t>
      </w:r>
      <w:bookmarkEnd w:id="94"/>
    </w:p>
    <w:p w14:paraId="0295BA9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1E5E6FA8" wp14:editId="27EE37A1">
            <wp:extent cx="5760000" cy="2700000"/>
            <wp:effectExtent l="0" t="0" r="0" b="5715"/>
            <wp:docPr id="1462064991" name="Wykres 14620649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23EC37-DB6B-4A55-AE28-FD9BA2764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243BD3"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1A17E8F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Podstawowe źródło utrzymania mieszkańców gminy stanowią tradycyjne rolnictwo, sadownictwo, warzywnictwo i gospodarka stawowa. Uwarunkowania agroklimatyczne predysponują obszar gminy do produkcji ogrodniczej i wykorzystywane są przez znaczące w skali powiatu ukierunkowanie gospodarki rolnej na sadownictwo i ogrodnictwo. Powierzchnia gruntów pod sadami wynosi 965 ha, przy czym większość powierzchni zajmują plantacje krzewów owocowych i jagodowych (porzeczki, maliny, aronie) oraz drzewa owocowe (jabłonie, wiśnie, śliwy, czereśnie). W produkcji rolnej istotne znaczenie posiada również uprawa zbóż, roślin okopowych, truskawek. W latach ostatnich znaczącym potencjałem gminy, stała się produkcja gospodarstw posiadających zaplecze szklarniowe oraz gospodarstw ukierunkowanych na hodowlę i sprzedaż ryb (pstrągi, karpie). Obszar wyróżnia się również pod względem upraw przemysłowych (przeznaczanych do produkcji roślinnych surowców dla przemysłu spożywczego i innych).</w:t>
      </w:r>
    </w:p>
    <w:p w14:paraId="225232DD"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Na terenie Gminy Opole Lubelskie funkcjonuje kilka znaczących zakładów przetwórstwa owoców i warzyw:</w:t>
      </w:r>
    </w:p>
    <w:p w14:paraId="467612EA" w14:textId="77777777" w:rsidR="003F2001" w:rsidRPr="003F2001" w:rsidRDefault="003F2001">
      <w:pPr>
        <w:numPr>
          <w:ilvl w:val="0"/>
          <w:numId w:val="6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„APPOL” Sp. z o.o. Zakład Przetwórstwa Owocowego w Opolu Lubelskim, </w:t>
      </w:r>
    </w:p>
    <w:p w14:paraId="3AC0718D" w14:textId="77777777" w:rsidR="003F2001" w:rsidRPr="003F2001" w:rsidRDefault="003F2001">
      <w:pPr>
        <w:numPr>
          <w:ilvl w:val="0"/>
          <w:numId w:val="6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„POL - OWOC” w Opolu Lubelskim,</w:t>
      </w:r>
    </w:p>
    <w:p w14:paraId="03D10033" w14:textId="77777777" w:rsidR="003F2001" w:rsidRPr="003F2001" w:rsidRDefault="003F2001">
      <w:pPr>
        <w:numPr>
          <w:ilvl w:val="0"/>
          <w:numId w:val="6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„TRANS - GALOPP” Sp. z o.o. w Opolu Lubelskim, </w:t>
      </w:r>
    </w:p>
    <w:p w14:paraId="04014D11" w14:textId="77777777" w:rsidR="003F2001" w:rsidRPr="003F2001" w:rsidRDefault="003F2001">
      <w:pPr>
        <w:numPr>
          <w:ilvl w:val="0"/>
          <w:numId w:val="6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„Kabako Gruppe” Sp. z o.o. w Opolu Lubelskim,</w:t>
      </w:r>
    </w:p>
    <w:p w14:paraId="40F642EB" w14:textId="77777777" w:rsidR="003F2001" w:rsidRPr="003F2001" w:rsidRDefault="003F2001">
      <w:pPr>
        <w:numPr>
          <w:ilvl w:val="0"/>
          <w:numId w:val="6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„Agrico” S.A. w Łęczycy, zakład w Kluczkowicach,</w:t>
      </w:r>
    </w:p>
    <w:p w14:paraId="4271FE9F" w14:textId="77777777" w:rsidR="003F2001" w:rsidRPr="003F2001" w:rsidRDefault="003F2001">
      <w:pPr>
        <w:numPr>
          <w:ilvl w:val="0"/>
          <w:numId w:val="6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„Encja” Sp. z o.o. w Opolu Lubelskim,</w:t>
      </w:r>
    </w:p>
    <w:p w14:paraId="2A41FE04" w14:textId="77777777" w:rsidR="003F2001" w:rsidRPr="003F2001" w:rsidRDefault="003F2001">
      <w:pPr>
        <w:numPr>
          <w:ilvl w:val="0"/>
          <w:numId w:val="6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„SVZ Poland” Sp. z o.o. w Opolu Lubelskim,</w:t>
      </w:r>
    </w:p>
    <w:p w14:paraId="40BABAA4" w14:textId="77777777" w:rsidR="003F2001" w:rsidRPr="003F2001" w:rsidRDefault="003F2001">
      <w:pPr>
        <w:numPr>
          <w:ilvl w:val="0"/>
          <w:numId w:val="6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„Wagnerowska Anna. Przetwórstwo owoców i warzyw” w Wandalinie.</w:t>
      </w:r>
    </w:p>
    <w:p w14:paraId="56970197" w14:textId="77777777" w:rsidR="003F2001" w:rsidRPr="003F2001" w:rsidRDefault="003F2001" w:rsidP="003F2001">
      <w:pPr>
        <w:spacing w:line="276" w:lineRule="auto"/>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lastRenderedPageBreak/>
        <w:t>Jakość rolniczej przestrzeni produkcyjnej w dużej mierze determinuje kierunki rozwoju trzech wyodrębniających się obszarów:</w:t>
      </w:r>
    </w:p>
    <w:p w14:paraId="7A24D9CA" w14:textId="77777777" w:rsidR="003F2001" w:rsidRPr="003F2001" w:rsidRDefault="003F2001">
      <w:pPr>
        <w:numPr>
          <w:ilvl w:val="0"/>
          <w:numId w:val="68"/>
        </w:numPr>
        <w:spacing w:after="160" w:line="276" w:lineRule="auto"/>
        <w:ind w:left="426" w:hanging="284"/>
        <w:jc w:val="left"/>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Obszar południowy, którego orientacyjne kontury przebiegają przez Białowodę, Kręciszówkę, Kluczkowice Osiedle, po granice administracyjne gminy, stanowiący rejon intensywnej gospodarki rolnej. Predestynują go do tego dobrej jakości gleby, dobra organizacja gospodarstw i wysoka kultura rolna.</w:t>
      </w:r>
    </w:p>
    <w:p w14:paraId="72C415B6" w14:textId="77777777" w:rsidR="003F2001" w:rsidRPr="003F2001" w:rsidRDefault="003F2001">
      <w:pPr>
        <w:numPr>
          <w:ilvl w:val="0"/>
          <w:numId w:val="68"/>
        </w:numPr>
        <w:spacing w:after="160" w:line="276" w:lineRule="auto"/>
        <w:ind w:left="426" w:hanging="284"/>
        <w:jc w:val="left"/>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Obszar północno-wschodni rozciągający się wzdłuż dolin Chodelki i Leonki, charakteryzujący się słabymi lub bardzo słabymi warunkami rozwoju rolnictwa. Wpływ na to mają głównie słabe gleby, których duży areał stanowią gleby V i VI klasy bonitacyjnej. W połączeniu z rozdrobnieniem gospodarstw stwarza to ograniczone możliwości prowadzenia wysokotowarowej gospodarki rolnej, gwarantującej opłacalność ekonomiczną. Na tym terenie sprzyjające warunki dla rozwoju znalazły prężnie działające gospodarstwa rybackie. Hodowla ryb prowadzona jest na ponad 400 hektarach stawów.</w:t>
      </w:r>
    </w:p>
    <w:p w14:paraId="6781E6B8" w14:textId="77777777" w:rsidR="003F2001" w:rsidRPr="003F2001" w:rsidRDefault="003F2001">
      <w:pPr>
        <w:numPr>
          <w:ilvl w:val="0"/>
          <w:numId w:val="68"/>
        </w:numPr>
        <w:spacing w:after="160" w:line="276" w:lineRule="auto"/>
        <w:ind w:left="426" w:hanging="284"/>
        <w:jc w:val="left"/>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Obszar centralny, posiadający średnio dobre warunki rozwoju. Przeważają na nim grunty IV klasy bonitacyjnej, co umożliwia głównie uprawę zbóż. Na tym terenie wskazane jest uzupełnianie rozwoju produkcji rolnej różnymi formami usługowo-produkcyjnych działalności gospodarczych powiązanych z rolnictwem (np. przetwórstwo, obsługa rolnictwa).</w:t>
      </w:r>
    </w:p>
    <w:p w14:paraId="7D7D0791" w14:textId="67232E53" w:rsidR="003F2001" w:rsidRPr="003F2001" w:rsidRDefault="003F2001" w:rsidP="00941F1D">
      <w:pPr>
        <w:pStyle w:val="Nagwek2"/>
      </w:pPr>
      <w:bookmarkStart w:id="95" w:name="_Toc173435453"/>
      <w:bookmarkStart w:id="96" w:name="_Toc191908768"/>
      <w:r>
        <w:t xml:space="preserve">2.4.3 </w:t>
      </w:r>
      <w:r w:rsidRPr="003F2001">
        <w:t>Sektor pozarolniczy</w:t>
      </w:r>
      <w:bookmarkEnd w:id="95"/>
      <w:bookmarkEnd w:id="96"/>
    </w:p>
    <w:p w14:paraId="4098470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Na terenie Gminy Opole Lubelskie na koniec 2023 r. w </w:t>
      </w:r>
      <w:r w:rsidRPr="003F2001">
        <w:rPr>
          <w:rFonts w:eastAsia="Times New Roman" w:cs="Times New Roman"/>
          <w:b/>
          <w:bCs/>
          <w:color w:val="4D160F"/>
          <w:kern w:val="0"/>
          <w:szCs w:val="20"/>
          <w:lang w:bidi="en-US"/>
          <w14:ligatures w14:val="none"/>
        </w:rPr>
        <w:t>rejestrze REGON</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zaewidencjonowane były </w:t>
      </w:r>
      <w:r w:rsidRPr="003F2001">
        <w:rPr>
          <w:rFonts w:eastAsia="Times New Roman" w:cs="Times New Roman"/>
          <w:b/>
          <w:bCs/>
          <w:color w:val="4D160F"/>
          <w:kern w:val="0"/>
          <w:szCs w:val="20"/>
          <w:lang w:bidi="en-US"/>
          <w14:ligatures w14:val="none"/>
        </w:rPr>
        <w:t>1 624 podmioty</w:t>
      </w:r>
      <w:r w:rsidRPr="003F2001">
        <w:rPr>
          <w:rFonts w:eastAsia="Times New Roman" w:cs="Times New Roman"/>
          <w:kern w:val="0"/>
          <w:szCs w:val="20"/>
          <w:lang w:bidi="en-US"/>
          <w14:ligatures w14:val="none"/>
        </w:rPr>
        <w:t xml:space="preserve">, czyli 34,2% ogółu podmiotów zarejestrowanych w powiecie opolskim. Pozarolnicza działalność gospodarcza skupia się na obszarze miejskim, gdzie zarejestrowanych było 1 041 podmiotów gospodarczych, co stanowi 64,1% podmiotów zarejestrowanych na obszarze gminy. </w:t>
      </w:r>
    </w:p>
    <w:p w14:paraId="2CE8B89F" w14:textId="1B9D6C6C"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97" w:name="_Toc189166379"/>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23</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podmiotów gospodarki narodowej wpisanych do rejestru REGON na terenie Gminy Opole Lubelskie w latach 2014-2023 (podmioty)</w:t>
      </w:r>
      <w:bookmarkEnd w:id="97"/>
    </w:p>
    <w:p w14:paraId="76FF7BA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78D8ECC8" wp14:editId="3500B7EE">
            <wp:extent cx="5760720" cy="2699385"/>
            <wp:effectExtent l="0" t="0" r="0" b="5715"/>
            <wp:docPr id="13" name="Wykres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36E7D1"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4F68216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ostatniej dekadzie liczba podmiotów gospodarki narodowej na obszarze gminy wzrosła o 290 przedsiębiorstw, co stanowi 21,7% podmiotów z 2014 r. Zdecydowanie </w:t>
      </w:r>
      <w:r w:rsidRPr="003F2001">
        <w:rPr>
          <w:rFonts w:eastAsia="Times New Roman" w:cs="Times New Roman"/>
          <w:b/>
          <w:bCs/>
          <w:color w:val="4D160F"/>
          <w:kern w:val="0"/>
          <w:szCs w:val="20"/>
          <w:lang w:bidi="en-US"/>
          <w14:ligatures w14:val="none"/>
        </w:rPr>
        <w:t xml:space="preserve">większą dynamikę </w:t>
      </w:r>
      <w:r w:rsidRPr="003F2001">
        <w:rPr>
          <w:rFonts w:eastAsia="Times New Roman" w:cs="Times New Roman"/>
          <w:b/>
          <w:bCs/>
          <w:color w:val="4D160F"/>
          <w:kern w:val="0"/>
          <w:szCs w:val="20"/>
          <w:lang w:bidi="en-US"/>
          <w14:ligatures w14:val="none"/>
        </w:rPr>
        <w:lastRenderedPageBreak/>
        <w:t>wzrostu zaobserwowano na obszarze wiejskim</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wzrost o 51,8% (199 podmiotów). W tym samym okresie w mieście liczba podmiotów zwiększyła się jedynie o 9,6% (91).</w:t>
      </w:r>
    </w:p>
    <w:p w14:paraId="68D65C82" w14:textId="72C7F415"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98" w:name="_Toc189166380"/>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24</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podmiotów nowo zarejestrowanych i wyrejestrowanych w latach 2014-2023 na terenie Gminy Opole Lubelskie (podmioty)</w:t>
      </w:r>
      <w:bookmarkEnd w:id="98"/>
    </w:p>
    <w:p w14:paraId="02A7DD3E" w14:textId="77777777" w:rsidR="003F2001" w:rsidRPr="003F2001" w:rsidRDefault="003F2001" w:rsidP="003F2001">
      <w:pPr>
        <w:spacing w:before="200" w:after="200" w:line="276" w:lineRule="auto"/>
        <w:jc w:val="left"/>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779D084A" wp14:editId="5E53EF20">
            <wp:extent cx="5759450" cy="2699385"/>
            <wp:effectExtent l="0" t="0" r="0" b="5715"/>
            <wp:docPr id="19" name="Wykres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6335B8-5361-48BA-BA39-851EE043C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DF4A38"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1D2F371E" w14:textId="77777777" w:rsidR="003F2001" w:rsidRPr="003F2001" w:rsidRDefault="003F2001" w:rsidP="003F2001">
      <w:pPr>
        <w:spacing w:before="200" w:after="200"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Analiza zmian w liczbie podmiotów gospodarczych pokazuje, że w badanych okresie (z wyjątkiem lat 2014 i 2017) liczba podmiotów nowo zarejestrowanych w rejestrze REGON przewyższała liczbę podmiotów wyrejestrowanych z rejestru. W 2023 r. na terenie Gminy Opole Lubelskie zarejestrowano 106 nowych przedsiębiorstw, a wyrejestrowano 82 podmioty.</w:t>
      </w:r>
    </w:p>
    <w:p w14:paraId="37622C2D" w14:textId="689E8453"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99" w:name="_Toc189166381"/>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25</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Wskaźnik przedsiębiorczości (liczba podmiotów wpisanych do rejestru REGON na 1 000 ludności w wieku produkcyjnym) w 2023 r. na terenie Gminy Opole Lubelskie, powiatu opolskiego i województwa lubelskiego (podmioty)</w:t>
      </w:r>
      <w:bookmarkEnd w:id="99"/>
    </w:p>
    <w:p w14:paraId="4C458F9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55097C5C" wp14:editId="67F4B82D">
            <wp:extent cx="5759450" cy="2699385"/>
            <wp:effectExtent l="0" t="0" r="0" b="5715"/>
            <wp:docPr id="21" name="Wykres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A36F00"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4FE61B3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Wskaźnik przedsiębiorczości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obszaru, obrazujący liczbę podmiotów wpisanych do rejestru REGON na 1 000 mieszkańców w wieku produkcyjnym, na koniec 2023 r. wyniósł 171,5 i był istotnie wyższy od średniej wartości dla powiatu opolskiego (147,6), lecz jednocześnie niższy od </w:t>
      </w:r>
      <w:r w:rsidRPr="003F2001">
        <w:rPr>
          <w:rFonts w:eastAsia="Times New Roman" w:cs="Times New Roman"/>
          <w:kern w:val="0"/>
          <w:szCs w:val="20"/>
          <w:lang w:bidi="en-US"/>
          <w14:ligatures w14:val="none"/>
        </w:rPr>
        <w:lastRenderedPageBreak/>
        <w:t>wskaźnika obliczonego dla województwa lubelskiego (182,0). Należy jednak zauważyć, że zdecydowanie większą wartość wskaźnik ten przyjął w mieście (233,9 podmiotów na 1 000 mieszkańców w wieku produkcyjnym), niż na terenach wiejskich gminy (116,1).</w:t>
      </w:r>
    </w:p>
    <w:p w14:paraId="49AF842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porównaniu do pozostałych ośrodków lokalnych Gmina Opole Lubelskie wyróżnia się relatywnie niskimi wskaźnikami przedsiębiorczości, odnoszącymi liczbę firm do liczby mieszkańców ogółem oraz mieszkańców w wieku produkcyjnym – niższą wartość przedmiotowych wskaźników odnotowano jedynie w Łęcznej. Gmina Opole Lubelskie jest natomiast ośrodkiem, w którym procentowy przyrost liczby podmiotów zaewidencjonowanych w rejestrze REGON w stosunku do 2014 r. był zdecydowanie najwyższy (21,7%).</w:t>
      </w:r>
    </w:p>
    <w:p w14:paraId="6D6E4860" w14:textId="76EA860F"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00" w:name="_Toc189166343"/>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11</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podmiotów gospodarki narodowej wpisanych do rejestru REGON oraz wskaźniki przedsiębiorczości w Gminie Opole Lubelskie oraz jednostkach porównawczych.</w:t>
      </w:r>
      <w:bookmarkEnd w:id="100"/>
    </w:p>
    <w:tbl>
      <w:tblPr>
        <w:tblStyle w:val="Tabelasiatki1jasnaakcent14"/>
        <w:tblW w:w="5000" w:type="pct"/>
        <w:tblLook w:val="04A0" w:firstRow="1" w:lastRow="0" w:firstColumn="1" w:lastColumn="0" w:noHBand="0" w:noVBand="1"/>
      </w:tblPr>
      <w:tblGrid>
        <w:gridCol w:w="2230"/>
        <w:gridCol w:w="1707"/>
        <w:gridCol w:w="1709"/>
        <w:gridCol w:w="1709"/>
        <w:gridCol w:w="1707"/>
      </w:tblGrid>
      <w:tr w:rsidR="003F2001" w:rsidRPr="003F2001" w14:paraId="1586DABC"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0" w:type="pct"/>
            <w:vAlign w:val="center"/>
            <w:hideMark/>
          </w:tcPr>
          <w:p w14:paraId="3ADB7426"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942" w:type="pct"/>
            <w:vAlign w:val="center"/>
            <w:hideMark/>
          </w:tcPr>
          <w:p w14:paraId="1003B79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podmiotów wpisanych do rejestru REGON 2023 r.</w:t>
            </w:r>
          </w:p>
          <w:p w14:paraId="79A6D0E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(podmioty)</w:t>
            </w:r>
          </w:p>
        </w:tc>
        <w:tc>
          <w:tcPr>
            <w:tcW w:w="943" w:type="pct"/>
            <w:vAlign w:val="center"/>
          </w:tcPr>
          <w:p w14:paraId="0FA91ED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Zmiana liczby podmiotów w stosunku do 2014 r. (%)</w:t>
            </w:r>
          </w:p>
        </w:tc>
        <w:tc>
          <w:tcPr>
            <w:tcW w:w="943" w:type="pct"/>
            <w:vAlign w:val="center"/>
          </w:tcPr>
          <w:p w14:paraId="6610C764"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podmiotów wpisanych do rejestru REGON na 1 000 ludności (podmioty)</w:t>
            </w:r>
          </w:p>
        </w:tc>
        <w:tc>
          <w:tcPr>
            <w:tcW w:w="942" w:type="pct"/>
            <w:vAlign w:val="center"/>
          </w:tcPr>
          <w:p w14:paraId="2CBE2464"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podmiotów wpisanych do rejestru REGON na 1 000 ludności w wieku produkcyjnym (podmioty)</w:t>
            </w:r>
          </w:p>
        </w:tc>
      </w:tr>
      <w:tr w:rsidR="003F2001" w:rsidRPr="003F2001" w14:paraId="493386D4"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71821FEE"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942" w:type="pct"/>
            <w:noWrap/>
            <w:vAlign w:val="center"/>
          </w:tcPr>
          <w:p w14:paraId="280FF22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1 934</w:t>
            </w:r>
          </w:p>
        </w:tc>
        <w:tc>
          <w:tcPr>
            <w:tcW w:w="943" w:type="pct"/>
            <w:vAlign w:val="center"/>
          </w:tcPr>
          <w:p w14:paraId="06C9DCC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10,1%</w:t>
            </w:r>
          </w:p>
        </w:tc>
        <w:tc>
          <w:tcPr>
            <w:tcW w:w="943" w:type="pct"/>
            <w:vAlign w:val="center"/>
          </w:tcPr>
          <w:p w14:paraId="09265AA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133</w:t>
            </w:r>
          </w:p>
        </w:tc>
        <w:tc>
          <w:tcPr>
            <w:tcW w:w="942" w:type="pct"/>
            <w:vAlign w:val="center"/>
          </w:tcPr>
          <w:p w14:paraId="1F70E5F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231,0</w:t>
            </w:r>
          </w:p>
        </w:tc>
      </w:tr>
      <w:tr w:rsidR="003F2001" w:rsidRPr="003F2001" w14:paraId="6098CC68"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58C85924"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942" w:type="pct"/>
            <w:noWrap/>
            <w:vAlign w:val="center"/>
          </w:tcPr>
          <w:p w14:paraId="1910AA0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1 808</w:t>
            </w:r>
          </w:p>
        </w:tc>
        <w:tc>
          <w:tcPr>
            <w:tcW w:w="943" w:type="pct"/>
            <w:vAlign w:val="center"/>
          </w:tcPr>
          <w:p w14:paraId="2F5769E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20,0%</w:t>
            </w:r>
          </w:p>
        </w:tc>
        <w:tc>
          <w:tcPr>
            <w:tcW w:w="943" w:type="pct"/>
            <w:vAlign w:val="center"/>
          </w:tcPr>
          <w:p w14:paraId="4786352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81</w:t>
            </w:r>
          </w:p>
        </w:tc>
        <w:tc>
          <w:tcPr>
            <w:tcW w:w="942" w:type="pct"/>
            <w:vAlign w:val="center"/>
          </w:tcPr>
          <w:p w14:paraId="02B1230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136,3</w:t>
            </w:r>
          </w:p>
        </w:tc>
      </w:tr>
      <w:tr w:rsidR="003F2001" w:rsidRPr="003F2001" w14:paraId="506DDE51"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30" w:type="pct"/>
            <w:shd w:val="clear" w:color="auto" w:fill="F2F2F2"/>
            <w:noWrap/>
            <w:vAlign w:val="center"/>
            <w:hideMark/>
          </w:tcPr>
          <w:p w14:paraId="60E692F7"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942" w:type="pct"/>
            <w:shd w:val="clear" w:color="auto" w:fill="F2F2F2"/>
            <w:noWrap/>
            <w:vAlign w:val="center"/>
          </w:tcPr>
          <w:p w14:paraId="08A0EEC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1 624</w:t>
            </w:r>
          </w:p>
        </w:tc>
        <w:tc>
          <w:tcPr>
            <w:tcW w:w="943" w:type="pct"/>
            <w:shd w:val="clear" w:color="auto" w:fill="F2F2F2"/>
            <w:vAlign w:val="center"/>
          </w:tcPr>
          <w:p w14:paraId="20F4914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21,7%</w:t>
            </w:r>
          </w:p>
        </w:tc>
        <w:tc>
          <w:tcPr>
            <w:tcW w:w="943" w:type="pct"/>
            <w:shd w:val="clear" w:color="auto" w:fill="F2F2F2"/>
            <w:vAlign w:val="center"/>
          </w:tcPr>
          <w:p w14:paraId="6176DE0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100</w:t>
            </w:r>
          </w:p>
        </w:tc>
        <w:tc>
          <w:tcPr>
            <w:tcW w:w="942" w:type="pct"/>
            <w:shd w:val="clear" w:color="auto" w:fill="F2F2F2"/>
            <w:vAlign w:val="center"/>
          </w:tcPr>
          <w:p w14:paraId="282FE4E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171,5</w:t>
            </w:r>
          </w:p>
        </w:tc>
      </w:tr>
      <w:tr w:rsidR="003F2001" w:rsidRPr="003F2001" w14:paraId="32633C76"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21F6A630"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942" w:type="pct"/>
            <w:noWrap/>
            <w:vAlign w:val="center"/>
          </w:tcPr>
          <w:p w14:paraId="0E52545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1 411</w:t>
            </w:r>
          </w:p>
        </w:tc>
        <w:tc>
          <w:tcPr>
            <w:tcW w:w="943" w:type="pct"/>
            <w:vAlign w:val="center"/>
          </w:tcPr>
          <w:p w14:paraId="077A130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8,1%</w:t>
            </w:r>
          </w:p>
        </w:tc>
        <w:tc>
          <w:tcPr>
            <w:tcW w:w="943" w:type="pct"/>
            <w:vAlign w:val="center"/>
          </w:tcPr>
          <w:p w14:paraId="7137C3D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103</w:t>
            </w:r>
          </w:p>
        </w:tc>
        <w:tc>
          <w:tcPr>
            <w:tcW w:w="942" w:type="pct"/>
            <w:vAlign w:val="center"/>
          </w:tcPr>
          <w:p w14:paraId="0360C49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179,5</w:t>
            </w:r>
          </w:p>
        </w:tc>
      </w:tr>
      <w:tr w:rsidR="003F2001" w:rsidRPr="003F2001" w14:paraId="053CDBDD"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24133FA7"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942" w:type="pct"/>
            <w:noWrap/>
            <w:vAlign w:val="center"/>
          </w:tcPr>
          <w:p w14:paraId="117DB9C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1 956</w:t>
            </w:r>
          </w:p>
        </w:tc>
        <w:tc>
          <w:tcPr>
            <w:tcW w:w="943" w:type="pct"/>
            <w:vAlign w:val="center"/>
          </w:tcPr>
          <w:p w14:paraId="1F4C74B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17,6%</w:t>
            </w:r>
          </w:p>
        </w:tc>
        <w:tc>
          <w:tcPr>
            <w:tcW w:w="943" w:type="pct"/>
            <w:vAlign w:val="center"/>
          </w:tcPr>
          <w:p w14:paraId="5326422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102</w:t>
            </w:r>
          </w:p>
        </w:tc>
        <w:tc>
          <w:tcPr>
            <w:tcW w:w="942" w:type="pct"/>
            <w:vAlign w:val="center"/>
          </w:tcPr>
          <w:p w14:paraId="7DC4E2C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182,5</w:t>
            </w:r>
          </w:p>
        </w:tc>
      </w:tr>
    </w:tbl>
    <w:p w14:paraId="0ACB7299"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39F80BB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Biorąc pod uwagę podział podmiotów według </w:t>
      </w:r>
      <w:r w:rsidRPr="003F2001">
        <w:rPr>
          <w:rFonts w:eastAsia="Times New Roman" w:cs="Times New Roman"/>
          <w:b/>
          <w:bCs/>
          <w:color w:val="4D160F"/>
          <w:kern w:val="0"/>
          <w:szCs w:val="20"/>
          <w:lang w:bidi="en-US"/>
          <w14:ligatures w14:val="none"/>
        </w:rPr>
        <w:t>sekcji Polskiej Klasyfikacji Działalności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(PKD)</w:t>
      </w:r>
      <w:r w:rsidRPr="003F2001">
        <w:rPr>
          <w:rFonts w:eastAsia="Times New Roman" w:cs="Times New Roman"/>
          <w:kern w:val="0"/>
          <w:szCs w:val="20"/>
          <w:vertAlign w:val="superscript"/>
          <w:lang w:bidi="en-US"/>
          <w14:ligatures w14:val="none"/>
        </w:rPr>
        <w:footnoteReference w:id="6"/>
      </w:r>
      <w:r w:rsidRPr="003F2001">
        <w:rPr>
          <w:rFonts w:eastAsia="Times New Roman" w:cs="Times New Roman"/>
          <w:kern w:val="0"/>
          <w:szCs w:val="20"/>
          <w:lang w:bidi="en-US"/>
          <w14:ligatures w14:val="none"/>
        </w:rPr>
        <w:t xml:space="preserve"> na terenie Gminy Opole Lubelskie najwięcej podmiotów prowadziło działalność w </w:t>
      </w:r>
      <w:r w:rsidRPr="003F2001">
        <w:rPr>
          <w:rFonts w:eastAsia="Times New Roman" w:cs="Times New Roman"/>
          <w:b/>
          <w:bCs/>
          <w:color w:val="4D160F"/>
          <w:kern w:val="0"/>
          <w:szCs w:val="20"/>
          <w:lang w:bidi="en-US"/>
          <w14:ligatures w14:val="none"/>
        </w:rPr>
        <w:t>Sekcji G „Handel hurtowy i detaliczny; naprawa pojazdów samochodowych”</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 24,7%. W tej grupie najliczniej reprezentowane były firmy z działu 47 – „Handel detaliczny, z wyłączeniem handlu detalicznego pojazdami samochodowymi”, które stanowiły 58,1% podmiotów w sekcji. Znacznie mniej przedsiębiorstw prowadziło działalność w zakresie handlu hurtowego, z wyłączeniem handlu pojazdami samochodowymi (dział 46) – 23,9% oraz handlu hurtowego i detalicznego pojazdami samochodowymi oraz naprawy pojazdów samochodowych (dział 45) – 18,0%. Drugą pod względem liczebności grupę jednostek gospodarczych na terenie gminy tworzyły przedsiębiorstwa z </w:t>
      </w:r>
      <w:r w:rsidRPr="003F2001">
        <w:rPr>
          <w:rFonts w:eastAsia="Times New Roman" w:cs="Times New Roman"/>
          <w:b/>
          <w:bCs/>
          <w:color w:val="4D160F"/>
          <w:kern w:val="0"/>
          <w:szCs w:val="20"/>
          <w:lang w:bidi="en-US"/>
          <w14:ligatures w14:val="none"/>
        </w:rPr>
        <w:t>Sekcji F „Budownictwo”</w:t>
      </w:r>
      <w:r w:rsidRPr="003F2001">
        <w:rPr>
          <w:rFonts w:eastAsia="Times New Roman" w:cs="Times New Roman"/>
          <w:kern w:val="0"/>
          <w:szCs w:val="20"/>
          <w:lang w:bidi="en-US"/>
          <w14:ligatures w14:val="none"/>
        </w:rPr>
        <w:t xml:space="preserve">, które stanowiły 14,1% ogółu firm działających na tym obszarze. Kolejno największa liczba podmiotów prowadziła działalność w Sekcjach S „Pozostała działalność usługowa” oraz T „Gospodarstwa domowe zatrudniające pracowników; gospodarstwa domowe produkujące wyroby i świadczące usługi na własne potrzeby” – 9,0%, w Sekcji H „Transport i gospodarka magazynowa” – 7,7%, Sekcji M </w:t>
      </w:r>
      <w:r w:rsidRPr="003F2001">
        <w:rPr>
          <w:rFonts w:eastAsia="Times New Roman" w:cs="Times New Roman"/>
          <w:kern w:val="0"/>
          <w:szCs w:val="20"/>
          <w:lang w:bidi="en-US"/>
          <w14:ligatures w14:val="none"/>
        </w:rPr>
        <w:lastRenderedPageBreak/>
        <w:t xml:space="preserve">„Działalność profesjonalna, naukowa i techniczna” – 7,5%, Sekcji C „Przetwórstwo przemysłowe” – 7,3% oraz Sekcji Q „Opieka zdrowotna i pomoc społeczna” – 6,4%. </w:t>
      </w:r>
    </w:p>
    <w:p w14:paraId="7BE6EEF4"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Warto zauważyć, że 18,5% podmiotów prowadzących działalność w ramach </w:t>
      </w:r>
      <w:r w:rsidRPr="003F2001">
        <w:rPr>
          <w:rFonts w:eastAsia="Times New Roman" w:cs="Times New Roman"/>
          <w:b/>
          <w:bCs/>
          <w:color w:val="4D160F"/>
          <w:kern w:val="0"/>
          <w:szCs w:val="20"/>
          <w:lang w:bidi="en-US"/>
          <w14:ligatures w14:val="none"/>
        </w:rPr>
        <w:t>Sekcji C „Przetwórstwo przemysłowe”</w:t>
      </w:r>
      <w:r w:rsidRPr="003F2001">
        <w:rPr>
          <w:rFonts w:eastAsia="Times New Roman" w:cs="Times New Roman"/>
          <w:kern w:val="0"/>
          <w:szCs w:val="20"/>
          <w:lang w:bidi="en-US"/>
          <w14:ligatures w14:val="none"/>
        </w:rPr>
        <w:t xml:space="preserve"> zajmowało się produkcją metalowych wyrobów gotowych, z wyłączeniem maszyn i urządzeń (dział 25), 16,0% produkcją artykułów spożywczych (dział 10), 8,4% - produkcją wyrobów z drewna oraz korka, z wyłączeniem mebli; produkcją wyrobów ze słomy i materiałów używanych do wyplatania (dział 16), 8,4% - produkcją mebli (dział 31), 8,4% - pozostałą produkcją wyrobów (dział 32), 8,4% - naprawą, konserwacją i instalowaniem maszyn i urządzeń, w tym metalowych wyborów gotowych (dział 33). Ponadto 7,6% prowadziło działalność w zakresie poligrafii i reprodukcji zapisanych nośników informacji (dział 18), a 7,6% produkcją wyrobów z pozostałych mineralnych surowców niemetalicznych (dział 23).</w:t>
      </w:r>
    </w:p>
    <w:p w14:paraId="656A07AA" w14:textId="4FFB0158"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01" w:name="_Toc189166382"/>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26</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Podmioty gospodarki narodowej na terenie Gminy Opole Lubelskie według sekcji PKD (%)</w:t>
      </w:r>
      <w:bookmarkEnd w:id="101"/>
    </w:p>
    <w:p w14:paraId="2FB4FCD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324A7FA0" wp14:editId="6F0ED877">
            <wp:extent cx="5759450" cy="2699385"/>
            <wp:effectExtent l="0" t="0" r="0" b="5715"/>
            <wp:docPr id="23" name="Wykres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55B101"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bookmarkStart w:id="102" w:name="_Hlk88993934"/>
      <w:r w:rsidRPr="003F2001">
        <w:rPr>
          <w:rFonts w:eastAsia="Times New Roman" w:cs="Times New Roman"/>
          <w:kern w:val="0"/>
          <w:sz w:val="16"/>
          <w:szCs w:val="16"/>
          <w:lang w:bidi="en-US"/>
          <w14:ligatures w14:val="none"/>
        </w:rPr>
        <w:t>Źródło: Opracowanie własne na podstawie danych BDL GUS.</w:t>
      </w:r>
    </w:p>
    <w:bookmarkEnd w:id="102"/>
    <w:p w14:paraId="6B7463D4"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Biorąc pod uwagę liczbę podmiotów zaewidencjonowanych w rejestrze REGON, na obszarze Gminy Opole Lubelskie zaobserwowano ponadprzeciętną koncentrację podmiotów prowadzących działalność w dziale 11 „Produkcja napojów” Sekcji C oraz dziale 3 „Rybactwo” Sekcji A – współczynnik lokalizacji (LQ. – Location Quotient)</w:t>
      </w:r>
      <w:r w:rsidRPr="003F2001">
        <w:rPr>
          <w:rFonts w:eastAsia="Times New Roman" w:cs="Times New Roman"/>
          <w:kern w:val="0"/>
          <w:szCs w:val="20"/>
          <w:vertAlign w:val="superscript"/>
          <w:lang w:bidi="en-US"/>
          <w14:ligatures w14:val="none"/>
        </w:rPr>
        <w:footnoteReference w:id="7"/>
      </w:r>
      <w:r w:rsidRPr="003F2001">
        <w:rPr>
          <w:rFonts w:eastAsia="Times New Roman" w:cs="Times New Roman"/>
          <w:kern w:val="0"/>
          <w:szCs w:val="20"/>
          <w:lang w:bidi="en-US"/>
          <w14:ligatures w14:val="none"/>
        </w:rPr>
        <w:t xml:space="preserve"> obliczony dla przedmiotowych działów osiągnął wartość odpowiednio 4,4 oraz 3,4 w odniesieniu do województwa lubelskiego, co świadczy o lokalnej specjalizacji sektorowej gminy. Ponadprzeciętną koncentrację podmiotów w Sekcji C odnotowano w ramach działu 29 „Produkcja pojazdów samochodowych, przyczep i naczep, z wyłączeniem motocykli” (współczynnik lokalizacji to 3,0) oraz dziale 18 „Poligrafia i reprodukcja zapisanych nośników informacji” (współczynnik lokalizacji to 2,2). </w:t>
      </w:r>
    </w:p>
    <w:p w14:paraId="6B26AE8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latach 2014-2023 w strukturze podmiotów według sekcji PKD zaszły nieznaczne zmiany. W porównaniu do roku 2014 </w:t>
      </w:r>
      <w:r w:rsidRPr="003F2001">
        <w:rPr>
          <w:rFonts w:eastAsia="Times New Roman" w:cs="Times New Roman"/>
          <w:b/>
          <w:bCs/>
          <w:color w:val="4D160F"/>
          <w:kern w:val="0"/>
          <w:szCs w:val="20"/>
          <w:lang w:bidi="en-US"/>
          <w14:ligatures w14:val="none"/>
        </w:rPr>
        <w:t>największy wzrost liczby podmiotów</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odnotowano w sekcjach:</w:t>
      </w:r>
    </w:p>
    <w:p w14:paraId="460179AF" w14:textId="77777777" w:rsidR="003F2001" w:rsidRPr="003F2001" w:rsidRDefault="003F2001">
      <w:pPr>
        <w:numPr>
          <w:ilvl w:val="0"/>
          <w:numId w:val="56"/>
        </w:numPr>
        <w:spacing w:after="0" w:line="276" w:lineRule="auto"/>
        <w:ind w:left="426" w:hanging="284"/>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F „Budownictwo” – wzrost o 100 podmiotów (77,5%), głównie za sprawą znacznej liczby nowych podmiotów zarejestrowanych na obszarze wiejskim gminy (77);</w:t>
      </w:r>
    </w:p>
    <w:p w14:paraId="41A5FAED" w14:textId="77777777" w:rsidR="003F2001" w:rsidRPr="003F2001" w:rsidRDefault="003F2001">
      <w:pPr>
        <w:numPr>
          <w:ilvl w:val="0"/>
          <w:numId w:val="56"/>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 „Pozostała działalność usługowa” oraz T „Gospodarstwa domowe zatrudniające pracowników; gospodarstwa domowe produkujące wyroby i świadczące usługi na własne potrzeby” – wzrost o 58 podmiotów (65,9%), w tym 27 podmiotów rozpoczęło działalność na terenie miasta, a 31 - na obszarze wiejskim gminy;</w:t>
      </w:r>
    </w:p>
    <w:p w14:paraId="17983376" w14:textId="77777777" w:rsidR="003F2001" w:rsidRPr="003F2001" w:rsidRDefault="003F2001">
      <w:pPr>
        <w:numPr>
          <w:ilvl w:val="0"/>
          <w:numId w:val="56"/>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M „Działalność profesjonalna, naukowa i techniczna” – wzrost o 43 podmioty (55,1%), w tym 30 podmiotów rozpoczęło działalność na terenie miasta, a 13 – na obszarze wiejskim gminy;</w:t>
      </w:r>
    </w:p>
    <w:p w14:paraId="44FAF5C8" w14:textId="77777777" w:rsidR="003F2001" w:rsidRPr="003F2001" w:rsidRDefault="003F2001">
      <w:pPr>
        <w:numPr>
          <w:ilvl w:val="0"/>
          <w:numId w:val="56"/>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J „Informacja i komunikacja” – wzrost o 29 podmiotów (147,4%), głównie za sprawą znacznej liczby nowych podmiotów zarejestrowanych na terenie miasta (19);</w:t>
      </w:r>
    </w:p>
    <w:p w14:paraId="6AB3D12C" w14:textId="77777777" w:rsidR="003F2001" w:rsidRPr="003F2001" w:rsidRDefault="003F2001">
      <w:pPr>
        <w:numPr>
          <w:ilvl w:val="0"/>
          <w:numId w:val="56"/>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C „Przetwórstwo przemysłowe” – wzrost o 23 podmioty (24,0%),</w:t>
      </w:r>
      <w:r w:rsidRPr="003F2001">
        <w:rPr>
          <w:rFonts w:eastAsia="Times New Roman" w:cs="Times New Roman"/>
          <w:color w:val="FF0000"/>
          <w:kern w:val="0"/>
          <w:szCs w:val="20"/>
          <w:lang w:bidi="en-US"/>
          <w14:ligatures w14:val="none"/>
        </w:rPr>
        <w:t xml:space="preserve"> </w:t>
      </w:r>
      <w:r w:rsidRPr="003F2001">
        <w:rPr>
          <w:rFonts w:eastAsia="Times New Roman" w:cs="Times New Roman"/>
          <w:kern w:val="0"/>
          <w:szCs w:val="20"/>
          <w:lang w:bidi="en-US"/>
          <w14:ligatures w14:val="none"/>
        </w:rPr>
        <w:t>przy czym aż 21 podmiotów rozpoczęło działalność na terenie wiejskim gminy;</w:t>
      </w:r>
    </w:p>
    <w:p w14:paraId="0F6C64D2" w14:textId="77777777" w:rsidR="003F2001" w:rsidRPr="003F2001" w:rsidRDefault="003F2001">
      <w:pPr>
        <w:numPr>
          <w:ilvl w:val="0"/>
          <w:numId w:val="56"/>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Q „Opieka zdrowotna i pomoc społeczna” – wzrost o 23 podmioty (28,4%), w tym 17 podmiotów rozpoczęło działalność na terenie miasta, a 6 - na obszarze wiejskim gminy;</w:t>
      </w:r>
    </w:p>
    <w:p w14:paraId="4C648BFA" w14:textId="77777777" w:rsidR="003F2001" w:rsidRPr="003F2001" w:rsidRDefault="003F2001">
      <w:pPr>
        <w:numPr>
          <w:ilvl w:val="0"/>
          <w:numId w:val="56"/>
        </w:numPr>
        <w:spacing w:after="160" w:line="276" w:lineRule="auto"/>
        <w:ind w:left="426" w:hanging="284"/>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H „Transport i gospodarka magazynowa” – wzrost o 19 podmiotów (17,9%), przy czym nowe podmioty rozpoczynały prowadzenie działalności na terenie wiejskim (20), natomiast na terenie miasta odnotowano nieznaczny spadek podmiotów prowadzących działalność w tej sekcji (1 podmiot).</w:t>
      </w:r>
    </w:p>
    <w:p w14:paraId="485ADEC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Spadek liczby podmiotów</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odnotowano jedynie w pięciu sekcjach:</w:t>
      </w:r>
    </w:p>
    <w:p w14:paraId="6121FDF1" w14:textId="77777777" w:rsidR="003F2001" w:rsidRPr="003F2001" w:rsidRDefault="003F2001">
      <w:pPr>
        <w:numPr>
          <w:ilvl w:val="0"/>
          <w:numId w:val="57"/>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G „Handel hurtowy i detaliczny; naprawa pojazdów samochodowych” – spadek o 47 podmiotów (10,5%), przy czym należy zauważyć, że na obszarze miasta liczba podmiotów zmniejszyła się o 54, natomiast na terenie wiejskim nastąpił wzrost liczby podmiotów o 7 firm;</w:t>
      </w:r>
    </w:p>
    <w:p w14:paraId="7017EB7A" w14:textId="77777777" w:rsidR="003F2001" w:rsidRPr="003F2001" w:rsidRDefault="003F2001">
      <w:pPr>
        <w:numPr>
          <w:ilvl w:val="0"/>
          <w:numId w:val="57"/>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A „Rolnictwo, leśnictwo, łowiectwo i rybactwo” – spadek o 5 podmiotów (15,6%), przy czym spadek widoczny był wyłącznie na obszarze wiejskim gminy;</w:t>
      </w:r>
    </w:p>
    <w:p w14:paraId="60B19ADC" w14:textId="77777777" w:rsidR="003F2001" w:rsidRPr="003F2001" w:rsidRDefault="003F2001">
      <w:pPr>
        <w:numPr>
          <w:ilvl w:val="0"/>
          <w:numId w:val="57"/>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K „Działalność finansowa i ubezpieczeniowa” – spadek o 2 podmioty (6,1%);</w:t>
      </w:r>
    </w:p>
    <w:p w14:paraId="188EC75C" w14:textId="77777777" w:rsidR="003F2001" w:rsidRPr="003F2001" w:rsidRDefault="003F2001">
      <w:pPr>
        <w:numPr>
          <w:ilvl w:val="0"/>
          <w:numId w:val="57"/>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B „Górnictwo i wydobywanie” – spadek o 1 podmiot (25,0%);</w:t>
      </w:r>
    </w:p>
    <w:p w14:paraId="3882DB4E" w14:textId="77777777" w:rsidR="003F2001" w:rsidRPr="003F2001" w:rsidRDefault="003F2001">
      <w:pPr>
        <w:numPr>
          <w:ilvl w:val="0"/>
          <w:numId w:val="57"/>
        </w:numPr>
        <w:spacing w:after="160" w:line="276" w:lineRule="auto"/>
        <w:ind w:left="426" w:hanging="284"/>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 „Administracja publiczna i obrona narodowa; obowiązkowe zabezpieczenia społeczne” – spadek o 1 podmiot (4,2%).</w:t>
      </w:r>
    </w:p>
    <w:p w14:paraId="0F2412B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Zdecydowana większość – 95,6% - zarejestrowanych podmiotów działała w sektorze prywatnym. Najliczniejszą grupę stanowiły </w:t>
      </w:r>
      <w:r w:rsidRPr="003F2001">
        <w:rPr>
          <w:rFonts w:eastAsia="Times New Roman" w:cs="Times New Roman"/>
          <w:b/>
          <w:bCs/>
          <w:color w:val="4D160F"/>
          <w:kern w:val="0"/>
          <w:szCs w:val="20"/>
          <w:lang w:bidi="en-US"/>
          <w14:ligatures w14:val="none"/>
        </w:rPr>
        <w:t>osoby fizyczne prowadzące działalność gospodarczą</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(bez osób fizycznych prowadzących wyłącznie indywidualne gospodarstwa rolne) – ich udział wyniósł 80,2% ogółu podmiotów prywatnych. Mniejszy udział w rejestrze miały stowarzyszenia i organizacje społeczne – 4,4%, spółki handlowe – 4,2%, spółki handlowe z udziałem kapitału zagranicznego – 0,3%, fundacje – 0,3% i spółdzielnie – 0,2%. Struktura podmiotów według form prawnych na analizowanym obszarze, w porównaniu ze strukturą w województwie lubelskim, wykazała wyższy udział osób fizycznych prowadzących działalność gospodarczą (o 1,8 pkt proc.) oraz stowarzyszeń i organizacji społecznych (o 0,6 pkt proc.). W podziale terytorialnym wyraźna jest </w:t>
      </w:r>
      <w:r w:rsidRPr="003F2001">
        <w:rPr>
          <w:rFonts w:eastAsia="Times New Roman" w:cs="Times New Roman"/>
          <w:b/>
          <w:bCs/>
          <w:color w:val="4D160F"/>
          <w:kern w:val="0"/>
          <w:szCs w:val="20"/>
          <w:lang w:bidi="en-US"/>
          <w14:ligatures w14:val="none"/>
        </w:rPr>
        <w:t>koncentracja podmiotów na terenie miasta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(61,9% osób prowadzących działalność gospodarczą, 76,9% spółek handlowych, 75,0% spółek z udziałem kapitału zagranicznego, 100,0% spółdzielni, 75,0% fundacji oraz 51,5% stowarzyszeń i organizacji społecznych).</w:t>
      </w:r>
    </w:p>
    <w:p w14:paraId="75EF702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latach 2014-2023 liczba osób prowadzących działalność gospodarczą na terenie Gminy Opole Lubelskie systematycznie się zwiększała i w stosunku do 2014 r. wzrosła o 236 osób (23,4%), przy czym zdecydowanie większą dynamikę wzrostu można zaobserwować na terenie wiejskim. W odniesieniu do roku 2014 zauważalny jest również znaczący wzrost liczby </w:t>
      </w:r>
      <w:r w:rsidRPr="003F2001">
        <w:rPr>
          <w:rFonts w:eastAsia="Times New Roman" w:cs="Times New Roman"/>
          <w:kern w:val="0"/>
          <w:szCs w:val="20"/>
          <w:lang w:bidi="en-US"/>
          <w14:ligatures w14:val="none"/>
        </w:rPr>
        <w:lastRenderedPageBreak/>
        <w:t>stowarzyszeń i organizacji społecznych prowadzących działalność na obszarze gminy – o 21 podmiotów (44,7%) oraz spółek handlowych – o 14 podmiotów (27,5%). Zwiększyła się również liczba fundacji – o 1 podmiot (33,3%). W badanym okresie odnotowano natomiast spadek liczby spółek handlowych z udziałem kapitału zagranicznego o 2 podmioty (33,3%) oraz spółdzielni – o 5 podmiotów (62,5%).</w:t>
      </w:r>
    </w:p>
    <w:p w14:paraId="7DADF79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Formy prawne prowadzonej działalności przekładają się na </w:t>
      </w:r>
      <w:r w:rsidRPr="003F2001">
        <w:rPr>
          <w:rFonts w:eastAsia="Times New Roman" w:cs="Times New Roman"/>
          <w:b/>
          <w:bCs/>
          <w:color w:val="4D160F"/>
          <w:kern w:val="0"/>
          <w:szCs w:val="20"/>
          <w:lang w:bidi="en-US"/>
          <w14:ligatures w14:val="none"/>
        </w:rPr>
        <w:t>strukturę wielkościową przedsiębiorstw</w:t>
      </w:r>
      <w:r w:rsidRPr="003F2001">
        <w:rPr>
          <w:rFonts w:eastAsia="Times New Roman" w:cs="Times New Roman"/>
          <w:kern w:val="0"/>
          <w:szCs w:val="20"/>
          <w:lang w:bidi="en-US"/>
          <w14:ligatures w14:val="none"/>
        </w:rPr>
        <w:t xml:space="preserve">. W strukturze podmiotów gospodarki narodowej Gminy Opole Lubelskie zdecydowanie dominowały </w:t>
      </w:r>
      <w:r w:rsidRPr="003F2001">
        <w:rPr>
          <w:rFonts w:eastAsia="Times New Roman" w:cs="Times New Roman"/>
          <w:b/>
          <w:bCs/>
          <w:color w:val="4D160F"/>
          <w:kern w:val="0"/>
          <w:szCs w:val="20"/>
          <w:lang w:bidi="en-US"/>
          <w14:ligatures w14:val="none"/>
        </w:rPr>
        <w:t>mikroprzedsiębiorstwa o liczbie pracujących do 9 osób</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stanowiły one 97,0% zarejestrowanych podmiotów. Podmioty małe, liczące od 10 do 49 pracujących, obejmowały 2,5%, a jednostki średnie od 50 do 249 pracujących stanowiły 0,4% wszystkich podmiotów. Ponadto w 2023 r., na terenie gminy zarejestrowany był 1 podmiot zatrudniający ponad 250 pracowników. Zbliżone wartości dotyczące struktury wielkościowej podmiotów odnotowano w województwie lubelskim i powiecie opolskim.</w:t>
      </w:r>
    </w:p>
    <w:p w14:paraId="1600F01E" w14:textId="7F9B7C2D" w:rsidR="003F2001" w:rsidRPr="003F2001" w:rsidRDefault="003F2001" w:rsidP="00941F1D">
      <w:pPr>
        <w:pStyle w:val="Nagwek2"/>
      </w:pPr>
      <w:bookmarkStart w:id="103" w:name="_Toc173435454"/>
      <w:bookmarkStart w:id="104" w:name="_Toc191908769"/>
      <w:r>
        <w:t xml:space="preserve">2.4.4 </w:t>
      </w:r>
      <w:r w:rsidRPr="003F2001">
        <w:t>Tereny inwestycyjne</w:t>
      </w:r>
      <w:bookmarkEnd w:id="103"/>
      <w:bookmarkEnd w:id="104"/>
    </w:p>
    <w:p w14:paraId="3D087DA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Opole Lubelskie jest gminą, która aktywie uczestniczy w tworzeniu warunków dla rozwoju przedsiębiorczości i zwiększenia atrakcyjności inwestycyjnej. Przedsiębiorcom poszukującym dogodnej lokalizacji dla działań biznesowych Opole Lubelskie oferuje prawie 5 ha uzbrojonych terenów inwestycyjnych w ramach utworzonej w 2020 r. </w:t>
      </w:r>
      <w:r w:rsidRPr="003F2001">
        <w:rPr>
          <w:rFonts w:eastAsia="Times New Roman" w:cs="Times New Roman"/>
          <w:b/>
          <w:bCs/>
          <w:color w:val="4D160F"/>
          <w:kern w:val="0"/>
          <w:szCs w:val="20"/>
          <w:lang w:bidi="en-US"/>
          <w14:ligatures w14:val="none"/>
        </w:rPr>
        <w:t>Strefy Aktywności Gospodarczej</w:t>
      </w:r>
      <w:r w:rsidRPr="003F2001">
        <w:rPr>
          <w:rFonts w:eastAsia="Times New Roman" w:cs="Times New Roman"/>
          <w:kern w:val="0"/>
          <w:szCs w:val="20"/>
          <w:lang w:bidi="en-US"/>
          <w14:ligatures w14:val="none"/>
        </w:rPr>
        <w:t xml:space="preserve">. Podstrefa ekonomiczna obejmuje tereny stanowiące własność Gminy Opole Lubelskie oraz tereny stanowiące własność osób fizycznych, zlokalizowane przy ul. Owocowej, Kwiatowej oraz Garbarskiej i Górnej. Granice strefy aktywności gospodarczej zostały ustalone na mocy uchwały nr XX/166/2020 Rady Miasta Opole Lubelskie z dnia 9 lipca 2020 r. w sprawie utworzenia Strefy Aktywności Gospodarczej w Opolu Lubelskim. Dzięki dofinansowaniu pozyskanemu ze środków Regionalnego Programu Operacyjnego Województwa Lubelskiego na lata 2014-2020 strefa została uzbrojona we wszelkie niezbędne media: kanalizację sanitarną i deszczową, przyłącza energetyczne, gazowe i teleinformatyczne. Tereny przeznaczone są pod działalność w zakresie produkcji, w tym produkcji energii z promieniowania słonecznego, usług, logistyki, dystrybucji, składowania, magazynowania. </w:t>
      </w:r>
    </w:p>
    <w:p w14:paraId="09C91F7A" w14:textId="77777777" w:rsidR="003F2001" w:rsidRPr="003F2001" w:rsidRDefault="003F2001" w:rsidP="003F2001">
      <w:pPr>
        <w:spacing w:line="276" w:lineRule="auto"/>
        <w:rPr>
          <w:rFonts w:eastAsia="Times New Roman" w:cs="Times New Roman"/>
          <w:color w:val="FF0000"/>
          <w:kern w:val="0"/>
          <w:szCs w:val="20"/>
          <w:lang w:bidi="en-US"/>
          <w14:ligatures w14:val="none"/>
        </w:rPr>
      </w:pPr>
      <w:r w:rsidRPr="003F2001">
        <w:rPr>
          <w:rFonts w:eastAsia="Times New Roman" w:cs="Times New Roman"/>
          <w:kern w:val="0"/>
          <w:szCs w:val="20"/>
          <w:lang w:bidi="en-US"/>
          <w14:ligatures w14:val="none"/>
        </w:rPr>
        <w:t xml:space="preserve">W kontekście potencjału inwestycyjnego obszaru istotne jest przygotowanie szeregu udogodnień, ze strony władz Gminy, w postaci ułatwienia w przygotowaniu terenów pod inwestycje oraz możliwość skorzystania z </w:t>
      </w:r>
      <w:r w:rsidRPr="003F2001">
        <w:rPr>
          <w:rFonts w:eastAsia="Times New Roman" w:cs="Times New Roman"/>
          <w:b/>
          <w:bCs/>
          <w:color w:val="4D160F"/>
          <w:kern w:val="0"/>
          <w:szCs w:val="20"/>
          <w:lang w:bidi="en-US"/>
          <w14:ligatures w14:val="none"/>
        </w:rPr>
        <w:t>ulg i zwolnień podatkowych</w:t>
      </w:r>
      <w:r w:rsidRPr="003F2001">
        <w:rPr>
          <w:rFonts w:eastAsia="Times New Roman" w:cs="Times New Roman"/>
          <w:kern w:val="0"/>
          <w:szCs w:val="20"/>
          <w:lang w:bidi="en-US"/>
          <w14:ligatures w14:val="none"/>
        </w:rPr>
        <w:t>. Na mocy uchwały nr XVII/146/2020 Rady Miejskiej w Opolu Lubelskim z dnia 24 kwietnia 2020 r. w sprawie: zwolnienia z podatku od nieruchomości w ramach pomocy de minimis nieruchomości położonych w Strefie Aktywności Gospodarczej w Opolu Lubelskim udziela się przedsiębiorcom pomocy regionalnej w formie zwolnienia od podatku od nieruchomości gruntów, budynków i budowli lub ich części związanych z prowadzeniem działalności gospodarczej, w wyniku której utworzone zostaną nowe miejsca pracy. Zwolnienie przysługuje na okres: od 1 roku – do 5 lat w zależności od liczby utworzonych nowych miejsc pracy. Jednocześnie inwestorzy mogą liczyć na fachowe doradztwo oraz pomoc ze strony instytucji samorządowych.</w:t>
      </w:r>
      <w:r w:rsidRPr="003F2001">
        <w:rPr>
          <w:rFonts w:eastAsia="Times New Roman" w:cs="Times New Roman"/>
          <w:color w:val="FF0000"/>
          <w:kern w:val="0"/>
          <w:szCs w:val="20"/>
          <w:lang w:bidi="en-US"/>
          <w14:ligatures w14:val="none"/>
        </w:rPr>
        <w:t xml:space="preserve"> </w:t>
      </w:r>
    </w:p>
    <w:p w14:paraId="03C93A74"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Ponadto, w ramach </w:t>
      </w:r>
      <w:r w:rsidRPr="003F2001">
        <w:rPr>
          <w:rFonts w:eastAsia="Times New Roman" w:cs="Times New Roman"/>
          <w:b/>
          <w:bCs/>
          <w:color w:val="4D160F"/>
          <w:kern w:val="0"/>
          <w:szCs w:val="20"/>
          <w:lang w:bidi="en-US"/>
          <w14:ligatures w14:val="none"/>
        </w:rPr>
        <w:t>Polskiej Strefy Inwestycji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obejmującej cały kraj w związku z realizacją nowej inwestycji, na obszarze Gminy Opole Lubelskie przez okres 15 lat możliwe jest skorzystanie z ulgi podatkowej. </w:t>
      </w:r>
      <w:r w:rsidRPr="003F2001">
        <w:rPr>
          <w:rFonts w:eastAsia="Times New Roman" w:cs="Times New Roman"/>
          <w:b/>
          <w:bCs/>
          <w:color w:val="4D160F"/>
          <w:kern w:val="0"/>
          <w:szCs w:val="20"/>
          <w:lang w:bidi="en-US"/>
          <w14:ligatures w14:val="none"/>
        </w:rPr>
        <w:t>Ulga podatkowa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jest równa iloczynowi intensywności pomocy (zależnej od wielkości i lokalizacji przedsiębiorstwa – w województwie lubelskim jest to nawet 50% dla dużych, 60% dla średnich i 70% dla mikro i małych firm) kosztów kwalifikowanych, czyli wydatków inwestycyjnych lub dwuletnich kosztów pracy nowych zatrudnionych w wyniku nowej inwestycji. Przedsiębiorcy, którzy ubiegają się o przyznanie pomocy publicznej w ramach Polskiej Strefy Inwestycji, muszą spełnić kryteria ilościowe i jakościowe. Kryteria ilościowe </w:t>
      </w:r>
      <w:r w:rsidRPr="003F2001">
        <w:rPr>
          <w:rFonts w:eastAsia="Times New Roman" w:cs="Times New Roman"/>
          <w:kern w:val="0"/>
          <w:szCs w:val="20"/>
          <w:lang w:bidi="en-US"/>
          <w14:ligatures w14:val="none"/>
        </w:rPr>
        <w:lastRenderedPageBreak/>
        <w:t>odnoszą się do minimalnych kosztów inwestycji zależnych od stopy bezrobocia powiatu, w którym inwestycja będzie realizowana (im wyższa stopa bezrobocia, tym niższy pułap wymaganej wysokości kosztów), wielkości przedsiębiorstwa i rodzaju inwestycji. Kryteria jakościowe określają natomiast wpływ nowej inwestycji na zrównoważony rozwój gospodarczy i społeczny obszaru, na którym jest ona realizowana. Spełnienie kryterium jakościowego w województwie lubelskim wymaga zdobycia co najmniej czterech punktów.</w:t>
      </w:r>
    </w:p>
    <w:p w14:paraId="59D43148" w14:textId="44DFE618" w:rsidR="003F2001" w:rsidRPr="003F2001" w:rsidRDefault="003F2001" w:rsidP="00941F1D">
      <w:pPr>
        <w:pStyle w:val="Nagwek2"/>
      </w:pPr>
      <w:bookmarkStart w:id="105" w:name="_Toc173435455"/>
      <w:bookmarkStart w:id="106" w:name="_Toc191908770"/>
      <w:r>
        <w:t xml:space="preserve">2.4.5 </w:t>
      </w:r>
      <w:r w:rsidRPr="003F2001">
        <w:t>Atrakcyjność turystyczna</w:t>
      </w:r>
      <w:bookmarkEnd w:id="105"/>
      <w:bookmarkEnd w:id="106"/>
    </w:p>
    <w:p w14:paraId="3C73796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Gmina Opole Lubelskie jest obszarem o zdecydowanie dużym potencjale turystycznym ze względu na korzystne warunki: położenie geograficzne i fizycznogeograficzne, walory krajobrazowe, czyste środowisko naturalne, stosunkowo dużą lesistość obszaru, bogatą tradycję kulturową, ciekawe zabytki oraz bogatą sieć szlaków turystycznych.</w:t>
      </w:r>
    </w:p>
    <w:p w14:paraId="3504A9D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Znaczna część terenów przyrodniczych Gminy Opole Lubelskie wchodzi w skład systemu </w:t>
      </w:r>
      <w:r w:rsidRPr="003F2001">
        <w:rPr>
          <w:rFonts w:eastAsia="Times New Roman" w:cs="Times New Roman"/>
          <w:b/>
          <w:bCs/>
          <w:color w:val="4D160F"/>
          <w:kern w:val="0"/>
          <w:szCs w:val="20"/>
          <w:lang w:bidi="en-US"/>
          <w14:ligatures w14:val="none"/>
        </w:rPr>
        <w:t>obszarów chronionych</w:t>
      </w:r>
      <w:r w:rsidRPr="003F2001">
        <w:rPr>
          <w:rFonts w:eastAsia="Times New Roman" w:cs="Times New Roman"/>
          <w:kern w:val="0"/>
          <w:szCs w:val="20"/>
          <w:lang w:bidi="en-US"/>
          <w14:ligatures w14:val="none"/>
        </w:rPr>
        <w:t>. Za szczególnie istotny i posiadający największy potencjał rozwoju uznaje się obszar Kluczkowic i Wrzelowca w rejonie Wrzelowieckiego Parku Krajobrazowego oraz obszar obejmujący dolinę rzeki Chodelki, objęty statusem Chodelskiego Obszaru Chronionego Krajobrazu. Rozwojowi turystyki sprzyja również korzystne położenie gminy – w bliskiej odległości od stolicy województwa, w sąsiedztwie znanych miejscowości wypoczynkowych: Nałęczowa i Kazimierza nad Wisłą, a także na trasie przebiegu kolejki wąskotorowej.</w:t>
      </w:r>
    </w:p>
    <w:p w14:paraId="0EF3DBD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Jednym z podstawowych elementów zagospodarowania turystycznego, w skład którego wchodzą różnego rodzaju obiekty noclegowe i urządzenia towarzyszące, pozwalające turystom na przebywanie poza miejscem stałego zamieszkania jest </w:t>
      </w:r>
      <w:r w:rsidRPr="003F2001">
        <w:rPr>
          <w:rFonts w:eastAsia="Times New Roman" w:cs="Times New Roman"/>
          <w:b/>
          <w:bCs/>
          <w:color w:val="4D160F"/>
          <w:kern w:val="0"/>
          <w:szCs w:val="20"/>
          <w:lang w:bidi="en-US"/>
          <w14:ligatures w14:val="none"/>
        </w:rPr>
        <w:t>baza noclegowa</w:t>
      </w:r>
      <w:r w:rsidRPr="003F2001">
        <w:rPr>
          <w:rFonts w:eastAsia="Times New Roman" w:cs="Times New Roman"/>
          <w:kern w:val="0"/>
          <w:szCs w:val="20"/>
          <w:lang w:bidi="en-US"/>
          <w14:ligatures w14:val="none"/>
        </w:rPr>
        <w:t>. Na bazę noclegową składa się ogół obiektów i miejsc noclegowych znajdujących się na określonym obszarze udostępnianych turystom sezonowo lub całorocznie. Charakter i struktura bazy noclegowej w znacznym stopniu zależą od uwarunkowań przyrodniczych oraz społeczno-ekonomicznych. Na zróżnicowanie bazy wpływa m.in. typ krajobrazu i warunki klimatyczne, specyficzne cechy ruchu turystycznego na danym terenie oraz charakter poszczególnych miejscowości i ich rola w recepcji ruchu turystycznego.</w:t>
      </w:r>
    </w:p>
    <w:p w14:paraId="3C45BF4A"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Na obszarze gminy w 2023 r. w Sekcji I „Działalność związana z zakwaterowaniem i usługami gastronomicznymi” działało 47 podmiotów. Warto zaznaczyć, iż w dziale 55 tej sekcji, obejmującym działalność związaną z zakwaterowaniem zarejestrowanych było jedynie 9 podmiotów. Natomiast według danych GUS (stan na dzień 31 lipca 2023 r.) na obszarze gminy zlokalizowane były jedynie </w:t>
      </w:r>
      <w:r w:rsidRPr="003F2001">
        <w:rPr>
          <w:rFonts w:eastAsia="Times New Roman" w:cs="Times New Roman"/>
          <w:b/>
          <w:bCs/>
          <w:color w:val="4D160F"/>
          <w:kern w:val="0"/>
          <w:szCs w:val="20"/>
          <w:lang w:bidi="en-US"/>
          <w14:ligatures w14:val="none"/>
        </w:rPr>
        <w:t>2 obiekty zakwaterowania zbiorowego objęte statystyką publiczną</w:t>
      </w:r>
      <w:r w:rsidRPr="003F2001">
        <w:rPr>
          <w:rFonts w:eastAsia="Times New Roman" w:cs="Times New Roman"/>
          <w:kern w:val="0"/>
          <w:szCs w:val="20"/>
          <w:lang w:bidi="en-US"/>
          <w14:ligatures w14:val="none"/>
        </w:rPr>
        <w:t xml:space="preserve">. W gminie znajdują się ponadto </w:t>
      </w:r>
      <w:r w:rsidRPr="003F2001">
        <w:rPr>
          <w:rFonts w:eastAsia="Times New Roman" w:cs="Times New Roman"/>
          <w:b/>
          <w:bCs/>
          <w:color w:val="4D160F"/>
          <w:kern w:val="0"/>
          <w:szCs w:val="20"/>
          <w:lang w:bidi="en-US"/>
          <w14:ligatures w14:val="none"/>
        </w:rPr>
        <w:t>obiekty noclegowe zakwaterowania indywidualnego</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kwatery prywatne i gospodarstwa agroturystyczne, nieobjęte statystyką publiczną, które mogą być miejscem odpoczynku oraz punktem wypadowym dla zwiedzania i korzystania z atrakcji dostępnych na tym obszarze.</w:t>
      </w:r>
    </w:p>
    <w:p w14:paraId="5AC8613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Biorąc pod uwagę obszar całego powiatu opolskiego, należy zauważyć, że w 2023 r. z 10 turystycznych obiektów noclegowych działających na jego terenie skorzystało 21 692 turystów (6. miejsce w województwie lubelskim bez miast na prawach powiatu), którym udzielono 30 038 noclegów. Sytuacja powiatu jest relatywnie niekorzystna biorąc pod uwagę wskaźniki dotyczące: miejsc noclegowych na 1 000 ludności – w 2023 r. wskaźnik ten osiągnął wartość 6,89 i uplasował powiat na 10. miejscu w regionie oraz liczby turystów korzystających z noclegów na 1 000 ludności, który wyniósł 537,29 osób, także lokując powiat na 10. miejscu wśród powiatów ziemskich. Średni czas pobytu zarówno turystów krajowych, jak i zagranicznych w turystycznych obiektach noclegowych w powiecie opolskim wynosił </w:t>
      </w:r>
      <w:r w:rsidRPr="003F2001">
        <w:rPr>
          <w:rFonts w:eastAsia="Times New Roman" w:cs="Times New Roman"/>
          <w:kern w:val="0"/>
          <w:szCs w:val="20"/>
          <w:lang w:bidi="en-US"/>
          <w14:ligatures w14:val="none"/>
        </w:rPr>
        <w:lastRenderedPageBreak/>
        <w:t>w 2023 r. przeciętnie 1,4 noclegu (ostatnie miejsce w regionie). W województwie lubelskim turyści najdłużej korzystali z noclegów w powiecie włodawskim (3,8 noclegu), puławskim (3,6 noclegu) i parczewskim (3,2 noclegu). Warto również zauważyć, że</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pobytowy charakter wypoczynku wiąże się głównie z weekendowymi lub agroturystycznymi formami spędzania czasu oraz rekreacją indywidualną na bazie zabudowy letniskowej.</w:t>
      </w:r>
    </w:p>
    <w:p w14:paraId="54461A9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Liczba turystów, którym udzielono noclegów</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na terenie powiatu opolskiego podlegała w ostatnich 10 latach znacznym wahaniom. Najwięcej turystów odwiedziło powiat w 2019 r., natomiast w roku 2020 r. – z uwagi na pandemię COVID-19, zaobserwowano bardzo duży spadek liczby odwiedzających. Pozytywnym jest fakt, że w latach 2021-2023 liczba turystów korzystających z noclegów regularnie rosła, osiągając w 2023 r. wartości zbliżone do okresu sprzed pandemii.</w:t>
      </w:r>
    </w:p>
    <w:p w14:paraId="20775273" w14:textId="38EC632B"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07" w:name="_Toc189166383"/>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27</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turystów, którym udzielono noclegów na terenie powiatu opolskiego w latach 2014-2023 (osoby)</w:t>
      </w:r>
      <w:bookmarkEnd w:id="107"/>
    </w:p>
    <w:p w14:paraId="1CA2CAB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2793480A" wp14:editId="583F7662">
            <wp:extent cx="5759450" cy="2699385"/>
            <wp:effectExtent l="0" t="0" r="0" b="5715"/>
            <wp:docPr id="24" name="Wykres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C478627"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4EF25E6F" w14:textId="77777777" w:rsidR="003F2001" w:rsidRPr="003F2001" w:rsidRDefault="003F2001" w:rsidP="003F2001">
      <w:pPr>
        <w:spacing w:line="276" w:lineRule="auto"/>
        <w:rPr>
          <w:rFonts w:eastAsia="Times New Roman" w:cs="Times New Roman"/>
          <w:kern w:val="0"/>
          <w:szCs w:val="20"/>
          <w:lang w:bidi="en-US"/>
          <w14:ligatures w14:val="none"/>
        </w:rPr>
      </w:pPr>
      <w:bookmarkStart w:id="108" w:name="_Hlk171442511"/>
      <w:r w:rsidRPr="003F2001">
        <w:rPr>
          <w:rFonts w:eastAsia="Times New Roman" w:cs="Times New Roman"/>
          <w:kern w:val="0"/>
          <w:szCs w:val="20"/>
          <w:lang w:bidi="en-US"/>
          <w14:ligatures w14:val="none"/>
        </w:rPr>
        <w:t xml:space="preserve">Ważnym elementem infrastruktury turystycznej obszaru jest istniejąca </w:t>
      </w:r>
      <w:r w:rsidRPr="003F2001">
        <w:rPr>
          <w:rFonts w:eastAsia="Times New Roman" w:cs="Times New Roman"/>
          <w:b/>
          <w:bCs/>
          <w:color w:val="4D160F"/>
          <w:kern w:val="0"/>
          <w:szCs w:val="20"/>
          <w:lang w:bidi="en-US"/>
          <w14:ligatures w14:val="none"/>
        </w:rPr>
        <w:t>sieć szlaków i tras turystycznych – pieszych, rowerowych i kajakowych</w:t>
      </w:r>
      <w:r w:rsidRPr="003F2001">
        <w:rPr>
          <w:rFonts w:eastAsia="Times New Roman" w:cs="Times New Roman"/>
          <w:kern w:val="0"/>
          <w:szCs w:val="20"/>
          <w:lang w:bidi="en-US"/>
          <w14:ligatures w14:val="none"/>
        </w:rPr>
        <w:t>. Przez teren gminy przebiegają szlaki rowerowe o randze ponadlokalnej: Doliną Chodelki, Kazimierz Dolny – Opole Lubelskie – Bęczyn, Kazimierz Dolny – Kraśnik, Nitką Kolejki Wąskotorowej, Opole Lubelskie – Solec nad Wisłą. Jedną z form poznania bogactwa natury gminy są również wycieczki piesze po wytyczonych szlakach pieszych oraz ścieżkach dydaktycznych.</w:t>
      </w:r>
    </w:p>
    <w:bookmarkEnd w:id="108"/>
    <w:p w14:paraId="431DA11D"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Ruch turystyczny na obszarze Gminy Opole Lubelskie obejmuje różnego rodzaju trasy:</w:t>
      </w:r>
    </w:p>
    <w:p w14:paraId="62BAB8BD" w14:textId="77777777" w:rsidR="003F2001" w:rsidRPr="003F2001" w:rsidRDefault="003F2001">
      <w:pPr>
        <w:numPr>
          <w:ilvl w:val="0"/>
          <w:numId w:val="70"/>
        </w:numPr>
        <w:spacing w:after="160" w:line="276" w:lineRule="auto"/>
        <w:ind w:left="426" w:hanging="284"/>
        <w:jc w:val="left"/>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rowerowe</w:t>
      </w:r>
      <w:r w:rsidRPr="003F2001">
        <w:rPr>
          <w:rFonts w:eastAsia="Times New Roman" w:cs="Times New Roman"/>
          <w:kern w:val="0"/>
          <w:szCs w:val="20"/>
          <w:lang w:bidi="en-US"/>
          <w14:ligatures w14:val="none"/>
        </w:rPr>
        <w:t>:</w:t>
      </w:r>
    </w:p>
    <w:p w14:paraId="304E1762" w14:textId="77777777" w:rsidR="003F2001" w:rsidRPr="003F2001" w:rsidRDefault="003F2001">
      <w:pPr>
        <w:numPr>
          <w:ilvl w:val="0"/>
          <w:numId w:val="71"/>
        </w:numPr>
        <w:spacing w:after="160" w:line="276" w:lineRule="auto"/>
        <w:ind w:left="851" w:hanging="284"/>
        <w:contextualSpacing/>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Dolina Chodelki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50 kilometrowy, niebieski szlak biegnący przez teren Chodelskiego Obszaru Chronionego Krajobrazu w dolinie rzeki Chodelki. Szlak rozpoczyna się razem z czarnym szlakiem rowerowym „Gościniec Piotrawiński” w miejscowości Kolonia Borów na granicy powiatu opolskiego i lubelskiego. Prowadzi przez teren Chodelskiego Obszaru Chronionego Krajobrazu obejmującego dolinę rzeki Chodelki – jeden z najczystszych i najpiękniejszych obszarów na Lubelszczyźnie. Końcowy odcinek szlaku przechodzi obok grodzisk słowiańskich z VIII-X wieku – największego skupiska wczesnośredniowiecznych założeń obronnych międzyrzecza Wisły i Bugu, a kończy się w miejscowości Podgórz, łącząc się z czerwonym szlakiem rowerowym „Kazimierz Dolny - Kraśnik”.</w:t>
      </w:r>
    </w:p>
    <w:p w14:paraId="3EE3D395" w14:textId="77777777" w:rsidR="003F2001" w:rsidRPr="003F2001" w:rsidRDefault="003F2001">
      <w:pPr>
        <w:numPr>
          <w:ilvl w:val="0"/>
          <w:numId w:val="71"/>
        </w:numPr>
        <w:spacing w:after="160" w:line="276" w:lineRule="auto"/>
        <w:ind w:left="851" w:hanging="284"/>
        <w:contextualSpacing/>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lastRenderedPageBreak/>
        <w:t>Opole Lubelskie - Solec nad Wisłą</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Czarna, 24 kilometrowa trasa łączy województwo lubelskie i mazowieckie biegnąc przez Chodelski i Solecki Obszar Chronionego Krajobrazu. Szlak prowadzi przez urokliwe zakątki Chodelskiego Obszaru Chronionego Krajobrazu oraz Obszaru Chronionego Krajobrazu Solec nad Wisłą. Rozpoczyna się wraz ze szlakiem „Powiśle” w Opolu Lubelskim przy Al. 600-lecia, obok zespołu pałacowo-parkowego z XVIII-wieczną rezydencją Lubomirskich. Przebiega przez teren Projektowanego Zespołu Przyrodniczo Krajobrazowego „Las Głodzieński”, a także ostoję ptasią „Małopolski Przełom Wisły” wchodzącą w skład sieci Natura 2000. Kończy swój bieg w miejscowości Solec nad Wisłą w województwie mazowieckim, gdzie łączy się z niebieskim szlakiem pieszo-rowerowym „Szlak Żółwia i Dinozaura” biegnącym z Bałtowa do Janowca.</w:t>
      </w:r>
    </w:p>
    <w:p w14:paraId="4538D1D2" w14:textId="77777777" w:rsidR="003F2001" w:rsidRPr="003F2001" w:rsidRDefault="003F2001">
      <w:pPr>
        <w:numPr>
          <w:ilvl w:val="0"/>
          <w:numId w:val="71"/>
        </w:numPr>
        <w:spacing w:after="160" w:line="276" w:lineRule="auto"/>
        <w:ind w:left="851" w:hanging="284"/>
        <w:contextualSpacing/>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Kazimierz Dolny – Kraśnik</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Szlak rozpoczyna się w Kazimierzu Dolnym obok ośrodka wypoczynkowego „Arkadia”, następnie przebiega przez Kazimierski Park Krajobrazowy, mija rezerwat „Skarpa Dobrska” i wkracza na teren doliny rzeki Chodelki. Następnie przebiega przez Wrzelowiecki Park Krajobrazowy i kończy swój bieg w dolinie Wyżnicy w miejscowości Kraśnik. Na trasie łączy się z żółtym szlakiem rowerowym „Kazimierz Dolny – Opole Lubelskie – Bęczyn” w miejscowości Bęczyn.</w:t>
      </w:r>
    </w:p>
    <w:p w14:paraId="2FD64533" w14:textId="77777777" w:rsidR="003F2001" w:rsidRPr="003F2001" w:rsidRDefault="003F2001">
      <w:pPr>
        <w:numPr>
          <w:ilvl w:val="0"/>
          <w:numId w:val="71"/>
        </w:numPr>
        <w:spacing w:after="160" w:line="276" w:lineRule="auto"/>
        <w:ind w:left="851" w:hanging="284"/>
        <w:contextualSpacing/>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Kazimierz Dolny – Opole Lubelskie – Bęczyn</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Trasa wraz z czerwonym szlakiem „Kazimierz Dolny - Kraśnik” tworzy pętlę o długości ok. 150 km. Szlak przebiega południkowo przez teren Kazimierskiego Parku Krajobrazowego, Chodelskiego Obszaru Chronionego Krajobrazu i Kraśnickiego Obszaru Chronionego Krajobrazu, łącząc 3 powiaty – puławski, opolski i kraśnicki. Rozpoczyna swój bieg w Kazimierzu Dolnym obok ośrodka wypoczynkowego „Arkadia” i kończy w Bęczynie łącząc się z czerwonym szlakiem rowerowym „Kazimierz Dolny - Kraśnik”.</w:t>
      </w:r>
    </w:p>
    <w:p w14:paraId="4A297C2F" w14:textId="77777777" w:rsidR="003F2001" w:rsidRPr="003F2001" w:rsidRDefault="003F2001">
      <w:pPr>
        <w:numPr>
          <w:ilvl w:val="0"/>
          <w:numId w:val="71"/>
        </w:numPr>
        <w:spacing w:after="160" w:line="276" w:lineRule="auto"/>
        <w:ind w:left="851" w:hanging="284"/>
        <w:contextualSpacing/>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Nitką Kolejki Wąskotorowej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48 kilometrowy, czarny szlak, biegnący przez miejscowości posiadające dostęp do stacji kolejki wąskotorowej. Szlak ma swój początek przy stacji kolejki wąskotorowej w Opolu Lubelskim, przy ul. Kolejowej. Następnie przebiega obok stacji w Poniatowej, Rozalinie, Karczmiskach, Wymysłowie i kończy swój bieg w miejscowości Kębło, łącząc się z czerwonym szlakiem rowerowym „Lublin – Nałęczów - Kazimierz Dolny”.</w:t>
      </w:r>
    </w:p>
    <w:p w14:paraId="348DFBEE" w14:textId="77777777" w:rsidR="003F2001" w:rsidRPr="003F2001" w:rsidRDefault="003F2001">
      <w:pPr>
        <w:numPr>
          <w:ilvl w:val="0"/>
          <w:numId w:val="71"/>
        </w:numPr>
        <w:spacing w:after="160" w:line="276" w:lineRule="auto"/>
        <w:ind w:left="851" w:hanging="284"/>
        <w:contextualSpacing/>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Powiśle</w:t>
      </w:r>
      <w:r w:rsidRPr="003F2001">
        <w:rPr>
          <w:rFonts w:eastAsia="Times New Roman" w:cs="Times New Roman"/>
          <w:kern w:val="0"/>
          <w:szCs w:val="20"/>
          <w:lang w:bidi="en-US"/>
          <w14:ligatures w14:val="none"/>
        </w:rPr>
        <w:t xml:space="preserve"> - Trasa szlaku rozpoczyna się w Opolu Lubelskim przy Al. 600-lecia, obok zespołu pałacowo-parkowego, biegnie ul. Pomorską, gdzie na skrzyżowaniu dróg obok pomnika przyrody spotyka się z dwoma szlakami rowerowymi: niebieskim -„Dolina Chodelki” i żółtym – „Kazimierz Dolny – Opole Lubelskie – Bęczyn”. Następnie prowadzi przez kompleks leśny Las Powiślański – teren Projektowanego Zespołu Przyrodniczo-Krajobrazowego „Pustelnia – Jankowa” oraz Projektowanego Zespołu Przyrodniczo-Krajobrazowego „Las Powiślański”. Kończy swój bieg w miejscowości Majdany, gdzie łączy się z czerwonym szlakiem rowerowym „Kazimierz Dolny – Kraśnik”. Na całej długości trasa przebiega przez Chodelski Obszar Chronionego Krajobrazu.</w:t>
      </w:r>
    </w:p>
    <w:p w14:paraId="46069FAB" w14:textId="77777777" w:rsidR="003F2001" w:rsidRDefault="003F2001">
      <w:pPr>
        <w:numPr>
          <w:ilvl w:val="0"/>
          <w:numId w:val="71"/>
        </w:numPr>
        <w:spacing w:after="160" w:line="276" w:lineRule="auto"/>
        <w:ind w:left="851" w:hanging="284"/>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Gościniec Piotrawiński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46 kilometrowy, czarny szlak, przebiegający równoleżnikowo przez teren powiatu opolskiego. Rozpoczyna się w miejscowości Kolonia Borów wspólnie z niebieskim szlakiem „Dolina Chodelki”. Przebiega przez teren Chodelskiego Obszaru Chronionego Krajobrazu, Wrzelowieckiego Parku Krajobrazowego oraz nieopodal zespołu pałacowo-parkowego w Kluczkowicach. Szlak kończy się w Piotrawinie obok gotyckiego kościoła, gdzie łączy się z zielonym szlakiem rowerowym „Małopolski Przełom Wisły”.</w:t>
      </w:r>
    </w:p>
    <w:p w14:paraId="3DF5A471" w14:textId="77777777" w:rsidR="00D90C6C" w:rsidRPr="003F2001" w:rsidRDefault="00D90C6C" w:rsidP="00B2530C">
      <w:pPr>
        <w:spacing w:after="160" w:line="276" w:lineRule="auto"/>
        <w:ind w:left="851"/>
        <w:rPr>
          <w:rFonts w:eastAsia="Times New Roman" w:cs="Times New Roman"/>
          <w:kern w:val="0"/>
          <w:szCs w:val="20"/>
          <w:lang w:bidi="en-US"/>
          <w14:ligatures w14:val="none"/>
        </w:rPr>
      </w:pPr>
    </w:p>
    <w:p w14:paraId="07284488" w14:textId="77777777" w:rsidR="003F2001" w:rsidRPr="003F2001" w:rsidRDefault="003F2001">
      <w:pPr>
        <w:numPr>
          <w:ilvl w:val="0"/>
          <w:numId w:val="70"/>
        </w:numPr>
        <w:spacing w:after="160" w:line="276" w:lineRule="auto"/>
        <w:ind w:left="426" w:hanging="284"/>
        <w:rPr>
          <w:rFonts w:eastAsia="Times New Roman" w:cs="Times New Roman"/>
          <w:b/>
          <w:bCs/>
          <w:color w:val="4D160F"/>
          <w:kern w:val="0"/>
          <w:szCs w:val="20"/>
          <w:lang w:bidi="en-US"/>
          <w14:ligatures w14:val="none"/>
        </w:rPr>
      </w:pPr>
      <w:r w:rsidRPr="003F2001">
        <w:rPr>
          <w:rFonts w:eastAsia="Times New Roman" w:cs="Times New Roman"/>
          <w:b/>
          <w:bCs/>
          <w:color w:val="4D160F"/>
          <w:kern w:val="0"/>
          <w:szCs w:val="20"/>
          <w:lang w:bidi="en-US"/>
          <w14:ligatures w14:val="none"/>
        </w:rPr>
        <w:lastRenderedPageBreak/>
        <w:t>piesze:</w:t>
      </w:r>
    </w:p>
    <w:p w14:paraId="2ED9CDFA" w14:textId="77777777" w:rsidR="003F2001" w:rsidRPr="003F2001" w:rsidRDefault="003F2001">
      <w:pPr>
        <w:numPr>
          <w:ilvl w:val="0"/>
          <w:numId w:val="72"/>
        </w:numPr>
        <w:spacing w:after="160" w:line="276" w:lineRule="auto"/>
        <w:ind w:left="851" w:hanging="284"/>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Szlak Nadwiślański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Szlak jest jedną z najpiękniejszych pod względem krajobrazowym tras pieszych województwa lubelskiego. Rozpoczyna swój bieg na rynku w Annopolu, a kończy obok stacji PKP w Dęblinie. Szlak podąża wzdłuż ostoi ptasiej „Małopolski Przełom Wisły” wchodzącej w skład sieci NATURA 2000, przez teren Kraśnickiego Obszaru Chronionego Krajobrazu, Wrzelowieckiego Parku Krajobrazowego, Chodelskiego Obszaru Chronionego Krajobrazu, Kazimierskiego Parku Krajobrazowego, łącząc 3 powiaty – kraśnicki, opolski i puławski.</w:t>
      </w:r>
    </w:p>
    <w:p w14:paraId="74BFCEFA" w14:textId="77777777" w:rsidR="003F2001" w:rsidRPr="003F2001" w:rsidRDefault="003F2001">
      <w:pPr>
        <w:numPr>
          <w:ilvl w:val="0"/>
          <w:numId w:val="70"/>
        </w:numPr>
        <w:spacing w:after="160" w:line="276" w:lineRule="auto"/>
        <w:ind w:left="426" w:hanging="284"/>
        <w:rPr>
          <w:rFonts w:eastAsia="Times New Roman" w:cs="Times New Roman"/>
          <w:b/>
          <w:bCs/>
          <w:color w:val="4D160F"/>
          <w:kern w:val="0"/>
          <w:szCs w:val="20"/>
          <w:lang w:bidi="en-US"/>
          <w14:ligatures w14:val="none"/>
        </w:rPr>
      </w:pPr>
      <w:r w:rsidRPr="003F2001">
        <w:rPr>
          <w:rFonts w:eastAsia="Times New Roman" w:cs="Times New Roman"/>
          <w:b/>
          <w:bCs/>
          <w:color w:val="4D160F"/>
          <w:kern w:val="0"/>
          <w:szCs w:val="20"/>
          <w:lang w:bidi="en-US"/>
          <w14:ligatures w14:val="none"/>
        </w:rPr>
        <w:t>Ścieżki przyrodnicze i spacerowe:</w:t>
      </w:r>
    </w:p>
    <w:p w14:paraId="7D7440E1" w14:textId="77777777" w:rsidR="003F2001" w:rsidRPr="003F2001" w:rsidRDefault="003F2001">
      <w:pPr>
        <w:numPr>
          <w:ilvl w:val="0"/>
          <w:numId w:val="73"/>
        </w:numPr>
        <w:spacing w:after="160" w:line="276" w:lineRule="auto"/>
        <w:ind w:left="851" w:hanging="284"/>
        <w:contextualSpacing/>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Skrzypowy Dół</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Ścieżka ma na celu zapoznanie z walorami przyrodniczymi lasów grądowych. Trasa ukazuje również wpływ człowieka na wygląd i funkcjonowanie biocenoz leśnych i polnych. Ścieżka w kształcie pętli, zaczyna się obok leśniczówki Leśnictwa Kluczkowice. Poprowadzona jest głębocznicą lessową przez kompleks leśny i drogą polną wśród sadów.</w:t>
      </w:r>
    </w:p>
    <w:p w14:paraId="6FEA05E0" w14:textId="77777777" w:rsidR="003F2001" w:rsidRPr="003F2001" w:rsidRDefault="003F2001">
      <w:pPr>
        <w:numPr>
          <w:ilvl w:val="0"/>
          <w:numId w:val="73"/>
        </w:numPr>
        <w:spacing w:after="160" w:line="276" w:lineRule="auto"/>
        <w:ind w:left="851" w:hanging="284"/>
        <w:contextualSpacing/>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Kleniewo</w:t>
      </w:r>
      <w:r w:rsidRPr="003F2001">
        <w:rPr>
          <w:rFonts w:eastAsia="Times New Roman" w:cs="Times New Roman"/>
          <w:kern w:val="0"/>
          <w:szCs w:val="20"/>
          <w:lang w:bidi="en-US"/>
          <w14:ligatures w14:val="none"/>
        </w:rPr>
        <w:t xml:space="preserve"> – Ścieżka rozpoczyna się i kończy obok węzła szlaków rowerowych w miejscowości Pomorze koło Opola Lubelskiego. Poprowadzona jest przez kompleks leśny, wzdłuż lewego brzegu rzeki.</w:t>
      </w:r>
    </w:p>
    <w:p w14:paraId="7FF0523D" w14:textId="77777777" w:rsidR="003F2001" w:rsidRPr="003F2001" w:rsidRDefault="003F2001">
      <w:pPr>
        <w:numPr>
          <w:ilvl w:val="0"/>
          <w:numId w:val="73"/>
        </w:numPr>
        <w:spacing w:after="160" w:line="276" w:lineRule="auto"/>
        <w:ind w:left="851" w:hanging="284"/>
        <w:contextualSpacing/>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Okolice Kluczkowic</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Ścieżka w kształcie pętli, zaczyna się obok dawnego Pałacu Kleniewskich w Kluczkowicach – Kluczkowice Osiedle. Poprowadzona jest przez kompleks leśny porozcinany siecią wąwozów lessowych.</w:t>
      </w:r>
    </w:p>
    <w:p w14:paraId="418FF5B5" w14:textId="77777777" w:rsidR="003F2001" w:rsidRPr="003F2001" w:rsidRDefault="003F2001">
      <w:pPr>
        <w:numPr>
          <w:ilvl w:val="0"/>
          <w:numId w:val="73"/>
        </w:numPr>
        <w:spacing w:after="160" w:line="276" w:lineRule="auto"/>
        <w:ind w:left="851" w:hanging="284"/>
        <w:contextualSpacing/>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Zawilcowe Doły</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Ścieżka przebiega na północy zachód od założenia parkowo-pałacowego w Kluczkowicach. Jest to najkrótsza ścieżka w Parku jej długość wynosi 1,2 km. Biegnie przez dawny park przypałacowy (z licznym starodrzewiem), kompleks leśny i wąwozy.</w:t>
      </w:r>
    </w:p>
    <w:p w14:paraId="4AD1EADC" w14:textId="77777777" w:rsidR="003F2001" w:rsidRPr="003F2001" w:rsidRDefault="003F2001" w:rsidP="003F2001">
      <w:pPr>
        <w:spacing w:before="120" w:line="276" w:lineRule="auto"/>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 xml:space="preserve">Opole Lubelskie posiada również sprzyjające warunki do rozwoju </w:t>
      </w:r>
      <w:r w:rsidRPr="003F2001">
        <w:rPr>
          <w:rFonts w:eastAsia="Times New Roman" w:cs="Times New Roman"/>
          <w:b/>
          <w:bCs/>
          <w:color w:val="4D160F"/>
          <w:kern w:val="0"/>
          <w:szCs w:val="20"/>
          <w:lang w:bidi="en-US"/>
          <w14:ligatures w14:val="none"/>
        </w:rPr>
        <w:t>turystyki wodnej</w:t>
      </w:r>
      <w:r w:rsidRPr="003F2001">
        <w:rPr>
          <w:rFonts w:eastAsia="Times New Roman" w:cs="Times New Roman"/>
          <w:color w:val="4D160F"/>
          <w:kern w:val="0"/>
          <w:szCs w:val="20"/>
          <w:lang w:bidi="en-US"/>
          <w14:ligatures w14:val="none"/>
        </w:rPr>
        <w:t xml:space="preserve"> </w:t>
      </w:r>
      <w:r w:rsidRPr="003F2001">
        <w:rPr>
          <w:rFonts w:eastAsia="Times New Roman" w:cs="Times New Roman"/>
          <w:color w:val="000000"/>
          <w:kern w:val="0"/>
          <w:szCs w:val="20"/>
          <w:lang w:bidi="en-US"/>
          <w14:ligatures w14:val="none"/>
        </w:rPr>
        <w:t>- stawy hodowlane, zbiorniki wodne oraz rzeki zachęcają do uprawiania sportów wodnych, pływania, plażowania i wędkowania.</w:t>
      </w:r>
      <w:r w:rsidRPr="003F2001">
        <w:rPr>
          <w:rFonts w:ascii="Calibri" w:eastAsia="Calibri" w:hAnsi="Calibri" w:cs="Times New Roman"/>
          <w:sz w:val="22"/>
        </w:rPr>
        <w:t xml:space="preserve"> </w:t>
      </w:r>
      <w:r w:rsidRPr="003F2001">
        <w:rPr>
          <w:rFonts w:eastAsia="Times New Roman" w:cs="Times New Roman"/>
          <w:color w:val="000000"/>
          <w:kern w:val="0"/>
          <w:szCs w:val="20"/>
          <w:lang w:bidi="en-US"/>
          <w14:ligatures w14:val="none"/>
        </w:rPr>
        <w:t xml:space="preserve">Bardzo ważną atrakcją obszaru jest </w:t>
      </w:r>
      <w:r w:rsidRPr="003F2001">
        <w:rPr>
          <w:rFonts w:eastAsia="Times New Roman" w:cs="Times New Roman"/>
          <w:b/>
          <w:bCs/>
          <w:color w:val="4D160F"/>
          <w:kern w:val="0"/>
          <w:szCs w:val="20"/>
          <w:lang w:bidi="en-US"/>
          <w14:ligatures w14:val="none"/>
        </w:rPr>
        <w:t>Nadwiślańska Kolejka Wąskotorowa</w:t>
      </w:r>
      <w:r w:rsidRPr="003F2001">
        <w:rPr>
          <w:rFonts w:eastAsia="Times New Roman" w:cs="Times New Roman"/>
          <w:color w:val="000000"/>
          <w:kern w:val="0"/>
          <w:szCs w:val="20"/>
          <w:lang w:bidi="en-US"/>
          <w14:ligatures w14:val="none"/>
        </w:rPr>
        <w:t xml:space="preserve"> – jedyna taka kolejka na terenie województwa lubelskiego. Obecnie udostępniono dla przejazdów kolejowo - drezynowych 20 km linii oraz 5 stacji kolejowych: stacja Karczmiska, Polanówka, Pustelnia, Opole Lubelskie oraz stacja Kultura w Poniatowej. Kolejka kursuje na odcinkach: Karczmiska - Opole Lubelskie (lub Poniatowa) - Karczmiska- Polanówka – Karczmiska, Karczmiska - Polanówka - Karczmiska. Drezyny rowerowe kursują na odcinkach: Karczmiska - Pustelnia – Karczmiska, Karczmiska – Polanówka-Karczmiska, Karczmiska - Poniatowa - Karczmiska. Gmina Opole Lubelskie ze względu na występujące na jej terenie </w:t>
      </w:r>
      <w:r w:rsidRPr="003F2001">
        <w:rPr>
          <w:rFonts w:eastAsia="Times New Roman" w:cs="Times New Roman"/>
          <w:b/>
          <w:bCs/>
          <w:color w:val="4D160F"/>
          <w:kern w:val="0"/>
          <w:szCs w:val="20"/>
          <w:lang w:bidi="en-US"/>
          <w14:ligatures w14:val="none"/>
        </w:rPr>
        <w:t>lessowe wąwozy</w:t>
      </w:r>
      <w:r w:rsidRPr="003F2001">
        <w:rPr>
          <w:rFonts w:eastAsia="Times New Roman" w:cs="Times New Roman"/>
          <w:color w:val="4D160F"/>
          <w:kern w:val="0"/>
          <w:szCs w:val="20"/>
          <w:lang w:bidi="en-US"/>
          <w14:ligatures w14:val="none"/>
        </w:rPr>
        <w:t xml:space="preserve"> </w:t>
      </w:r>
      <w:r w:rsidRPr="003F2001">
        <w:rPr>
          <w:rFonts w:eastAsia="Times New Roman" w:cs="Times New Roman"/>
          <w:color w:val="000000"/>
          <w:kern w:val="0"/>
          <w:szCs w:val="20"/>
          <w:lang w:bidi="en-US"/>
          <w14:ligatures w14:val="none"/>
        </w:rPr>
        <w:t>została włączona w region turystyczny Kraina Lessowych Wąwozów zarządzany przez Lokalną Organizację Turystyczną.</w:t>
      </w:r>
    </w:p>
    <w:p w14:paraId="722BC60C" w14:textId="77777777" w:rsidR="003F2001" w:rsidRPr="003F2001" w:rsidRDefault="003F2001" w:rsidP="003F2001">
      <w:pPr>
        <w:spacing w:before="120" w:line="276" w:lineRule="auto"/>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 xml:space="preserve">Gmina Opole Lubelskie legitymuje się </w:t>
      </w:r>
      <w:r w:rsidRPr="003F2001">
        <w:rPr>
          <w:rFonts w:eastAsia="Times New Roman" w:cs="Times New Roman"/>
          <w:b/>
          <w:bCs/>
          <w:color w:val="4D160F"/>
          <w:kern w:val="0"/>
          <w:szCs w:val="20"/>
          <w:lang w:bidi="en-US"/>
          <w14:ligatures w14:val="none"/>
        </w:rPr>
        <w:t>bogatą przeszłością historyczną i dziedzictwem kulturowym</w:t>
      </w:r>
      <w:r w:rsidRPr="003F2001">
        <w:rPr>
          <w:rFonts w:eastAsia="Times New Roman" w:cs="Times New Roman"/>
          <w:color w:val="000000"/>
          <w:kern w:val="0"/>
          <w:szCs w:val="20"/>
          <w:lang w:bidi="en-US"/>
          <w14:ligatures w14:val="none"/>
        </w:rPr>
        <w:t xml:space="preserve">. O przeszłości historycznej tych ziem świadczą zachowane zabytki - obiekty i ich zespoły, które posiadają wysoką wartość kulturową. Na terenie gminy znajduje się 11 obiektów zabytkowych lub zespołów obiektów wpisanych do rejestru zabytków. Ważną instytucją, będącą </w:t>
      </w:r>
      <w:r w:rsidRPr="003F2001">
        <w:rPr>
          <w:rFonts w:eastAsia="Times New Roman" w:cs="Century Gothic"/>
          <w:color w:val="000000"/>
          <w:kern w:val="0"/>
          <w:szCs w:val="20"/>
          <w:lang w:bidi="en-US"/>
          <w14:ligatures w14:val="none"/>
        </w:rPr>
        <w:t>ź</w:t>
      </w:r>
      <w:r w:rsidRPr="003F2001">
        <w:rPr>
          <w:rFonts w:eastAsia="Times New Roman" w:cs="Times New Roman"/>
          <w:color w:val="000000"/>
          <w:kern w:val="0"/>
          <w:szCs w:val="20"/>
          <w:lang w:bidi="en-US"/>
          <w14:ligatures w14:val="none"/>
        </w:rPr>
        <w:t>r</w:t>
      </w:r>
      <w:r w:rsidRPr="003F2001">
        <w:rPr>
          <w:rFonts w:eastAsia="Times New Roman" w:cs="Century Gothic"/>
          <w:color w:val="000000"/>
          <w:kern w:val="0"/>
          <w:szCs w:val="20"/>
          <w:lang w:bidi="en-US"/>
          <w14:ligatures w14:val="none"/>
        </w:rPr>
        <w:t>ó</w:t>
      </w:r>
      <w:r w:rsidRPr="003F2001">
        <w:rPr>
          <w:rFonts w:eastAsia="Times New Roman" w:cs="Times New Roman"/>
          <w:color w:val="000000"/>
          <w:kern w:val="0"/>
          <w:szCs w:val="20"/>
          <w:lang w:bidi="en-US"/>
          <w14:ligatures w14:val="none"/>
        </w:rPr>
        <w:t>d</w:t>
      </w:r>
      <w:r w:rsidRPr="003F2001">
        <w:rPr>
          <w:rFonts w:eastAsia="Times New Roman" w:cs="Century Gothic"/>
          <w:color w:val="000000"/>
          <w:kern w:val="0"/>
          <w:szCs w:val="20"/>
          <w:lang w:bidi="en-US"/>
          <w14:ligatures w14:val="none"/>
        </w:rPr>
        <w:t>ł</w:t>
      </w:r>
      <w:r w:rsidRPr="003F2001">
        <w:rPr>
          <w:rFonts w:eastAsia="Times New Roman" w:cs="Times New Roman"/>
          <w:color w:val="000000"/>
          <w:kern w:val="0"/>
          <w:szCs w:val="20"/>
          <w:lang w:bidi="en-US"/>
          <w14:ligatures w14:val="none"/>
        </w:rPr>
        <w:t xml:space="preserve">em wiedzy o regionie, jego historii i kulturze, jest – mieszczące się w odrestaurowanym w 2006 r. Pałacu Kleniewskich – </w:t>
      </w:r>
      <w:r w:rsidRPr="003F2001">
        <w:rPr>
          <w:rFonts w:eastAsia="Times New Roman" w:cs="Times New Roman"/>
          <w:b/>
          <w:bCs/>
          <w:color w:val="4D160F"/>
          <w:kern w:val="0"/>
          <w:szCs w:val="20"/>
          <w:lang w:bidi="en-US"/>
          <w14:ligatures w14:val="none"/>
        </w:rPr>
        <w:t>Muzeum Regionalne w Kluczkowicach</w:t>
      </w:r>
      <w:r w:rsidRPr="003F2001">
        <w:rPr>
          <w:rFonts w:eastAsia="Times New Roman" w:cs="Times New Roman"/>
          <w:color w:val="000000"/>
          <w:kern w:val="0"/>
          <w:szCs w:val="20"/>
          <w:lang w:bidi="en-US"/>
          <w14:ligatures w14:val="none"/>
        </w:rPr>
        <w:t>. Działalność plac</w:t>
      </w:r>
      <w:r w:rsidRPr="003F2001">
        <w:rPr>
          <w:rFonts w:eastAsia="Times New Roman" w:cs="Century Gothic"/>
          <w:color w:val="000000"/>
          <w:kern w:val="0"/>
          <w:szCs w:val="20"/>
          <w:lang w:bidi="en-US"/>
          <w14:ligatures w14:val="none"/>
        </w:rPr>
        <w:t>ó</w:t>
      </w:r>
      <w:r w:rsidRPr="003F2001">
        <w:rPr>
          <w:rFonts w:eastAsia="Times New Roman" w:cs="Times New Roman"/>
          <w:color w:val="000000"/>
          <w:kern w:val="0"/>
          <w:szCs w:val="20"/>
          <w:lang w:bidi="en-US"/>
          <w14:ligatures w14:val="none"/>
        </w:rPr>
        <w:t>wki ma bardzo du</w:t>
      </w:r>
      <w:r w:rsidRPr="003F2001">
        <w:rPr>
          <w:rFonts w:eastAsia="Times New Roman" w:cs="Century Gothic"/>
          <w:color w:val="000000"/>
          <w:kern w:val="0"/>
          <w:szCs w:val="20"/>
          <w:lang w:bidi="en-US"/>
          <w14:ligatures w14:val="none"/>
        </w:rPr>
        <w:t>ż</w:t>
      </w:r>
      <w:r w:rsidRPr="003F2001">
        <w:rPr>
          <w:rFonts w:eastAsia="Times New Roman" w:cs="Times New Roman"/>
          <w:color w:val="000000"/>
          <w:kern w:val="0"/>
          <w:szCs w:val="20"/>
          <w:lang w:bidi="en-US"/>
          <w14:ligatures w14:val="none"/>
        </w:rPr>
        <w:t>y wp</w:t>
      </w:r>
      <w:r w:rsidRPr="003F2001">
        <w:rPr>
          <w:rFonts w:eastAsia="Times New Roman" w:cs="Century Gothic"/>
          <w:color w:val="000000"/>
          <w:kern w:val="0"/>
          <w:szCs w:val="20"/>
          <w:lang w:bidi="en-US"/>
          <w14:ligatures w14:val="none"/>
        </w:rPr>
        <w:t>ł</w:t>
      </w:r>
      <w:r w:rsidRPr="003F2001">
        <w:rPr>
          <w:rFonts w:eastAsia="Times New Roman" w:cs="Times New Roman"/>
          <w:color w:val="000000"/>
          <w:kern w:val="0"/>
          <w:szCs w:val="20"/>
          <w:lang w:bidi="en-US"/>
          <w14:ligatures w14:val="none"/>
        </w:rPr>
        <w:t xml:space="preserve">yw na zachowanie reliktów kultury ludowej regionu. Muzeum gromadzi zbiory z zakresu: historii, sztuki i archiwaliów dotyczące terenów powiatu opolskiego. Muzeum posiada cztery działy: prehistoryczny, historyczny i historii kolejki wąskotorowej, etnograficzny i oświatowy. Największą atrakcją Muzeum jest pomieszczenie dawnej biblioteki pałacowej z zachowanym wyposażeniem w stylu zakopiańskim, gdzie </w:t>
      </w:r>
      <w:r w:rsidRPr="003F2001">
        <w:rPr>
          <w:rFonts w:eastAsia="Times New Roman" w:cs="Times New Roman"/>
          <w:color w:val="000000"/>
          <w:kern w:val="0"/>
          <w:szCs w:val="20"/>
          <w:lang w:bidi="en-US"/>
          <w14:ligatures w14:val="none"/>
        </w:rPr>
        <w:lastRenderedPageBreak/>
        <w:t>zorganizowany został dział historyczny. Dawny salon z zachowanymi neoklasycystycznymi obramieniami drzwi i okien, służy jako miejsce ekspozycji archeologicznej, również do organizowania wystaw czasowych, lekcji muzealnych, wykładów, koncertów i prelekcji. Pomieszczenie dawnej jadalni, z zachowanymi neorenesansowymi obramieniami okien i drzwi jest miejscem wystawy etnograficznej.</w:t>
      </w:r>
    </w:p>
    <w:p w14:paraId="1459A92E" w14:textId="77777777" w:rsidR="003F2001" w:rsidRPr="003F2001" w:rsidRDefault="003F2001" w:rsidP="003F2001">
      <w:pPr>
        <w:spacing w:before="120" w:line="276" w:lineRule="auto"/>
        <w:rPr>
          <w:rFonts w:eastAsia="Times New Roman" w:cs="Times New Roman"/>
          <w:kern w:val="0"/>
          <w:szCs w:val="20"/>
          <w:lang w:bidi="en-US"/>
          <w14:ligatures w14:val="none"/>
        </w:rPr>
      </w:pPr>
      <w:r w:rsidRPr="003F2001">
        <w:rPr>
          <w:rFonts w:eastAsia="Times New Roman" w:cs="Times New Roman"/>
          <w:color w:val="000000"/>
          <w:kern w:val="0"/>
          <w:szCs w:val="20"/>
          <w:lang w:bidi="en-US"/>
          <w14:ligatures w14:val="none"/>
        </w:rPr>
        <w:t xml:space="preserve">Ważną kwestią w promocji walorów Opola Lubelskiego są cyklicznie organizowane imprezy promocyjne, kulturowe, sportowe i turystyczne o zasięgu międzynarodowym, krajowym, regionalnym i lokalnym. Do najważniejszych z nich zaliczamy: </w:t>
      </w:r>
      <w:r w:rsidRPr="003F2001">
        <w:rPr>
          <w:rFonts w:eastAsia="Times New Roman" w:cs="Times New Roman"/>
          <w:b/>
          <w:bCs/>
          <w:color w:val="4D160F"/>
          <w:kern w:val="0"/>
          <w:szCs w:val="20"/>
          <w:lang w:bidi="en-US"/>
          <w14:ligatures w14:val="none"/>
        </w:rPr>
        <w:t>Jarmark Opolski</w:t>
      </w:r>
      <w:r w:rsidRPr="003F2001">
        <w:rPr>
          <w:rFonts w:eastAsia="Times New Roman" w:cs="Times New Roman"/>
          <w:color w:val="4D160F"/>
          <w:kern w:val="0"/>
          <w:szCs w:val="20"/>
          <w:lang w:bidi="en-US"/>
          <w14:ligatures w14:val="none"/>
        </w:rPr>
        <w:t xml:space="preserve"> </w:t>
      </w:r>
      <w:r w:rsidRPr="003F2001">
        <w:rPr>
          <w:rFonts w:eastAsia="Times New Roman" w:cs="Times New Roman"/>
          <w:color w:val="000000"/>
          <w:kern w:val="0"/>
          <w:szCs w:val="20"/>
          <w:lang w:bidi="en-US"/>
          <w14:ligatures w14:val="none"/>
        </w:rPr>
        <w:t xml:space="preserve">- imprezę organizowaną przez Gminę Opole Lubelskie w czerwcu. Jarmark jest okazją do spotkań rzemieślników, przedsiębiorców, producentów zdrowej żywności, ludzi kultury, turystów oraz mieszkańców Lubelszczyzny. W gminie zostały też zachowane przykłady rzadko spotykanych rzemiosł: plecionkarstwa z rogoziny (wsie Trzebiesza i Darowne), hafciarstwa, plastyki obrzędowej i kowalstwa artystycznego. Kultywowanie tradycji odbywa się również poprzez działalność chórów: Kalina oraz Cantata, a także orkiestry dętej.  Warto również wspomnieć o Dziecięcym Zespole Tańca Ludowego POWIŚLOKI, który działa przy szkole Podstawowej nr 2 w Opolu Lubelskim. W skład zespołu wchodzi ponad 100 osób - pięć grup uczniów szkoły podstawowej od klasy II do VIII i grupa dorosłych (w znacznej mierze absolwentów zespołu). Głównym celem działalności Zespołu jest roztańczenie i rozśpiewanie dzieci i młodzieży oraz uwrażliwienie jej na piękno muzyki, słowa, ruchu i gestu. Repertuar zespołu oparty jest na folklorze Powiśla Lubelskiego, Krzczonowskim, Łowickim, Podlaskim, Lasowiackim, Rzeszowskim, Kurpiowskim, Śląskim, a także na polskich tańcach narodowych. Zespól w 2022 r. obchodził swoje 40 lecie pracy artystycznej. Jedną z form aktywizacji mieszkańców i upowszechniania kultury lokalnej na </w:t>
      </w:r>
      <w:r w:rsidRPr="003F2001">
        <w:rPr>
          <w:rFonts w:eastAsia="Times New Roman" w:cs="Times New Roman"/>
          <w:kern w:val="0"/>
          <w:szCs w:val="20"/>
          <w:lang w:bidi="en-US"/>
          <w14:ligatures w14:val="none"/>
        </w:rPr>
        <w:t>terenie gminy jest także działalność kół gospodyń wiejskich.</w:t>
      </w:r>
    </w:p>
    <w:p w14:paraId="4EBC1610" w14:textId="1C8B8E26" w:rsidR="003F2001" w:rsidRPr="003F2001" w:rsidRDefault="003F2001" w:rsidP="00941F1D">
      <w:pPr>
        <w:pStyle w:val="Nagwek2"/>
      </w:pPr>
      <w:bookmarkStart w:id="109" w:name="_Toc173435456"/>
      <w:bookmarkStart w:id="110" w:name="_Toc191908771"/>
      <w:r>
        <w:t xml:space="preserve">2.4.6 </w:t>
      </w:r>
      <w:r w:rsidRPr="003F2001">
        <w:t>Podsumowanie i wnioski</w:t>
      </w:r>
      <w:bookmarkEnd w:id="109"/>
      <w:bookmarkEnd w:id="110"/>
    </w:p>
    <w:p w14:paraId="20A7412D" w14:textId="77777777" w:rsidR="003F2001" w:rsidRPr="003F2001" w:rsidRDefault="003F2001">
      <w:pPr>
        <w:numPr>
          <w:ilvl w:val="0"/>
          <w:numId w:val="63"/>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Według ewidencji geodezyjnej największą część Gminy Opole Lubelskie stanowią użytki rolne, które zajmują 12 731 ha, czyli ponad 65% jej powierzchni, przy czym 11 626 ha użytków rolnych znajduje się na terenie wiejskim gminy. Struktura użytkowania użytków rolnych wykazuje proporcje charakterystyczne dla obszarów wiejskich o charakterze rolniczym – zdecydowanie dominują grunty orne – 9 420 ha (74,0% powierzchni użytków rolnych), następnie sady – 965 ha (7,6%) oraz łąki trwałe – 844 ha (6,6%). Grunty leśne, zadrzewione i zakrzewione stanowią 28,9% powierzchni gminy.</w:t>
      </w:r>
    </w:p>
    <w:p w14:paraId="4B7C1B43" w14:textId="77777777" w:rsidR="003F2001" w:rsidRPr="003F2001" w:rsidRDefault="003F2001">
      <w:pPr>
        <w:numPr>
          <w:ilvl w:val="0"/>
          <w:numId w:val="63"/>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Według danych GUS uzyskanych w ramach Powszechnego Spisu Rolnego z 2020 r. na terenie Gminy Opole Lubelskie zlokalizowanych było 1 848 gospodarstw rolnych, co stanowiło 22,9% gospodarstw rolnych z terenu całego powiatu opolskiego. W strukturze własności dominuje gospodarka indywidualna o dużym rozdrobnieniu pól – średnia powierzchnia gospodarstwa to 5,62 ha, wobec 6,22 ha w powiecie opolskim oraz 9,64 w województwie lubelskim. </w:t>
      </w:r>
    </w:p>
    <w:p w14:paraId="732EB0DA" w14:textId="7ACC8EA1" w:rsidR="003F2001" w:rsidRPr="003F2001" w:rsidRDefault="003F2001">
      <w:pPr>
        <w:numPr>
          <w:ilvl w:val="0"/>
          <w:numId w:val="63"/>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Podstawowe źródło utrzymania mieszkańców gminy stanowią tradycyjne rolnictwo, sadownictwo, warzywnictwo i gospodarka stawowa. Uwarunkowania agroklimatyczne predysponują obszar gminy do produkcji ogrodniczej i wykorzystywane są przez znaczące w skali powiatu ukierunkowanie gospodarki rolnej na sadownictwo i</w:t>
      </w:r>
      <w:r w:rsidR="00B2530C">
        <w:rPr>
          <w:rFonts w:eastAsia="Times New Roman" w:cs="Times New Roman"/>
          <w:color w:val="4D160F"/>
          <w:kern w:val="0"/>
          <w:szCs w:val="20"/>
          <w:lang w:bidi="en-US"/>
          <w14:ligatures w14:val="none"/>
        </w:rPr>
        <w:t> </w:t>
      </w:r>
      <w:r w:rsidRPr="003F2001">
        <w:rPr>
          <w:rFonts w:eastAsia="Times New Roman" w:cs="Times New Roman"/>
          <w:color w:val="4D160F"/>
          <w:kern w:val="0"/>
          <w:szCs w:val="20"/>
          <w:lang w:bidi="en-US"/>
          <w14:ligatures w14:val="none"/>
        </w:rPr>
        <w:t>ogrodnictwo. W produkcji rolnej istotne znaczenie posiada również uprawa zbóż, roślin okopowych, truskawek. W latach ostatnich znaczącym potencjałem gminy, stała się produkcja gospodarstw posiadających zaplecze szklarniowe oraz gospodarstw ukierunkowanych na hodowlę i sprzedaż ryb (pstrągi, karpie). Obszar wyróżnia się również pod względem upraw przemysłowych (przeznaczanych do produkcji roślinnych surowców dla przemysłu spożywczego i innych).</w:t>
      </w:r>
    </w:p>
    <w:p w14:paraId="6143A164" w14:textId="77777777" w:rsidR="003F2001" w:rsidRPr="003F2001" w:rsidRDefault="003F2001">
      <w:pPr>
        <w:numPr>
          <w:ilvl w:val="0"/>
          <w:numId w:val="63"/>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lastRenderedPageBreak/>
        <w:t>Przedsiębiorczość jest istotnym czynnikiem decydującym o rozwoju społecznym i gospodarczym układów przestrzennych w różnych skalach, również lokalnych. Obok przedstawionej i omówionej powyżej struktury bezrobocia (generującej stan kryzysowy przede wszystkim w sferze społecznej), kluczowymi wskaźnikami obrazującymi sytuację gospodarczą gminy są dane dotyczące podmiotów prowadzących działalność gospodarczą. Należy także podkreślić, że sfera gospodarcza jest silnie sprzężona ze sferą społeczną. Zachodzące w niej zjawiska, w tym zmiany w liczbie podmiotów gospodarczych, liczba zawieszonych i wykreślonych podmiotów, możliwość uzyskania pomocy związanej z założeniem własnej działalności wpływają na lokalny rynek pracy i na aktywność zawodową mieszkańców.</w:t>
      </w:r>
    </w:p>
    <w:p w14:paraId="7A935F74" w14:textId="77777777" w:rsidR="003F2001" w:rsidRPr="003F2001" w:rsidRDefault="003F2001">
      <w:pPr>
        <w:numPr>
          <w:ilvl w:val="0"/>
          <w:numId w:val="63"/>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Na terenie Gminy Opole Lubelskie na koniec 2023 r. w rejestrze REGON zaewidencjonowane były 1 624 podmioty, czyli 34,2% ogółu podmiotów zarejestrowanych w powiecie opolskim. Pozarolnicza działalność gospodarcza skupia się na obszarze miejskim, gdzie zarejestrowanych było 1 041 podmiotów gospodarczych, co stanowi 64,1% podmiotów zarejestrowanych na obszarze gminy. </w:t>
      </w:r>
    </w:p>
    <w:p w14:paraId="02C1D516" w14:textId="25273690" w:rsidR="003F2001" w:rsidRPr="003F2001" w:rsidRDefault="003F2001">
      <w:pPr>
        <w:numPr>
          <w:ilvl w:val="0"/>
          <w:numId w:val="63"/>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Obszar gminy charakteryzuje się dość niskim stopniem nasycenia przedsiębiorczością. Wskaźnik przedsiębiorczości obszaru, obrazujący liczbę podmiotów wpisanych do rejestru REGON na 1 000 mieszkańców w wieku produkcyjnym, na koniec 2023 r. wyniósł 171,5 i</w:t>
      </w:r>
      <w:r w:rsidR="00B2530C">
        <w:rPr>
          <w:rFonts w:eastAsia="Times New Roman" w:cs="Times New Roman"/>
          <w:color w:val="4D160F"/>
          <w:kern w:val="0"/>
          <w:szCs w:val="20"/>
          <w:lang w:bidi="en-US"/>
          <w14:ligatures w14:val="none"/>
        </w:rPr>
        <w:t> </w:t>
      </w:r>
      <w:r w:rsidRPr="003F2001">
        <w:rPr>
          <w:rFonts w:eastAsia="Times New Roman" w:cs="Times New Roman"/>
          <w:color w:val="4D160F"/>
          <w:kern w:val="0"/>
          <w:szCs w:val="20"/>
          <w:lang w:bidi="en-US"/>
          <w14:ligatures w14:val="none"/>
        </w:rPr>
        <w:t xml:space="preserve">był istotnie niższy od wskaźnika obliczonego dla województwa lubelskiego (182,0). Pozytywny jest natomiast fakt, że w ostatnim dziesięcioleciu liczba przedsiębiorstw prowadzących działalności na terenie gminy zwiększyła się znacząco, a tempo wzrostu jest relatywnie wyższe niż w jednostkach porównawczych. </w:t>
      </w:r>
    </w:p>
    <w:p w14:paraId="61186EDA" w14:textId="77777777" w:rsidR="003F2001" w:rsidRPr="003F2001" w:rsidRDefault="003F2001">
      <w:pPr>
        <w:numPr>
          <w:ilvl w:val="0"/>
          <w:numId w:val="63"/>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Na obszarze funkcjonalnym przeważają podmioty gospodarcze o profilu handlowym i usługowym, wykorzystujące lokalne zasoby oraz zakłady przetwórstwa rolno – spożywczego. </w:t>
      </w:r>
    </w:p>
    <w:p w14:paraId="01619471" w14:textId="144A09EB" w:rsidR="003F2001" w:rsidRPr="003F2001" w:rsidRDefault="003F2001">
      <w:pPr>
        <w:numPr>
          <w:ilvl w:val="0"/>
          <w:numId w:val="63"/>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Zdecydowana większość – 95,6% - zarejestrowanych podmiotów działała w sektorze prywatnym. Najliczniejszą grupę stanowiły osoby fizyczne prowadzące działalność gospodarczą (bez osób fizycznych prowadzących wyłącznie indywidualne gospodarstwa rolne) – ich udział wyniósł 80,2% ogółu podmiotów prywatnych. Mniejszy udział w rejestrze miały stowarzyszenia i organizacje społeczne – 4,4%, spółki handlowe – 4,2%, spółki handlowe z udziałem kapitału zagranicznego – 0,3%, fundacje – 0,3% i </w:t>
      </w:r>
      <w:r w:rsidR="00B2530C">
        <w:rPr>
          <w:rFonts w:eastAsia="Times New Roman" w:cs="Times New Roman"/>
          <w:color w:val="4D160F"/>
          <w:kern w:val="0"/>
          <w:szCs w:val="20"/>
          <w:lang w:bidi="en-US"/>
          <w14:ligatures w14:val="none"/>
        </w:rPr>
        <w:t> </w:t>
      </w:r>
      <w:r w:rsidRPr="003F2001">
        <w:rPr>
          <w:rFonts w:eastAsia="Times New Roman" w:cs="Times New Roman"/>
          <w:color w:val="4D160F"/>
          <w:kern w:val="0"/>
          <w:szCs w:val="20"/>
          <w:lang w:bidi="en-US"/>
          <w14:ligatures w14:val="none"/>
        </w:rPr>
        <w:t>spółdzielnie – 0,2%.</w:t>
      </w:r>
    </w:p>
    <w:p w14:paraId="1788651B" w14:textId="5D8A6263"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 strukturze podmiotów gospodarki narodowej Gminy Opole Lubelskie zdecydowanie dominowały mikroprzedsiębiorstwa o liczbie pracujących do 9 osób – stanowiły one 97,0% zarejestrowanych podmiotów. Podmioty małe, liczące od 10 do 49 pracujących, obejmowały 2,5%, a jednostki średnie od 50 do 249 pracujących stanowiły 0,4% wszystkich podmiotów. Ponadto w 2024 r., na terenie gminy zarejestrowany był 1</w:t>
      </w:r>
      <w:r w:rsidR="00B2530C">
        <w:rPr>
          <w:rFonts w:eastAsia="Times New Roman" w:cs="Times New Roman"/>
          <w:color w:val="4D160F"/>
          <w:kern w:val="0"/>
          <w:szCs w:val="20"/>
          <w:lang w:bidi="en-US"/>
          <w14:ligatures w14:val="none"/>
        </w:rPr>
        <w:t> </w:t>
      </w:r>
      <w:r w:rsidRPr="003F2001">
        <w:rPr>
          <w:rFonts w:eastAsia="Times New Roman" w:cs="Times New Roman"/>
          <w:color w:val="4D160F"/>
          <w:kern w:val="0"/>
          <w:szCs w:val="20"/>
          <w:lang w:bidi="en-US"/>
          <w14:ligatures w14:val="none"/>
        </w:rPr>
        <w:t>podmiot zatrudniający ponad 250 pracowników. Zbliżone wartości dotyczące struktury wielkościowej podmiotów odnotowano w województwie lubelskim i powiecie opolskim.</w:t>
      </w:r>
    </w:p>
    <w:p w14:paraId="669B7D2C" w14:textId="77777777"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 2020 r. w gminie utworzono Strefę Aktywności Gospodarczej. Podstrefa ekonomiczna obejmuje tereny stanowiące własność Gminy Opole Lubelskie oraz tereny stanowiące własność osób fizycznych, zlokalizowane przy ul. Owocowej, Kwiatowej oraz Garbarskiej i Górnej. Dzięki dofinansowaniu pozyskanemu ze środków Regionalnego Programu Operacyjnego Województwa Lubelskiego na lata 2014-2020 strefa została uzbrojona we wszelkie niezbędne media: kanalizację sanitarną i deszczową, przyłącza energetyczne, gazowe i teleinformatyczne. Tereny przeznaczone są pod działalność w zakresie produkcji, w tym produkcji energii z promieniowania słonecznego, usług, logistyki, dystrybucji, składowania, magazynowania.</w:t>
      </w:r>
    </w:p>
    <w:p w14:paraId="761DE772" w14:textId="77777777"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lastRenderedPageBreak/>
        <w:t xml:space="preserve">Gmina prowadzi proinwestycyjną politykę stawiającą na promocję gospodarczą i stwarzającą dla napływającego kapitału atrakcyjne warunki funkcjonowania. Dla inwestorów przygotowano ulgi w postaci zwolnienia z podatków lokalnych. </w:t>
      </w:r>
    </w:p>
    <w:p w14:paraId="7444FC7E" w14:textId="77777777"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Znaczna część terenów przyrodniczych Gminy Opole Lubelskie wchodzi w skład systemu obszarów chronionych. Za szczególnie istotny i posiadający największy potencjał rozwoju uznaje się obszar Kluczkowic i Wrzelowca w rejonie Wrzelowieckiego Parku Krajobrazowego oraz obszar obejmujący dolinę rzeki Chodelki, objęty statusem Chodelskiego Obszaru Chronionego Krajobrazu. Rozwojowi turystyki sprzyja również korzystne położenie gminy – w bliskiej odległości od stolicy województwa, w sąsiedztwie znanych miejscowości wypoczynkowych: Nałęczowa i Kazimierza nad Wisłą, a także na trasie przebiegu kolejki wąskotorowej.</w:t>
      </w:r>
    </w:p>
    <w:p w14:paraId="15976630" w14:textId="6934EF29"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Według danych GUS (stan na dzień 31 lipca 2023 r.) na obszarze gminy zlokalizowane były jedynie 2 obiekty zakwaterowania zbiorowego objęte statystyką publiczną. W</w:t>
      </w:r>
      <w:r w:rsidR="00B2530C">
        <w:rPr>
          <w:rFonts w:eastAsia="Times New Roman" w:cs="Times New Roman"/>
          <w:color w:val="4D160F"/>
          <w:kern w:val="0"/>
          <w:szCs w:val="20"/>
          <w:lang w:bidi="en-US"/>
          <w14:ligatures w14:val="none"/>
        </w:rPr>
        <w:t> </w:t>
      </w:r>
      <w:r w:rsidRPr="003F2001">
        <w:rPr>
          <w:rFonts w:eastAsia="Times New Roman" w:cs="Times New Roman"/>
          <w:color w:val="4D160F"/>
          <w:kern w:val="0"/>
          <w:szCs w:val="20"/>
          <w:lang w:bidi="en-US"/>
          <w14:ligatures w14:val="none"/>
        </w:rPr>
        <w:t xml:space="preserve"> gminie znajdują się ponadto obiekty noclegowe zakwaterowania indywidualnego – kwatery prywatne i gospodarstwa agroturystyczne, nieobjęte statystyką publiczną, które mogą być miejscem odpoczynku oraz punktem wypadowym dla zwiedzania i</w:t>
      </w:r>
      <w:r w:rsidR="00B2530C">
        <w:rPr>
          <w:rFonts w:eastAsia="Times New Roman" w:cs="Times New Roman"/>
          <w:color w:val="4D160F"/>
          <w:kern w:val="0"/>
          <w:szCs w:val="20"/>
          <w:lang w:bidi="en-US"/>
          <w14:ligatures w14:val="none"/>
        </w:rPr>
        <w:t> </w:t>
      </w:r>
      <w:r w:rsidRPr="003F2001">
        <w:rPr>
          <w:rFonts w:eastAsia="Times New Roman" w:cs="Times New Roman"/>
          <w:color w:val="4D160F"/>
          <w:kern w:val="0"/>
          <w:szCs w:val="20"/>
          <w:lang w:bidi="en-US"/>
          <w14:ligatures w14:val="none"/>
        </w:rPr>
        <w:t>korzystania z atrakcji dostępnych na tym obszarze. Warto również zauważyć, że pobytowy charakter wypoczynku wiąże się głównie z weekendowymi lub agroturystycznymi formami spędzania czasu oraz rekreacją indywidualną na bazie zabudowy letniskowej.</w:t>
      </w:r>
    </w:p>
    <w:p w14:paraId="6C37EF04" w14:textId="77777777"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Biorąc pod uwagę obszar całego powiatu opolskiego, należy zauważyć, że w 2023 r. z 10 turystycznych obiektów noclegowych działających na jego terenie skorzystało 21 692 turystów (6. miejsce w województwie lubelskim bez miast na prawach powiatu), którym udzielono 30 038 noclegów. Sytuacja powiatu jest relatywnie niekorzystna biorąc pod uwagę wskaźniki dotyczące: miejsc noclegowych na 1 000 ludności oraz liczby turystów korzystających z noclegów na 1 000 ludności (10. miejsce wśród powiatów ziemskich). Średni czas pobytu zarówno turystów krajowych, jak i zagranicznych w turystycznych obiektach noclegowych w powiecie opolskim wynosił w 2023 r. przeciętnie 1,4 noclegu (ostatnie miejsce w regionie). </w:t>
      </w:r>
    </w:p>
    <w:p w14:paraId="38D95368" w14:textId="77777777"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Ważnym elementem infrastruktury turystycznej obszaru jest istniejąca sieć szlaków i tras turystycznych – pieszych, rowerowych i kajakowych. Przez teren gminy przebiegają szlaki rowerowe o randze ponadlokalnej: Doliną Chodelki, Kazimierz Dolny – Opole Lubelskie – Bęczyn, Kazimierz Dolny – Kraśnik, Nitką Kolejki Wąskotorowej, Opole Lubelskie – Solec nad Wisłą. Jedną z form poznania bogactwa natury gminy są również wycieczki piesze po wytyczonych szlakach pieszych oraz ścieżkach dydaktycznych.</w:t>
      </w:r>
    </w:p>
    <w:p w14:paraId="04618671" w14:textId="77777777"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Opole Lubelskie posiada również sprzyjające warunki do rozwoju turystyki wodnej - stawy hodowlane, zbiorniki wodne oraz rzeki zachęcają do uprawiania sportów wodnych, pływania, plażowania i wędkowania. </w:t>
      </w:r>
    </w:p>
    <w:p w14:paraId="2C6F3F5F" w14:textId="77777777"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Bardzo ważną atrakcją obszaru jest Nadwiślańska Kolejka Wąskotorowa – jedyna taka kolejka na terenie województwa lubelskiego. Obecnie udostępniono dla przejazdów kolejowo – drezynowych 20 km linii oraz 5 stacji kolejowych: stacja Karczmiska, Polanówka, Pustelnia, Opole Lubelskie oraz stacja Kultura w Poniatowej. Kolejka kursuje na odcinkach: Karczmiska - Opole Lubelskie (lub Poniatowa) - Karczmiska- Polanówka – Karczmiska, Karczmiska - Polanówka - Karczmiska. Drezyny rowerowe kursują na odcinkach: Karczmiska - Pustelnia – Karczmiska, Karczmiska – Polanówka-Karczmiska, Karczmiska - Poniatowa - Karczmiska. </w:t>
      </w:r>
    </w:p>
    <w:p w14:paraId="42DEDA55" w14:textId="77777777"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Gmina Opole Lubelskie legitymuje się bogatą przeszłością historyczną i dziedzictwem kulturowym. O przeszłości historycznej tych ziem świadczą zachowane zabytki - obiekty i ich zespoły, które posiadają wysoką wartość kulturową. Na terenie gminy znajduje się 11 </w:t>
      </w:r>
      <w:r w:rsidRPr="003F2001">
        <w:rPr>
          <w:rFonts w:eastAsia="Times New Roman" w:cs="Times New Roman"/>
          <w:color w:val="4D160F"/>
          <w:kern w:val="0"/>
          <w:szCs w:val="20"/>
          <w:lang w:bidi="en-US"/>
          <w14:ligatures w14:val="none"/>
        </w:rPr>
        <w:lastRenderedPageBreak/>
        <w:t>obiektów zabytkowych lub zespołów obiektów wpisanych do rejestru zabytków. Ważną instytucją, będącą źródłem wiedzy o regionie, jego historii i kulturze, jest – mieszczące się w odrestaurowanym w 2006 r. Pałacu Kleniewskich – Muzeum Regionalne w Kluczkowicach.</w:t>
      </w:r>
    </w:p>
    <w:p w14:paraId="7A6AB8E8" w14:textId="47EA6FBD"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Wymienione walory krajoznawcze, wypoczynkowe, kulturowe obszaru mają zauważalny potencjał dla przyciągnięcia turystów i mogą stanowić podstawę dla kreowania spójnych i kompleksowych produktów turystycznych, co częściowo zostało już wykorzystane. Pomimo intensywnych działań promujących walory kulturowe i turystyczne obecny potencjał wciąż nie jest w pełni wykorzystany, dlatego działania inwestycyjne gminy należy w większym stopniu ukierunkować na poprawę jakości i atrakcyjności infrastruktury i usług związanych z turystyką. Zauważalna nieregularność w liczbie turystów odwiedzających obszar oraz relatywnie krótki czas pobytu turystów mogą świadczyć również o braku spójnej oferty turystycznej na terenie gminy. Występujące na analizowanym obszarze walory przyrodnicze i antropogeniczne, w powiązaniu z czystym środowiskiem i dobrą dostępnością komunikacyjną stwarzają, potencjalne warunki do rozwoju agroturystyki, turystyki krajoznawczej i kulturowej oraz turystyki weekendowej. Niezbędnym warunkiem w tym zakresie jest nie tylko przygotowanie odpowiedniej infrastruktury turystycznej, ale także tworzenie nowych, sieciowych produktów turystycznych oraz prowadzenie skutecznych działań promocyjnych. Konieczne jest opracowanie polityki rozwoju produktów turystycznych oraz świadome kreowanie produktów zintegrowanych</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bazujących na bogatych walorach naturalnych, krajobrazowych oraz historii miejsc, w szczególności szlaków przyrodniczych, ścieżek edukacyjnych, pieszych i rowerowych, które pozwolą na zbudowanie spójnego wizerunku oraz kompleksowej oferty turystyczno-pobytowej na terenie gminy.</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Niezbędne są również dalsze inwestycje związane z ochroną bioróżnorodności, siedlisk zwierząt i</w:t>
      </w:r>
      <w:r w:rsidR="00B2530C">
        <w:rPr>
          <w:rFonts w:eastAsia="Times New Roman" w:cs="Times New Roman"/>
          <w:color w:val="4D160F"/>
          <w:kern w:val="0"/>
          <w:szCs w:val="20"/>
          <w:lang w:bidi="en-US"/>
          <w14:ligatures w14:val="none"/>
        </w:rPr>
        <w:t> </w:t>
      </w:r>
      <w:r w:rsidRPr="003F2001">
        <w:rPr>
          <w:rFonts w:eastAsia="Times New Roman" w:cs="Times New Roman"/>
          <w:color w:val="4D160F"/>
          <w:kern w:val="0"/>
          <w:szCs w:val="20"/>
          <w:lang w:bidi="en-US"/>
          <w14:ligatures w14:val="none"/>
        </w:rPr>
        <w:t xml:space="preserve">gatunków roślin. </w:t>
      </w:r>
    </w:p>
    <w:p w14:paraId="6B4487CD" w14:textId="77777777" w:rsidR="003F2001" w:rsidRPr="003F2001" w:rsidRDefault="003F2001">
      <w:pPr>
        <w:numPr>
          <w:ilvl w:val="0"/>
          <w:numId w:val="63"/>
        </w:numPr>
        <w:spacing w:after="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Działania te przyczynią się do wypromowania gminy jako atrakcyjnego przyrodniczo i krajobrazowo terenu na turystycznej mapie Lubelszczyzny. Realizacja ww. przedsięwzięć wzmocni funkcję turystyczną obszaru, wypromuje jego nieznane walory przyrodnicze i krajobrazowe, jednocześnie przyczyni się do poprawy warunków dla rozwoju przedsiębiorczości.</w:t>
      </w:r>
      <w:r w:rsidRPr="003F2001">
        <w:rPr>
          <w:rFonts w:eastAsia="Times New Roman" w:cs="Times New Roman"/>
          <w:color w:val="4D160F"/>
          <w:kern w:val="0"/>
          <w:szCs w:val="20"/>
          <w:lang w:bidi="en-US"/>
          <w14:ligatures w14:val="none"/>
        </w:rPr>
        <w:cr/>
      </w:r>
      <w:r w:rsidRPr="003F2001">
        <w:rPr>
          <w:rFonts w:eastAsia="Times New Roman" w:cs="Times New Roman"/>
          <w:color w:val="4D160F"/>
          <w:kern w:val="0"/>
          <w:szCs w:val="20"/>
          <w:lang w:bidi="en-US"/>
          <w14:ligatures w14:val="none"/>
        </w:rPr>
        <w:br w:type="page"/>
      </w:r>
    </w:p>
    <w:p w14:paraId="7ED7AC5A" w14:textId="13D2A9C6" w:rsidR="003F2001" w:rsidRPr="003F2001" w:rsidRDefault="003F2001" w:rsidP="00941F1D">
      <w:pPr>
        <w:pStyle w:val="Nagwek1"/>
        <w:rPr>
          <w:lang w:bidi="en-US"/>
        </w:rPr>
      </w:pPr>
      <w:bookmarkStart w:id="111" w:name="_Toc173435457"/>
      <w:bookmarkStart w:id="112" w:name="_Toc191908772"/>
      <w:r>
        <w:rPr>
          <w:lang w:bidi="en-US"/>
        </w:rPr>
        <w:lastRenderedPageBreak/>
        <w:t xml:space="preserve">2.5 </w:t>
      </w:r>
      <w:r w:rsidRPr="003F2001">
        <w:rPr>
          <w:lang w:bidi="en-US"/>
        </w:rPr>
        <w:t>Infrastruktura techniczna</w:t>
      </w:r>
      <w:bookmarkEnd w:id="111"/>
      <w:bookmarkEnd w:id="112"/>
    </w:p>
    <w:p w14:paraId="32FBFBD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Infrastruktura techniczna, utożsamiana z dostępnością i jakością urządzeń, jak i sieci przesyłowej (m.in. energetycznej, ciepłowniczej, gazowej), a także ze świadczeniem określonych usług w istotnym stopniu decyduje o atrakcyjności lokalizacyjnej obszaru, wpływa na produktywność czynników wytwórczych, a także określa poziom życia jego mieszkańców.</w:t>
      </w:r>
    </w:p>
    <w:p w14:paraId="07F87C56" w14:textId="1D80338E" w:rsidR="003F2001" w:rsidRPr="003F2001" w:rsidRDefault="003F2001" w:rsidP="00941F1D">
      <w:pPr>
        <w:pStyle w:val="Nagwek2"/>
      </w:pPr>
      <w:bookmarkStart w:id="113" w:name="_Toc173435458"/>
      <w:bookmarkStart w:id="114" w:name="_Toc191908773"/>
      <w:r>
        <w:t xml:space="preserve">2.5.1 </w:t>
      </w:r>
      <w:r w:rsidRPr="003F2001">
        <w:t>Infrastruktura komunikacyjna i dostępność transportowa</w:t>
      </w:r>
      <w:bookmarkEnd w:id="113"/>
      <w:bookmarkEnd w:id="114"/>
    </w:p>
    <w:p w14:paraId="62C6A8E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Jednym z kluczowych elementów organizacji przestrzeni, warunkującym rozwój społeczno-gospodarczy obszaru, jest jego </w:t>
      </w:r>
      <w:r w:rsidRPr="003F2001">
        <w:rPr>
          <w:rFonts w:eastAsia="Times New Roman" w:cs="Times New Roman"/>
          <w:b/>
          <w:bCs/>
          <w:color w:val="4D160F"/>
          <w:kern w:val="0"/>
          <w:szCs w:val="20"/>
          <w:lang w:bidi="en-US"/>
          <w14:ligatures w14:val="none"/>
        </w:rPr>
        <w:t>dostępność komunikacyjna</w:t>
      </w:r>
      <w:r w:rsidRPr="003F2001">
        <w:rPr>
          <w:rFonts w:eastAsia="Times New Roman" w:cs="Times New Roman"/>
          <w:kern w:val="0"/>
          <w:szCs w:val="20"/>
          <w:lang w:bidi="en-US"/>
          <w14:ligatures w14:val="none"/>
        </w:rPr>
        <w:t>. Infrastrukturę komunikacyjną na terenie Gminy Opole Lubelskie tworzy: infrastruktura drogowa oraz infrastruktura kolejowa.</w:t>
      </w:r>
    </w:p>
    <w:p w14:paraId="7A4BD3C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Opole Lubelskie jest największym ośrodkiem miejskim w południowo-zachodniej części województwa, położonym w węźle komunikacyjnym dróg wojewódzkich. Drogi wojewódzkie przebiegające przez gminę to: </w:t>
      </w:r>
    </w:p>
    <w:p w14:paraId="4A087C44" w14:textId="77777777" w:rsidR="003F2001" w:rsidRPr="003F2001" w:rsidRDefault="003F2001">
      <w:pPr>
        <w:numPr>
          <w:ilvl w:val="0"/>
          <w:numId w:val="74"/>
        </w:numPr>
        <w:spacing w:after="0" w:line="276" w:lineRule="auto"/>
        <w:ind w:left="568" w:hanging="284"/>
        <w:jc w:val="left"/>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droga województwa nr 747</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relacji Iłża – Lipsko – Solec n. Wisłą – Opole Lubelskie – Bełżyce – Konopnica; </w:t>
      </w:r>
    </w:p>
    <w:p w14:paraId="42942A06" w14:textId="77777777" w:rsidR="003F2001" w:rsidRPr="003F2001" w:rsidRDefault="003F2001">
      <w:pPr>
        <w:numPr>
          <w:ilvl w:val="0"/>
          <w:numId w:val="74"/>
        </w:numPr>
        <w:spacing w:after="0" w:line="276" w:lineRule="auto"/>
        <w:ind w:left="568" w:hanging="284"/>
        <w:jc w:val="left"/>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droga wojewódzka nr 824</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relacji Żyrzyn – Puławy – Opole Lubelskie – Józefów – Annopol; </w:t>
      </w:r>
    </w:p>
    <w:p w14:paraId="491D028B" w14:textId="77777777" w:rsidR="003F2001" w:rsidRPr="003F2001" w:rsidRDefault="003F2001">
      <w:pPr>
        <w:numPr>
          <w:ilvl w:val="0"/>
          <w:numId w:val="74"/>
        </w:numPr>
        <w:spacing w:after="160" w:line="276" w:lineRule="auto"/>
        <w:ind w:left="567" w:hanging="283"/>
        <w:jc w:val="left"/>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droga wojewódzka nr 832</w:t>
      </w:r>
      <w:r w:rsidRPr="003F2001">
        <w:rPr>
          <w:rFonts w:eastAsia="Times New Roman" w:cs="Times New Roman"/>
          <w:kern w:val="0"/>
          <w:szCs w:val="20"/>
          <w:lang w:bidi="en-US"/>
          <w14:ligatures w14:val="none"/>
        </w:rPr>
        <w:t xml:space="preserve"> relacji Wola Rudzka – Poniatowa – Krężnica Okrągła.</w:t>
      </w:r>
    </w:p>
    <w:p w14:paraId="78F76A94" w14:textId="77777777" w:rsidR="003F2001" w:rsidRPr="003F2001" w:rsidRDefault="003F2001" w:rsidP="003F2001">
      <w:pPr>
        <w:spacing w:after="160" w:line="259" w:lineRule="auto"/>
        <w:rPr>
          <w:rFonts w:eastAsia="Times New Roman" w:cs="Times New Roman"/>
          <w:kern w:val="0"/>
          <w:szCs w:val="20"/>
          <w:lang w:bidi="en-US"/>
          <w14:ligatures w14:val="none"/>
        </w:rPr>
      </w:pPr>
      <w:r w:rsidRPr="003F2001">
        <w:rPr>
          <w:rFonts w:eastAsia="Times New Roman" w:cs="Times New Roman"/>
          <w:color w:val="000000"/>
          <w:kern w:val="0"/>
          <w:szCs w:val="20"/>
          <w:lang w:bidi="en-US"/>
          <w14:ligatures w14:val="none"/>
        </w:rPr>
        <w:t xml:space="preserve">Wewnętrzną komunikację zapewniają głównie </w:t>
      </w:r>
      <w:r w:rsidRPr="003F2001">
        <w:rPr>
          <w:rFonts w:eastAsia="Times New Roman" w:cs="Times New Roman"/>
          <w:b/>
          <w:bCs/>
          <w:color w:val="4D160F"/>
          <w:kern w:val="0"/>
          <w:szCs w:val="20"/>
          <w:lang w:bidi="en-US"/>
          <w14:ligatures w14:val="none"/>
        </w:rPr>
        <w:t>drogi powiatowe i gminne</w:t>
      </w:r>
      <w:r w:rsidRPr="003F2001">
        <w:rPr>
          <w:rFonts w:eastAsia="Times New Roman" w:cs="Times New Roman"/>
          <w:color w:val="000000"/>
          <w:kern w:val="0"/>
          <w:szCs w:val="20"/>
          <w:lang w:bidi="en-US"/>
          <w14:ligatures w14:val="none"/>
        </w:rPr>
        <w:t xml:space="preserve">. Drogi te stanowią podstawową sieć drogową, niezbędną do obsługi zapotrzebowania komunikacyjnego lokalnej społeczności oraz zapewnienia </w:t>
      </w:r>
      <w:r w:rsidRPr="003F2001">
        <w:rPr>
          <w:rFonts w:eastAsia="Times New Roman" w:cs="Times New Roman"/>
          <w:kern w:val="0"/>
          <w:szCs w:val="20"/>
          <w:lang w:bidi="en-US"/>
          <w14:ligatures w14:val="none"/>
        </w:rPr>
        <w:t xml:space="preserve">powiązań jednostek z drogami wyższej kategorii. </w:t>
      </w:r>
    </w:p>
    <w:p w14:paraId="46C0B909" w14:textId="77777777" w:rsidR="003F2001" w:rsidRPr="003F2001" w:rsidRDefault="003F2001" w:rsidP="003F2001">
      <w:pPr>
        <w:spacing w:after="160" w:line="259"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Jeden z najistotniejszych czynników rozwojowych gminy stanowi zrealizowana </w:t>
      </w:r>
      <w:r w:rsidRPr="003F2001">
        <w:rPr>
          <w:rFonts w:eastAsia="Times New Roman" w:cs="Times New Roman"/>
          <w:b/>
          <w:bCs/>
          <w:color w:val="4D160F"/>
          <w:kern w:val="0"/>
          <w:szCs w:val="20"/>
          <w:lang w:bidi="en-US"/>
          <w14:ligatures w14:val="none"/>
        </w:rPr>
        <w:t>południowa obwodnica miasta</w:t>
      </w:r>
      <w:r w:rsidRPr="003F2001">
        <w:rPr>
          <w:rFonts w:eastAsia="Times New Roman" w:cs="Times New Roman"/>
          <w:kern w:val="0"/>
          <w:szCs w:val="20"/>
          <w:lang w:bidi="en-US"/>
          <w14:ligatures w14:val="none"/>
        </w:rPr>
        <w:t xml:space="preserve"> w ciągu drogi wojewódzkiej nr 747 wraz z realizacją mostu na Wiśle w miejscowości Kamień. Ponadto, dzięki realizacji licznych inwestycji drogowych oraz prowadzonym pracom związanym z remontami bieżącymi i utrzymaniem infrastruktury, stan dróg powiatowych i gminnych Gminy Opole Lubelskie w ciągu ostatnich lat uległ znacznej poprawie.</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Warto wspomnieć choćby o inwestycjach z Funduszu Dróg Samorządowych, których celem jest poprawa bezpieczeństwa ruchu drogowego i parametrów technicznych lokalnej sieci drogowej, a także zwiększenie atrakcyjności i dostępności do terenów inwestycyjnych. Posługując się danymi GUS należy zauważyć, że odsetek długości dróg gminnych o nawierzchni twardej w Gminie Opole Lubelskie w 2022 r. wyniósł 70,5%, wobec 45,6% w powiecie opolskim oraz 46,8% w województwie lubelskim. Odsetek długości dróg powiatowych o nawierzchni twardej w powiecie opolskim był również wysoki i wyniósł aż 90,7%, wobec 89,1% w województwie lubelskim. Co więcej, wskaźnik gęstości sieci dróg powiatowych utwardzonych i gminnych utwardzonych, który to decyduje o skomunikowaniu i dostępności wewnętrznej obszaru, obliczony dla powiatu opolskiego wyniósł 92,7 km/100 km</w:t>
      </w:r>
      <w:r w:rsidRPr="003F2001">
        <w:rPr>
          <w:rFonts w:eastAsia="Times New Roman" w:cs="Times New Roman"/>
          <w:kern w:val="0"/>
          <w:szCs w:val="20"/>
          <w:vertAlign w:val="superscript"/>
          <w:lang w:bidi="en-US"/>
          <w14:ligatures w14:val="none"/>
        </w:rPr>
        <w:t>2</w:t>
      </w:r>
      <w:r w:rsidRPr="003F2001">
        <w:rPr>
          <w:rFonts w:eastAsia="Times New Roman" w:cs="Times New Roman"/>
          <w:kern w:val="0"/>
          <w:szCs w:val="20"/>
          <w:lang w:bidi="en-US"/>
          <w14:ligatures w14:val="none"/>
        </w:rPr>
        <w:t xml:space="preserve"> i był znacznie wyższy, zarówno w stosunku do średniej wojewódzkiej (81,8 km/100 km</w:t>
      </w:r>
      <w:r w:rsidRPr="003F2001">
        <w:rPr>
          <w:rFonts w:eastAsia="Times New Roman" w:cs="Times New Roman"/>
          <w:kern w:val="0"/>
          <w:szCs w:val="20"/>
          <w:vertAlign w:val="superscript"/>
          <w:lang w:bidi="en-US"/>
          <w14:ligatures w14:val="none"/>
        </w:rPr>
        <w:t>2</w:t>
      </w:r>
      <w:r w:rsidRPr="003F2001">
        <w:rPr>
          <w:rFonts w:eastAsia="Times New Roman" w:cs="Times New Roman"/>
          <w:kern w:val="0"/>
          <w:szCs w:val="20"/>
          <w:lang w:bidi="en-US"/>
          <w14:ligatures w14:val="none"/>
        </w:rPr>
        <w:t>), jak i krajowej (85,9 km/100 km</w:t>
      </w:r>
      <w:r w:rsidRPr="003F2001">
        <w:rPr>
          <w:rFonts w:eastAsia="Times New Roman" w:cs="Times New Roman"/>
          <w:kern w:val="0"/>
          <w:szCs w:val="20"/>
          <w:vertAlign w:val="superscript"/>
          <w:lang w:bidi="en-US"/>
          <w14:ligatures w14:val="none"/>
        </w:rPr>
        <w:t>2</w:t>
      </w:r>
      <w:r w:rsidRPr="003F2001">
        <w:rPr>
          <w:rFonts w:eastAsia="Times New Roman" w:cs="Times New Roman"/>
          <w:kern w:val="0"/>
          <w:szCs w:val="20"/>
          <w:lang w:bidi="en-US"/>
          <w14:ligatures w14:val="none"/>
        </w:rPr>
        <w:t>).</w:t>
      </w:r>
    </w:p>
    <w:p w14:paraId="6A875F1D" w14:textId="568E417F"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Do efektywnego funkcjonowania drogowego transportu osobowego i towarowego, a także poprawy bezpieczeństwa ruchu drogowego i jakości życia mieszkańców przyczyni się niewątpliwie zaplanowana </w:t>
      </w:r>
      <w:r w:rsidRPr="003F2001">
        <w:rPr>
          <w:rFonts w:eastAsia="Times New Roman" w:cs="Times New Roman"/>
          <w:b/>
          <w:bCs/>
          <w:color w:val="4D160F"/>
          <w:kern w:val="0"/>
          <w:szCs w:val="20"/>
          <w:lang w:bidi="en-US"/>
          <w14:ligatures w14:val="none"/>
        </w:rPr>
        <w:t xml:space="preserve">budowa </w:t>
      </w:r>
      <w:r w:rsidR="00D9205E">
        <w:rPr>
          <w:rFonts w:eastAsia="Times New Roman" w:cs="Times New Roman"/>
          <w:b/>
          <w:bCs/>
          <w:color w:val="4D160F"/>
          <w:kern w:val="0"/>
          <w:szCs w:val="20"/>
          <w:lang w:bidi="en-US"/>
          <w14:ligatures w14:val="none"/>
        </w:rPr>
        <w:t>wschodniej</w:t>
      </w:r>
      <w:r w:rsidRPr="003F2001">
        <w:rPr>
          <w:rFonts w:eastAsia="Times New Roman" w:cs="Times New Roman"/>
          <w:b/>
          <w:bCs/>
          <w:color w:val="4D160F"/>
          <w:kern w:val="0"/>
          <w:szCs w:val="20"/>
          <w:lang w:bidi="en-US"/>
          <w14:ligatures w14:val="none"/>
        </w:rPr>
        <w:t xml:space="preserve"> obwodnicy Opola Lubelskiego</w:t>
      </w:r>
      <w:r w:rsidRPr="003F2001">
        <w:rPr>
          <w:rFonts w:eastAsia="Times New Roman" w:cs="Times New Roman"/>
          <w:kern w:val="0"/>
          <w:szCs w:val="20"/>
          <w:lang w:bidi="en-US"/>
          <w14:ligatures w14:val="none"/>
        </w:rPr>
        <w:t xml:space="preserve">. Planowana obwodnica będzie mieć 1,75 km i w całości zlokalizowana będzie na terenie Gminy Opole Lubelskie. Wraz z jej budową powstaną dodatkowo m.in. ścieżki rowerowe, ciągi pieszo-rowerowe, chodniki oraz nowe skrzyżowania. Dzięki obwodnicy pojazdy poruszające się od drogi wojewódzkiej nr 747 w stronę Puław czy Poniatowej, nie będą musiały już przejeżdżać przez centrum Opola Lubelskiego. Budowa planowanej obwodnicy przyczyni się do poprawy </w:t>
      </w:r>
      <w:r w:rsidRPr="003F2001">
        <w:rPr>
          <w:rFonts w:eastAsia="Times New Roman" w:cs="Times New Roman"/>
          <w:kern w:val="0"/>
          <w:szCs w:val="20"/>
          <w:lang w:bidi="en-US"/>
          <w14:ligatures w14:val="none"/>
        </w:rPr>
        <w:lastRenderedPageBreak/>
        <w:t>przepustowości i płynności jazdy, wyprowadzenia ruchu tranzytowego z miasta, poprawy bezpieczeństwa ruchu drogowego, a także zmniejszy zanieczyszczenie powietrza i poprawi klimat akustyczny.</w:t>
      </w:r>
    </w:p>
    <w:p w14:paraId="6658DB5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Do problemów transportowych gminy zaliczyć należy również niedostatecznie rozwinięty układ </w:t>
      </w:r>
      <w:r w:rsidRPr="003F2001">
        <w:rPr>
          <w:rFonts w:eastAsia="Times New Roman" w:cs="Times New Roman"/>
          <w:b/>
          <w:bCs/>
          <w:color w:val="4D160F"/>
          <w:kern w:val="0"/>
          <w:szCs w:val="20"/>
          <w:lang w:bidi="en-US"/>
          <w14:ligatures w14:val="none"/>
        </w:rPr>
        <w:t>dróg rowerowych</w:t>
      </w:r>
      <w:r w:rsidRPr="003F2001">
        <w:rPr>
          <w:rFonts w:eastAsia="Times New Roman" w:cs="Times New Roman"/>
          <w:kern w:val="0"/>
          <w:szCs w:val="20"/>
          <w:lang w:bidi="en-US"/>
          <w14:ligatures w14:val="none"/>
        </w:rPr>
        <w:t>. Łączna długość ścieżek rowerowych (dróg dla rowerów) na tym obszarze – według danych GUS – wynosi 10,1 km.</w:t>
      </w:r>
    </w:p>
    <w:p w14:paraId="79E453FA"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Sieć kolejowa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w gminie reprezentowana jest przez kolejkę wąskotorową, wykorzystywaną jedynie w celach turystycznych jako jedna z rekreacyjno-wypoczynkowych atrakcji gminy.</w:t>
      </w:r>
    </w:p>
    <w:p w14:paraId="47768BD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System komunikacji publicznej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funkcjonujący na terenie gminy stanowi publiczny transport organizowany przez Gminę Opole Lubelskie i Powiat Opolski oraz transport realizowany przez przewoźników prywatnych. Przewozy autobusowe, organizowane przez Powiat Opolski, realizowane są na trasach komunikacyjnych:</w:t>
      </w:r>
    </w:p>
    <w:p w14:paraId="29DE9D48" w14:textId="77777777" w:rsidR="003F2001" w:rsidRPr="003F2001" w:rsidRDefault="003F2001">
      <w:pPr>
        <w:numPr>
          <w:ilvl w:val="0"/>
          <w:numId w:val="75"/>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Opole Lubelskie - Baba – Skoków – Puszno Skokowskie – Ludwików – Wandalin – Zadole – Góry Kluczkowickie – Kluczkowice – Wrzelowiec – Ożarów – Elżbieta – Opole Lubelskie;</w:t>
      </w:r>
    </w:p>
    <w:p w14:paraId="5C448A27" w14:textId="77777777" w:rsidR="003F2001" w:rsidRPr="003F2001" w:rsidRDefault="003F2001">
      <w:pPr>
        <w:numPr>
          <w:ilvl w:val="0"/>
          <w:numId w:val="75"/>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Opole Lubelskie – Elżbieta – Ożarów – Wrzelowiec – Kluczkowice – Góry Kluczkowickie – Zadole – Wandalin – Ludwików – Puszno Skokowskie – Skoków – Baba – Opole Lubelskie;</w:t>
      </w:r>
    </w:p>
    <w:p w14:paraId="4C74E072" w14:textId="77777777" w:rsidR="003F2001" w:rsidRPr="003F2001" w:rsidRDefault="003F2001">
      <w:pPr>
        <w:numPr>
          <w:ilvl w:val="0"/>
          <w:numId w:val="75"/>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Opole Lubelskie –Wola Rudzka – Trzebiesz – Majdan Trzebieski – Poniatowa – Dąbrowa Wronowska – Siewalka - Lipiny – Chodel – Przytyki – Komaszyce Stare – Komaszyce Nowe – Emilcin – Skoków – Zosin – Opole Lubelskie;</w:t>
      </w:r>
    </w:p>
    <w:p w14:paraId="3AD34CEE" w14:textId="77777777" w:rsidR="003F2001" w:rsidRPr="003F2001" w:rsidRDefault="003F2001">
      <w:pPr>
        <w:numPr>
          <w:ilvl w:val="0"/>
          <w:numId w:val="75"/>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Opole Lubelskie – Zosin – Skoków – Emilcin – Komaszyce Nowe – Komaszyce Stare – Przytyki – Chodel – Lipiny – Siewalka – Dąbrowa Wronowska –</w:t>
      </w:r>
    </w:p>
    <w:p w14:paraId="573B264B" w14:textId="77777777" w:rsidR="003F2001" w:rsidRPr="003F2001" w:rsidRDefault="003F2001">
      <w:pPr>
        <w:numPr>
          <w:ilvl w:val="0"/>
          <w:numId w:val="75"/>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Poniatowa – Sporniak – Majdan Trzebieski – Trzebiesza – Wola Rudzka - Opole Lubelskie, • Opole Lubelskie – Elżbieta – Ożarów – Wrzelowiec – Kluczkowice – Góry Kluczkowickie – Zadole – Wandalin – Ludwików – Puszno Skokowskie – Skoków – Baba – Opole Lubelskie.</w:t>
      </w:r>
    </w:p>
    <w:p w14:paraId="1338F14D" w14:textId="77777777" w:rsidR="003F2001" w:rsidRPr="003F2001" w:rsidRDefault="003F2001" w:rsidP="003F2001">
      <w:pPr>
        <w:spacing w:after="160" w:line="259" w:lineRule="auto"/>
        <w:rPr>
          <w:rFonts w:ascii="Calibri" w:eastAsia="Calibri" w:hAnsi="Calibri" w:cs="Times New Roman"/>
          <w:sz w:val="22"/>
        </w:rPr>
      </w:pPr>
      <w:r w:rsidRPr="003F2001">
        <w:rPr>
          <w:rFonts w:eastAsia="Times New Roman" w:cs="Times New Roman"/>
          <w:kern w:val="0"/>
          <w:szCs w:val="20"/>
          <w:lang w:bidi="en-US"/>
          <w14:ligatures w14:val="none"/>
        </w:rPr>
        <w:t xml:space="preserve">Gmina dzięki otrzymanej dopłacie ze środków Funduszu rozwoju przewozów autobusowych o charakterze użyteczności publicznej zgodnie z zawartymi umowami na świadczenie usług w zakresie publicznego transportu zbiorowego realizuje przewozy na 5 liniach komunikacyjnych: Opole Lubelskie – Kamionka – Opole Lubelskie, Opole Lubelskie – Sewerynówka – Opole Lubelskie, Opole Lubelskie - Skoków – Puszno Skokowskie – Puszno Godowskie – Truszków – Stare Komaszyce – Wólka Komaszycka - Nowe Komaszyce – Zosin - Opole Lubelskie, Opole Lubelskie – Kazimierzów – Góry Opolskie – Opole Lubelskie oraz Opole Lubelskie – Kazimierzów – Góry Opolskie – Opole Lubelskie. </w:t>
      </w:r>
    </w:p>
    <w:p w14:paraId="0A8DD996" w14:textId="206D3FC4" w:rsidR="003F2001" w:rsidRPr="003F2001" w:rsidRDefault="003F2001" w:rsidP="00941F1D">
      <w:pPr>
        <w:pStyle w:val="Nagwek2"/>
      </w:pPr>
      <w:bookmarkStart w:id="115" w:name="_Toc173435459"/>
      <w:bookmarkStart w:id="116" w:name="_Toc191908774"/>
      <w:r>
        <w:t xml:space="preserve">2.5.2 </w:t>
      </w:r>
      <w:r w:rsidRPr="003F2001">
        <w:t>Infrastruktura wodno-kanalizacyjna</w:t>
      </w:r>
      <w:bookmarkEnd w:id="115"/>
      <w:bookmarkEnd w:id="116"/>
    </w:p>
    <w:p w14:paraId="7EE1155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Jednym z elementów infrastrukturalnych niezbędnych do rozwoju obszaru oraz w zasadniczy sposób wpływającym na ochronę środowiska jest sieć wodno-kanalizacyjna.</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Brak przyłączy do sieci może powodować nieefektywne korzystanie z obiektów budowlanych, zwiększać prawdopodobieństwo występowania negatywnych konsekwencji zdrowotnych dla mieszkańców, a także negatywnie wypływać na stan środowiska przyrodniczego.</w:t>
      </w:r>
    </w:p>
    <w:p w14:paraId="1BFBF61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Za gospodarkę wodną i kanalizacyjną w gminie Opole Lubelskie odpowiada Opolskie Przedsiębiorstwo Komunalne Sp. z o.o. w Opolu Lubelskim. Ujęcia wody znajdują się w jedenastu stacjach znajdujących się Opolu Lubelskim, Rudzie Maciejowskiej, Elżbiecie, Ćwiętalce, Skokowie, Górach Kluczkowickich, Wandalinie, Pusznie Skokowskim, Trzebieszy i Górach Opolskich. Zwodociągowanych jest 42 miejscowości gminy: Opole Lubelskie, Białowoda, Ćwiętalka, Dąbrowa Godowska, Góry Kluczkowickie, Kluczkowice, Komaszyce Stare, Komaszyce Nowe, Kamionka, Kierzki, Ludwików, Puszno Skokowskie, Puszno Godowskie, Skoków, Ruda Maciejowska, Stanisławów, Świdry, Truszków, Wólka Komaszycka, Wandalin, </w:t>
      </w:r>
      <w:r w:rsidRPr="003F2001">
        <w:rPr>
          <w:rFonts w:eastAsia="Times New Roman" w:cs="Times New Roman"/>
          <w:kern w:val="0"/>
          <w:szCs w:val="20"/>
          <w:lang w:bidi="en-US"/>
          <w14:ligatures w14:val="none"/>
        </w:rPr>
        <w:lastRenderedPageBreak/>
        <w:t>Zadole, Trzebiesza, Dębiny, Darowne, Majdan Trzebieski, Niezdów, Wrzelowiec, Kazimierzów, Elżbieta, Franciszków Nowy, Wola Rudzka, Zajączków, Grabówka, Jankowa, Emilcin, Pustelnia, Pomorze, Ożarów I i II, Rozalin, Zosin, Góry Opolskie, Górna Owczarnia.</w:t>
      </w:r>
    </w:p>
    <w:p w14:paraId="2C1C50E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Na koniec 2022 r. </w:t>
      </w:r>
      <w:r w:rsidRPr="003F2001">
        <w:rPr>
          <w:rFonts w:eastAsia="Times New Roman" w:cs="Times New Roman"/>
          <w:b/>
          <w:bCs/>
          <w:color w:val="4D160F"/>
          <w:kern w:val="0"/>
          <w:szCs w:val="20"/>
          <w:lang w:bidi="en-US"/>
          <w14:ligatures w14:val="none"/>
        </w:rPr>
        <w:t>sieć wodociągowa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na terenie gminy osiągnęła długość 173,9 km, przy czym na terenie miasta długość sieci wyniosła 58,8 km, a na terenie wiejskim – 115,1 km. Dzięki istniejącej sieci w 2022 r. liczba przyłączy do budynków mieszkalnych i budynków zbiorowego zamieszkania wyniosła łącznie 3 566, w tym 1 457 w mieście oraz 2 109 na obszarze wiejskim. </w:t>
      </w:r>
    </w:p>
    <w:p w14:paraId="5557ABF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Odsetek ludności korzystającej z wodociągów</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na terenie gminy w 2022 r. wynosił 92,4% wobec 90,1% w powiecie opolskim oraz 87,7% w województwie lubelskim. Należy jednak zauważyć, iż stopień zwodociągowania na obszarze gminy był zróżnicowany i wyniósł 96,2% na terenie miasta oraz 88,9% na obszarze wiejskim.</w:t>
      </w:r>
    </w:p>
    <w:p w14:paraId="1F6E0A77" w14:textId="6AE5DCF1" w:rsidR="003F2001" w:rsidRPr="003F2001" w:rsidRDefault="003F2001" w:rsidP="003F2001">
      <w:pPr>
        <w:spacing w:before="120" w:line="240" w:lineRule="auto"/>
        <w:rPr>
          <w:rFonts w:eastAsia="Times New Roman" w:cs="Times New Roman"/>
          <w:b/>
          <w:bCs/>
          <w:color w:val="7B230B"/>
          <w:kern w:val="0"/>
          <w:sz w:val="16"/>
          <w:szCs w:val="19"/>
          <w:lang w:bidi="en-US"/>
          <w14:ligatures w14:val="none"/>
        </w:rPr>
      </w:pPr>
      <w:bookmarkStart w:id="117" w:name="_Toc189166384"/>
      <w:r w:rsidRPr="003F2001">
        <w:rPr>
          <w:rFonts w:eastAsia="Times New Roman" w:cs="Times New Roman"/>
          <w:b/>
          <w:bCs/>
          <w:color w:val="7B230B"/>
          <w:kern w:val="0"/>
          <w:sz w:val="16"/>
          <w:szCs w:val="19"/>
          <w:lang w:bidi="en-US"/>
          <w14:ligatures w14:val="none"/>
        </w:rPr>
        <w:t xml:space="preserve">Wykres </w:t>
      </w:r>
      <w:r w:rsidRPr="003F2001">
        <w:rPr>
          <w:rFonts w:eastAsia="Times New Roman" w:cs="Times New Roman"/>
          <w:b/>
          <w:bCs/>
          <w:color w:val="7B230B"/>
          <w:kern w:val="0"/>
          <w:sz w:val="16"/>
          <w:szCs w:val="19"/>
          <w:lang w:bidi="en-US"/>
          <w14:ligatures w14:val="none"/>
        </w:rPr>
        <w:fldChar w:fldCharType="begin"/>
      </w:r>
      <w:r w:rsidRPr="003F2001">
        <w:rPr>
          <w:rFonts w:eastAsia="Times New Roman" w:cs="Times New Roman"/>
          <w:b/>
          <w:bCs/>
          <w:color w:val="7B230B"/>
          <w:kern w:val="0"/>
          <w:sz w:val="16"/>
          <w:szCs w:val="19"/>
          <w:lang w:bidi="en-US"/>
          <w14:ligatures w14:val="none"/>
        </w:rPr>
        <w:instrText xml:space="preserve"> SEQ Wykres \* ARABIC </w:instrText>
      </w:r>
      <w:r w:rsidRPr="003F2001">
        <w:rPr>
          <w:rFonts w:eastAsia="Times New Roman" w:cs="Times New Roman"/>
          <w:b/>
          <w:bCs/>
          <w:color w:val="7B230B"/>
          <w:kern w:val="0"/>
          <w:sz w:val="16"/>
          <w:szCs w:val="19"/>
          <w:lang w:bidi="en-US"/>
          <w14:ligatures w14:val="none"/>
        </w:rPr>
        <w:fldChar w:fldCharType="separate"/>
      </w:r>
      <w:r w:rsidR="008E0CB6">
        <w:rPr>
          <w:rFonts w:eastAsia="Times New Roman" w:cs="Times New Roman"/>
          <w:b/>
          <w:bCs/>
          <w:noProof/>
          <w:color w:val="7B230B"/>
          <w:kern w:val="0"/>
          <w:sz w:val="16"/>
          <w:szCs w:val="19"/>
          <w:lang w:bidi="en-US"/>
          <w14:ligatures w14:val="none"/>
        </w:rPr>
        <w:t>28</w:t>
      </w:r>
      <w:r w:rsidRPr="003F2001">
        <w:rPr>
          <w:rFonts w:eastAsia="Times New Roman" w:cs="Times New Roman"/>
          <w:b/>
          <w:bCs/>
          <w:color w:val="7B230B"/>
          <w:kern w:val="0"/>
          <w:sz w:val="16"/>
          <w:szCs w:val="19"/>
          <w:lang w:bidi="en-US"/>
          <w14:ligatures w14:val="none"/>
        </w:rPr>
        <w:fldChar w:fldCharType="end"/>
      </w:r>
      <w:r w:rsidRPr="003F2001">
        <w:rPr>
          <w:rFonts w:eastAsia="Times New Roman" w:cs="Times New Roman"/>
          <w:b/>
          <w:bCs/>
          <w:color w:val="7B230B"/>
          <w:kern w:val="0"/>
          <w:sz w:val="16"/>
          <w:szCs w:val="19"/>
          <w:lang w:bidi="en-US"/>
          <w14:ligatures w14:val="none"/>
        </w:rPr>
        <w:t>. Odsetek mieszkańców korzystających z sieci wodociągowej na terenie Gminy Opole Lubelskie, powiatu opolskiego i województwa lubelskiego w 2022 r. (%)</w:t>
      </w:r>
      <w:bookmarkEnd w:id="117"/>
    </w:p>
    <w:p w14:paraId="5B942CE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15AD63C6" wp14:editId="37D9520F">
            <wp:extent cx="5759450" cy="2699385"/>
            <wp:effectExtent l="0" t="0" r="0" b="5715"/>
            <wp:docPr id="22" name="Wykres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8A8FAC"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04B6B4D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2022 r. </w:t>
      </w:r>
      <w:r w:rsidRPr="003F2001">
        <w:rPr>
          <w:rFonts w:eastAsia="Times New Roman" w:cs="Times New Roman"/>
          <w:b/>
          <w:bCs/>
          <w:color w:val="4D160F"/>
          <w:kern w:val="0"/>
          <w:szCs w:val="20"/>
          <w:lang w:bidi="en-US"/>
          <w14:ligatures w14:val="none"/>
        </w:rPr>
        <w:t>ilość wody dostarczonej wodociągami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wyniosła 582,6 dam</w:t>
      </w:r>
      <w:r w:rsidRPr="003F2001">
        <w:rPr>
          <w:rFonts w:eastAsia="Times New Roman" w:cs="Times New Roman"/>
          <w:kern w:val="0"/>
          <w:szCs w:val="20"/>
          <w:vertAlign w:val="superscript"/>
          <w:lang w:bidi="en-US"/>
          <w14:ligatures w14:val="none"/>
        </w:rPr>
        <w:t>3</w:t>
      </w:r>
      <w:r w:rsidRPr="003F2001">
        <w:rPr>
          <w:rFonts w:eastAsia="Times New Roman" w:cs="Times New Roman"/>
          <w:kern w:val="0"/>
          <w:szCs w:val="20"/>
          <w:lang w:bidi="en-US"/>
          <w14:ligatures w14:val="none"/>
        </w:rPr>
        <w:t>, w tym 455,1 dam</w:t>
      </w:r>
      <w:r w:rsidRPr="003F2001">
        <w:rPr>
          <w:rFonts w:eastAsia="Times New Roman" w:cs="Times New Roman"/>
          <w:kern w:val="0"/>
          <w:szCs w:val="20"/>
          <w:vertAlign w:val="superscript"/>
          <w:lang w:bidi="en-US"/>
          <w14:ligatures w14:val="none"/>
        </w:rPr>
        <w:t>3</w:t>
      </w:r>
      <w:r w:rsidRPr="003F2001">
        <w:rPr>
          <w:rFonts w:eastAsia="Times New Roman" w:cs="Times New Roman"/>
          <w:kern w:val="0"/>
          <w:szCs w:val="20"/>
          <w:lang w:bidi="en-US"/>
          <w14:ligatures w14:val="none"/>
        </w:rPr>
        <w:t xml:space="preserve"> zostało dostarczonych gospodarstwom domowym. </w:t>
      </w:r>
      <w:r w:rsidRPr="003F2001">
        <w:rPr>
          <w:rFonts w:eastAsia="Times New Roman" w:cs="Times New Roman"/>
          <w:b/>
          <w:bCs/>
          <w:color w:val="4D160F"/>
          <w:kern w:val="0"/>
          <w:szCs w:val="20"/>
          <w:lang w:bidi="en-US"/>
          <w14:ligatures w14:val="none"/>
        </w:rPr>
        <w:t>Zużycie wody na 1 mieszkańca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w gospodarstwach domowych w 2022 r. wyniosło 27,7 m</w:t>
      </w:r>
      <w:r w:rsidRPr="003F2001">
        <w:rPr>
          <w:rFonts w:eastAsia="Times New Roman" w:cs="Times New Roman"/>
          <w:kern w:val="0"/>
          <w:szCs w:val="20"/>
          <w:vertAlign w:val="superscript"/>
          <w:lang w:bidi="en-US"/>
          <w14:ligatures w14:val="none"/>
        </w:rPr>
        <w:t>3</w:t>
      </w:r>
      <w:r w:rsidRPr="003F2001">
        <w:rPr>
          <w:rFonts w:eastAsia="Times New Roman" w:cs="Times New Roman"/>
          <w:kern w:val="0"/>
          <w:szCs w:val="20"/>
          <w:lang w:bidi="en-US"/>
          <w14:ligatures w14:val="none"/>
        </w:rPr>
        <w:t xml:space="preserve"> i był niższe w mieście (21,1 m</w:t>
      </w:r>
      <w:r w:rsidRPr="003F2001">
        <w:rPr>
          <w:rFonts w:eastAsia="Times New Roman" w:cs="Times New Roman"/>
          <w:kern w:val="0"/>
          <w:szCs w:val="20"/>
          <w:vertAlign w:val="superscript"/>
          <w:lang w:bidi="en-US"/>
          <w14:ligatures w14:val="none"/>
        </w:rPr>
        <w:t>3</w:t>
      </w:r>
      <w:r w:rsidRPr="003F2001">
        <w:rPr>
          <w:rFonts w:eastAsia="Times New Roman" w:cs="Times New Roman"/>
          <w:kern w:val="0"/>
          <w:szCs w:val="20"/>
          <w:lang w:bidi="en-US"/>
          <w14:ligatures w14:val="none"/>
        </w:rPr>
        <w:t>)</w:t>
      </w:r>
      <w:r w:rsidRPr="003F2001">
        <w:rPr>
          <w:rFonts w:eastAsia="Times New Roman" w:cs="Times New Roman"/>
          <w:kern w:val="0"/>
          <w:szCs w:val="20"/>
          <w:vertAlign w:val="superscript"/>
          <w:lang w:bidi="en-US"/>
          <w14:ligatures w14:val="none"/>
        </w:rPr>
        <w:t xml:space="preserve"> </w:t>
      </w:r>
      <w:r w:rsidRPr="003F2001">
        <w:rPr>
          <w:rFonts w:eastAsia="Times New Roman" w:cs="Times New Roman"/>
          <w:kern w:val="0"/>
          <w:szCs w:val="20"/>
          <w:lang w:bidi="en-US"/>
          <w14:ligatures w14:val="none"/>
        </w:rPr>
        <w:t>niż na obszarze wiejskim (34,0 m</w:t>
      </w:r>
      <w:r w:rsidRPr="003F2001">
        <w:rPr>
          <w:rFonts w:eastAsia="Times New Roman" w:cs="Times New Roman"/>
          <w:kern w:val="0"/>
          <w:szCs w:val="20"/>
          <w:vertAlign w:val="superscript"/>
          <w:lang w:bidi="en-US"/>
          <w14:ligatures w14:val="none"/>
        </w:rPr>
        <w:t>3</w:t>
      </w:r>
      <w:r w:rsidRPr="003F2001">
        <w:rPr>
          <w:rFonts w:eastAsia="Times New Roman" w:cs="Times New Roman"/>
          <w:kern w:val="0"/>
          <w:szCs w:val="20"/>
          <w:lang w:bidi="en-US"/>
          <w14:ligatures w14:val="none"/>
        </w:rPr>
        <w:t>). Ponadto należy zauważyć, że zużycie wody na 1 mieszkańca w mieście od lat regularnie zmniejsza się, natomiast wzrost zużycia obserwowany jest na terenach wiejskich. Wzrost ten jest spowodowany w głównej mierze rozwojem sieci wodociągowej.</w:t>
      </w:r>
    </w:p>
    <w:p w14:paraId="70438F0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porównaniu do pozostałych ośrodków lokalnych Opole Lubelskie odznacza się średnim wskaźnikiem zwodociągowania – dla porównania w 2022 r. odsetek korzystających z sieci wodociągowej w Łęcznej wyniósł 99,3%, a w Janowie Lubelskim 94,8%. Pod względem ilości wody dostarczanej na jednego mieszkańca oraz jednego korzystającego Gmina Opole Lubelskie plasuje się na odpowiednio na 1 i 2 pozycji wśród 5 jednostek porównywanych.</w:t>
      </w:r>
    </w:p>
    <w:p w14:paraId="6AD2652A"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247FFEDC" w14:textId="0596610B"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18" w:name="_Toc189166344"/>
      <w:r w:rsidRPr="003F2001">
        <w:rPr>
          <w:rFonts w:eastAsia="Calibri" w:cs="Times New Roman"/>
          <w:b/>
          <w:bCs/>
          <w:color w:val="7B230B"/>
          <w:kern w:val="0"/>
          <w:sz w:val="16"/>
          <w:szCs w:val="19"/>
          <w14:ligatures w14:val="none"/>
        </w:rPr>
        <w:lastRenderedPageBreak/>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12</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Gospodarka wodna w Gminie Opole Lubelskie oraz jednostkach porównawczych.</w:t>
      </w:r>
      <w:bookmarkEnd w:id="118"/>
    </w:p>
    <w:tbl>
      <w:tblPr>
        <w:tblStyle w:val="Tabelasiatki1jasnaakcent15"/>
        <w:tblW w:w="5000" w:type="pct"/>
        <w:tblLook w:val="04A0" w:firstRow="1" w:lastRow="0" w:firstColumn="1" w:lastColumn="0" w:noHBand="0" w:noVBand="1"/>
      </w:tblPr>
      <w:tblGrid>
        <w:gridCol w:w="2230"/>
        <w:gridCol w:w="1707"/>
        <w:gridCol w:w="1709"/>
        <w:gridCol w:w="1709"/>
        <w:gridCol w:w="1707"/>
      </w:tblGrid>
      <w:tr w:rsidR="003F2001" w:rsidRPr="003F2001" w14:paraId="58F23994"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0" w:type="pct"/>
            <w:vAlign w:val="center"/>
            <w:hideMark/>
          </w:tcPr>
          <w:p w14:paraId="5D610879"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942" w:type="pct"/>
            <w:vAlign w:val="center"/>
            <w:hideMark/>
          </w:tcPr>
          <w:p w14:paraId="6E8EFFE4"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Długość sieci wodociągowej</w:t>
            </w:r>
            <w:r w:rsidRPr="003F2001">
              <w:rPr>
                <w:rFonts w:cs="Times New Roman"/>
                <w:sz w:val="16"/>
                <w:szCs w:val="16"/>
                <w:lang w:bidi="en-US"/>
              </w:rPr>
              <w:br/>
              <w:t>(km)</w:t>
            </w:r>
          </w:p>
        </w:tc>
        <w:tc>
          <w:tcPr>
            <w:tcW w:w="943" w:type="pct"/>
            <w:vAlign w:val="center"/>
          </w:tcPr>
          <w:p w14:paraId="7EFBCA48"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Odsetek mieszkańców korzystających z sieci wodociągowej</w:t>
            </w:r>
          </w:p>
          <w:p w14:paraId="1C8C211F"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t>
            </w:r>
          </w:p>
        </w:tc>
        <w:tc>
          <w:tcPr>
            <w:tcW w:w="943" w:type="pct"/>
            <w:vAlign w:val="center"/>
          </w:tcPr>
          <w:p w14:paraId="46DF6A91"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Zużycie wody w gospodarstwach domowych na 1 mieszkańca</w:t>
            </w:r>
          </w:p>
          <w:p w14:paraId="04082162"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(m</w:t>
            </w:r>
            <w:r w:rsidRPr="003F2001">
              <w:rPr>
                <w:rFonts w:cs="Times New Roman"/>
                <w:sz w:val="16"/>
                <w:szCs w:val="16"/>
                <w:vertAlign w:val="superscript"/>
                <w:lang w:bidi="en-US"/>
              </w:rPr>
              <w:t>3</w:t>
            </w:r>
            <w:r w:rsidRPr="003F2001">
              <w:rPr>
                <w:rFonts w:cs="Times New Roman"/>
                <w:sz w:val="16"/>
                <w:szCs w:val="16"/>
                <w:lang w:bidi="en-US"/>
              </w:rPr>
              <w:t>)</w:t>
            </w:r>
          </w:p>
        </w:tc>
        <w:tc>
          <w:tcPr>
            <w:tcW w:w="942" w:type="pct"/>
            <w:vAlign w:val="center"/>
          </w:tcPr>
          <w:p w14:paraId="46F564DF"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Zużycie wody w gospodarstwach domowych na 1 korzystającego</w:t>
            </w:r>
          </w:p>
          <w:p w14:paraId="4F2BA8A9"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(m</w:t>
            </w:r>
            <w:r w:rsidRPr="003F2001">
              <w:rPr>
                <w:rFonts w:cs="Times New Roman"/>
                <w:sz w:val="16"/>
                <w:szCs w:val="16"/>
                <w:vertAlign w:val="superscript"/>
                <w:lang w:bidi="en-US"/>
              </w:rPr>
              <w:t>3</w:t>
            </w:r>
            <w:r w:rsidRPr="003F2001">
              <w:rPr>
                <w:rFonts w:cs="Times New Roman"/>
                <w:sz w:val="16"/>
                <w:szCs w:val="16"/>
                <w:lang w:bidi="en-US"/>
              </w:rPr>
              <w:t>)</w:t>
            </w:r>
          </w:p>
        </w:tc>
      </w:tr>
      <w:tr w:rsidR="003F2001" w:rsidRPr="003F2001" w14:paraId="019A8411"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5F97C8F7"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942" w:type="pct"/>
            <w:noWrap/>
            <w:vAlign w:val="center"/>
            <w:hideMark/>
          </w:tcPr>
          <w:p w14:paraId="5D05A2A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102,0</w:t>
            </w:r>
          </w:p>
        </w:tc>
        <w:tc>
          <w:tcPr>
            <w:tcW w:w="943" w:type="pct"/>
            <w:vAlign w:val="center"/>
          </w:tcPr>
          <w:p w14:paraId="3C3D518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94,8</w:t>
            </w:r>
          </w:p>
        </w:tc>
        <w:tc>
          <w:tcPr>
            <w:tcW w:w="943" w:type="pct"/>
            <w:vAlign w:val="center"/>
          </w:tcPr>
          <w:p w14:paraId="176DB41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24,2</w:t>
            </w:r>
          </w:p>
        </w:tc>
        <w:tc>
          <w:tcPr>
            <w:tcW w:w="942" w:type="pct"/>
            <w:vAlign w:val="center"/>
          </w:tcPr>
          <w:p w14:paraId="66A2761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25,7</w:t>
            </w:r>
          </w:p>
        </w:tc>
      </w:tr>
      <w:tr w:rsidR="003F2001" w:rsidRPr="003F2001" w14:paraId="1275A73B"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1FC93CDF"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942" w:type="pct"/>
            <w:noWrap/>
            <w:vAlign w:val="center"/>
            <w:hideMark/>
          </w:tcPr>
          <w:p w14:paraId="0630EF7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158,2</w:t>
            </w:r>
          </w:p>
        </w:tc>
        <w:tc>
          <w:tcPr>
            <w:tcW w:w="943" w:type="pct"/>
            <w:vAlign w:val="center"/>
          </w:tcPr>
          <w:p w14:paraId="1E5E520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99,3</w:t>
            </w:r>
          </w:p>
        </w:tc>
        <w:tc>
          <w:tcPr>
            <w:tcW w:w="943" w:type="pct"/>
            <w:vAlign w:val="center"/>
          </w:tcPr>
          <w:p w14:paraId="237E7AF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27,7</w:t>
            </w:r>
          </w:p>
        </w:tc>
        <w:tc>
          <w:tcPr>
            <w:tcW w:w="942" w:type="pct"/>
            <w:vAlign w:val="center"/>
          </w:tcPr>
          <w:p w14:paraId="463FA3A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27,9</w:t>
            </w:r>
          </w:p>
        </w:tc>
      </w:tr>
      <w:tr w:rsidR="003F2001" w:rsidRPr="003F2001" w14:paraId="6A3B4DF0"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30" w:type="pct"/>
            <w:shd w:val="clear" w:color="auto" w:fill="F2F2F2"/>
            <w:noWrap/>
            <w:vAlign w:val="center"/>
            <w:hideMark/>
          </w:tcPr>
          <w:p w14:paraId="469D39BB"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942" w:type="pct"/>
            <w:shd w:val="clear" w:color="auto" w:fill="F2F2F2"/>
            <w:noWrap/>
            <w:vAlign w:val="center"/>
            <w:hideMark/>
          </w:tcPr>
          <w:p w14:paraId="18BC96B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173,9</w:t>
            </w:r>
          </w:p>
        </w:tc>
        <w:tc>
          <w:tcPr>
            <w:tcW w:w="943" w:type="pct"/>
            <w:shd w:val="clear" w:color="auto" w:fill="F2F2F2"/>
            <w:vAlign w:val="center"/>
          </w:tcPr>
          <w:p w14:paraId="15EEFE3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92,4</w:t>
            </w:r>
          </w:p>
        </w:tc>
        <w:tc>
          <w:tcPr>
            <w:tcW w:w="943" w:type="pct"/>
            <w:shd w:val="clear" w:color="auto" w:fill="F2F2F2"/>
            <w:vAlign w:val="center"/>
          </w:tcPr>
          <w:p w14:paraId="0C9C4B7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27,7</w:t>
            </w:r>
          </w:p>
        </w:tc>
        <w:tc>
          <w:tcPr>
            <w:tcW w:w="942" w:type="pct"/>
            <w:shd w:val="clear" w:color="auto" w:fill="F2F2F2"/>
            <w:vAlign w:val="center"/>
          </w:tcPr>
          <w:p w14:paraId="6308F8B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30,1</w:t>
            </w:r>
          </w:p>
        </w:tc>
      </w:tr>
      <w:tr w:rsidR="003F2001" w:rsidRPr="003F2001" w14:paraId="12CAB738"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0029E3E2"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942" w:type="pct"/>
            <w:noWrap/>
            <w:vAlign w:val="center"/>
            <w:hideMark/>
          </w:tcPr>
          <w:p w14:paraId="6217F39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108,3</w:t>
            </w:r>
          </w:p>
        </w:tc>
        <w:tc>
          <w:tcPr>
            <w:tcW w:w="943" w:type="pct"/>
            <w:vAlign w:val="center"/>
          </w:tcPr>
          <w:p w14:paraId="4BE90BA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88,9</w:t>
            </w:r>
          </w:p>
        </w:tc>
        <w:tc>
          <w:tcPr>
            <w:tcW w:w="943" w:type="pct"/>
            <w:vAlign w:val="center"/>
          </w:tcPr>
          <w:p w14:paraId="4670CA1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25,8</w:t>
            </w:r>
          </w:p>
        </w:tc>
        <w:tc>
          <w:tcPr>
            <w:tcW w:w="942" w:type="pct"/>
            <w:vAlign w:val="center"/>
          </w:tcPr>
          <w:p w14:paraId="700534E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29,1</w:t>
            </w:r>
          </w:p>
        </w:tc>
      </w:tr>
      <w:tr w:rsidR="003F2001" w:rsidRPr="003F2001" w14:paraId="7A6C8DFB"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05E38F3A"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942" w:type="pct"/>
            <w:noWrap/>
            <w:vAlign w:val="center"/>
            <w:hideMark/>
          </w:tcPr>
          <w:p w14:paraId="05FA5A2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229,4</w:t>
            </w:r>
          </w:p>
        </w:tc>
        <w:tc>
          <w:tcPr>
            <w:tcW w:w="943" w:type="pct"/>
            <w:vAlign w:val="center"/>
          </w:tcPr>
          <w:p w14:paraId="7062030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89,5</w:t>
            </w:r>
          </w:p>
        </w:tc>
        <w:tc>
          <w:tcPr>
            <w:tcW w:w="943" w:type="pct"/>
            <w:vAlign w:val="center"/>
          </w:tcPr>
          <w:p w14:paraId="7B1A1FF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27,9</w:t>
            </w:r>
          </w:p>
        </w:tc>
        <w:tc>
          <w:tcPr>
            <w:tcW w:w="942" w:type="pct"/>
            <w:vAlign w:val="center"/>
          </w:tcPr>
          <w:p w14:paraId="3449486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31,3</w:t>
            </w:r>
          </w:p>
        </w:tc>
      </w:tr>
    </w:tbl>
    <w:p w14:paraId="318FD736"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7640045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Zdecydowanie gorzej przedstawia się sytuacja w zakresie dostępu do sieci kanalizacyjnej. </w:t>
      </w:r>
      <w:r w:rsidRPr="003F2001">
        <w:rPr>
          <w:rFonts w:eastAsia="Times New Roman" w:cs="Times New Roman"/>
          <w:b/>
          <w:bCs/>
          <w:color w:val="4D160F"/>
          <w:kern w:val="0"/>
          <w:szCs w:val="20"/>
          <w:lang w:bidi="en-US"/>
          <w14:ligatures w14:val="none"/>
        </w:rPr>
        <w:t>Długość kanalizacji sanitarnej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na terenie Gminy Opole Lubelskie w 2022 r. wyniosła łącznie 38,8 km, przy liczbie przyłączy do budynków mieszkalnych i zbiorowego zamieszkania wynoszącej 1 160 szt. Zdecydowanie dłuższa sieć kanalizacyjna znajduje się w mieście - 31,5 km. </w:t>
      </w:r>
    </w:p>
    <w:p w14:paraId="10F44425" w14:textId="56FB58FA"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19" w:name="_Toc189166385"/>
      <w:bookmarkStart w:id="120" w:name="_Hlk90320328"/>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29</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Odsetek mieszkańców korzystających z sieci kanalizacyjnej na terenie Gminy Opole Lubelskie, powiatu opolskiego i województwa lubelskiego w 2022 r. (%)</w:t>
      </w:r>
      <w:bookmarkEnd w:id="119"/>
    </w:p>
    <w:bookmarkEnd w:id="120"/>
    <w:p w14:paraId="05E709B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272DECF5" wp14:editId="27E82EE0">
            <wp:extent cx="5759450" cy="2699385"/>
            <wp:effectExtent l="0" t="0" r="0" b="5715"/>
            <wp:docPr id="25" name="Wykres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58DBA7-EFB8-473F-9961-111CCE64B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6BCBBB"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4173852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Pomimo znaczącego przyrostu długości sieci kanalizacyjnej w ostatnich latach w 2022 r. z kanalizacji korzystała mniej niż połowa mieszkańców obszaru – 42,3% ludności zamieszkującej gminę. W tym samym okresie </w:t>
      </w:r>
      <w:r w:rsidRPr="003F2001">
        <w:rPr>
          <w:rFonts w:eastAsia="Times New Roman" w:cs="Times New Roman"/>
          <w:b/>
          <w:bCs/>
          <w:color w:val="4D160F"/>
          <w:kern w:val="0"/>
          <w:szCs w:val="20"/>
          <w:lang w:bidi="en-US"/>
          <w14:ligatures w14:val="none"/>
        </w:rPr>
        <w:t xml:space="preserve">odsetek ludności korzystającej z sieci kanalizacyjnej </w:t>
      </w:r>
      <w:r w:rsidRPr="003F2001">
        <w:rPr>
          <w:rFonts w:eastAsia="Times New Roman" w:cs="Times New Roman"/>
          <w:kern w:val="0"/>
          <w:szCs w:val="20"/>
          <w:lang w:bidi="en-US"/>
          <w14:ligatures w14:val="none"/>
        </w:rPr>
        <w:t xml:space="preserve">w powiecie opolskim wynosił 33,7%, a w województwie lubelskim 54,2%. Poziom uzbrojenia gminy w sieć kanalizacyjną jest bardzo różnicowany. Znacznie lepiej sytuacja przedstawia się w mieście, gdzie 76,8% mieszkańców korzysta z kanalizacji zbiorowej. Natomiast w na terenie wiejskim liczba korzystających jest znacznie mniejsza – 9,7% mieszkańców. Czynnikiem wpływającym na niski poziom skanalizowania obszaru wiejskiego jest wstępująca zabudowa rozproszona. </w:t>
      </w:r>
    </w:p>
    <w:p w14:paraId="07C7CFD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Ścieki powstające na terenie gminy z nieruchomości podłączonych do sieci kanalizacyjnej odprowadzane są do oczyszczalni ścieków w Opolu Lubelskim. </w:t>
      </w:r>
      <w:r w:rsidRPr="003F2001">
        <w:rPr>
          <w:rFonts w:eastAsia="Times New Roman" w:cs="Times New Roman"/>
          <w:b/>
          <w:bCs/>
          <w:color w:val="4D160F"/>
          <w:kern w:val="0"/>
          <w:szCs w:val="20"/>
          <w:lang w:bidi="en-US"/>
          <w14:ligatures w14:val="none"/>
        </w:rPr>
        <w:t>Ilość ścieków</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odprowadzonych od gospodarstw domowych w 2022 r. wyniosła łącznie 395,4 dam</w:t>
      </w:r>
      <w:r w:rsidRPr="003F2001">
        <w:rPr>
          <w:rFonts w:eastAsia="Times New Roman" w:cs="Times New Roman"/>
          <w:kern w:val="0"/>
          <w:szCs w:val="20"/>
          <w:vertAlign w:val="superscript"/>
          <w:lang w:bidi="en-US"/>
          <w14:ligatures w14:val="none"/>
        </w:rPr>
        <w:t>3</w:t>
      </w:r>
      <w:r w:rsidRPr="003F2001">
        <w:rPr>
          <w:rFonts w:eastAsia="Times New Roman" w:cs="Times New Roman"/>
          <w:kern w:val="0"/>
          <w:szCs w:val="20"/>
          <w:lang w:bidi="en-US"/>
          <w14:ligatures w14:val="none"/>
        </w:rPr>
        <w:t xml:space="preserve">. </w:t>
      </w:r>
    </w:p>
    <w:p w14:paraId="177CEDB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Z uwagi na niewystarczająco rozwiniętą infrastrukturę kanalizacyjną mieszkańcy gminy korzystają z przydomowych systemów do odprowadzania ścieków – zbiorników bezodpływowych i przydomowych oczyszczalni ścieków. Z danych Urzędu Miejskiego w Opolu Lubelskim wynika, że w 2023 r. na analizowanym terenie funkcjonowały 1 542 zbiorniki bezodpływowe oraz 286 przydomowych oczyszczalni ścieków. Na terenie gminy od kilku lat obserwowany jest systematyczny spadek liczby zbiorników bezodpływowych, zwiększa się natomiast liczba przydomowych oczyszczalni ścieków. Nieczystości ciekłe były odbierane od właścicieli ze zbiorników bezodpływowych i dostarczane do dwóch stacji zlewnych istniejących na terenie gminy. Stacje zlewne zlokalizowane są w Kluczkowicach Osiedlu oraz w Opolu Lubelskim przy Al. 600-lecia. Stacje zlewne w 2023 r. przyjęły łącznie 30,3 dam</w:t>
      </w:r>
      <w:r w:rsidRPr="003F2001">
        <w:rPr>
          <w:rFonts w:eastAsia="Times New Roman" w:cs="Times New Roman"/>
          <w:kern w:val="0"/>
          <w:szCs w:val="20"/>
          <w:vertAlign w:val="superscript"/>
          <w:lang w:bidi="en-US"/>
          <w14:ligatures w14:val="none"/>
        </w:rPr>
        <w:t>3</w:t>
      </w:r>
      <w:r w:rsidRPr="003F2001">
        <w:rPr>
          <w:rFonts w:eastAsia="Times New Roman" w:cs="Times New Roman"/>
          <w:kern w:val="0"/>
          <w:szCs w:val="20"/>
          <w:lang w:bidi="en-US"/>
          <w14:ligatures w14:val="none"/>
        </w:rPr>
        <w:t xml:space="preserve"> nieczystości ciekłych komunalnych i bytowych, dostarczonych poza siecią kanalizacyjną.</w:t>
      </w:r>
    </w:p>
    <w:p w14:paraId="2EB8E01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Pod względem ludności korzystającej z kanalizacji Opole Lubelskie wypada relatywnie słabo w porównaniu do pozostałych ośrodków lokalnych województwa lubelskiego – niższy odsetek mieszkańców korzystających z sieci kanalizacyjnej odnotowano jedynie w Rykach. Podobnie wygląda sytuacja w odniesieniu do wskaźnika dotyczące długości sieci kanalizacyjnej w relacji do długości sieci wodociągowej – Opole Lubelskie również w tym przypadku zajmuje przedostatnie miejsce, nieznacznie wyprzedzając Ryki.</w:t>
      </w:r>
    </w:p>
    <w:p w14:paraId="057AE027" w14:textId="4C855F8B"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21" w:name="_Toc189166345"/>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13</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Gospodarka ściekowa w Gminie Opole Lubelskie oraz jednostkach porównawczych.</w:t>
      </w:r>
      <w:bookmarkEnd w:id="121"/>
    </w:p>
    <w:tbl>
      <w:tblPr>
        <w:tblStyle w:val="Tabelasiatki1jasnaakcent15"/>
        <w:tblW w:w="5000" w:type="pct"/>
        <w:tblLook w:val="04A0" w:firstRow="1" w:lastRow="0" w:firstColumn="1" w:lastColumn="0" w:noHBand="0" w:noVBand="1"/>
      </w:tblPr>
      <w:tblGrid>
        <w:gridCol w:w="2265"/>
        <w:gridCol w:w="2265"/>
        <w:gridCol w:w="2266"/>
        <w:gridCol w:w="2266"/>
      </w:tblGrid>
      <w:tr w:rsidR="003F2001" w:rsidRPr="003F2001" w14:paraId="65BC73F2"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5F5F84E"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1250" w:type="pct"/>
            <w:vAlign w:val="center"/>
            <w:hideMark/>
          </w:tcPr>
          <w:p w14:paraId="5843B4C2"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Długość czynnej sieci kanalizacyjnej (km)</w:t>
            </w:r>
          </w:p>
        </w:tc>
        <w:tc>
          <w:tcPr>
            <w:tcW w:w="1250" w:type="pct"/>
            <w:vAlign w:val="center"/>
          </w:tcPr>
          <w:p w14:paraId="387A49F3"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Odsetek mieszkańców korzystających z sieci kanalizacyjnej</w:t>
            </w:r>
          </w:p>
          <w:p w14:paraId="4673B01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t>
            </w:r>
          </w:p>
        </w:tc>
        <w:tc>
          <w:tcPr>
            <w:tcW w:w="1250" w:type="pct"/>
          </w:tcPr>
          <w:p w14:paraId="5F3740C3"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Długość sieci kanalizacyjnej w relacji do długości sieci wodociągowej (%)</w:t>
            </w:r>
          </w:p>
        </w:tc>
      </w:tr>
      <w:tr w:rsidR="003F2001" w:rsidRPr="003F2001" w14:paraId="4B0C52A0"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9B8F577"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1250" w:type="pct"/>
            <w:noWrap/>
            <w:vAlign w:val="center"/>
            <w:hideMark/>
          </w:tcPr>
          <w:p w14:paraId="17AD94F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56,6</w:t>
            </w:r>
          </w:p>
        </w:tc>
        <w:tc>
          <w:tcPr>
            <w:tcW w:w="1250" w:type="pct"/>
            <w:vAlign w:val="center"/>
          </w:tcPr>
          <w:p w14:paraId="7937E30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79,0</w:t>
            </w:r>
          </w:p>
        </w:tc>
        <w:tc>
          <w:tcPr>
            <w:tcW w:w="1250" w:type="pct"/>
            <w:vAlign w:val="center"/>
          </w:tcPr>
          <w:p w14:paraId="700D589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55,5</w:t>
            </w:r>
          </w:p>
        </w:tc>
      </w:tr>
      <w:tr w:rsidR="003F2001" w:rsidRPr="003F2001" w14:paraId="1EC1D735"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32CA9FC3"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1250" w:type="pct"/>
            <w:noWrap/>
            <w:vAlign w:val="center"/>
            <w:hideMark/>
          </w:tcPr>
          <w:p w14:paraId="225FDB4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62,8</w:t>
            </w:r>
          </w:p>
        </w:tc>
        <w:tc>
          <w:tcPr>
            <w:tcW w:w="1250" w:type="pct"/>
            <w:vAlign w:val="center"/>
          </w:tcPr>
          <w:p w14:paraId="526CDC2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82,2</w:t>
            </w:r>
          </w:p>
        </w:tc>
        <w:tc>
          <w:tcPr>
            <w:tcW w:w="1250" w:type="pct"/>
            <w:vAlign w:val="center"/>
          </w:tcPr>
          <w:p w14:paraId="3547CE4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39,7</w:t>
            </w:r>
          </w:p>
        </w:tc>
      </w:tr>
      <w:tr w:rsidR="003F2001" w:rsidRPr="003F2001" w14:paraId="675049B0"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auto" w:fill="F2F2F2"/>
            <w:noWrap/>
            <w:vAlign w:val="center"/>
            <w:hideMark/>
          </w:tcPr>
          <w:p w14:paraId="0D69DC6E"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1250" w:type="pct"/>
            <w:shd w:val="clear" w:color="auto" w:fill="F2F2F2"/>
            <w:noWrap/>
            <w:vAlign w:val="center"/>
            <w:hideMark/>
          </w:tcPr>
          <w:p w14:paraId="313A291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38,8</w:t>
            </w:r>
          </w:p>
        </w:tc>
        <w:tc>
          <w:tcPr>
            <w:tcW w:w="1250" w:type="pct"/>
            <w:shd w:val="clear" w:color="auto" w:fill="F2F2F2"/>
            <w:vAlign w:val="center"/>
          </w:tcPr>
          <w:p w14:paraId="1F4691D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42,3</w:t>
            </w:r>
          </w:p>
        </w:tc>
        <w:tc>
          <w:tcPr>
            <w:tcW w:w="1250" w:type="pct"/>
            <w:shd w:val="clear" w:color="auto" w:fill="F2F2F2"/>
            <w:vAlign w:val="center"/>
          </w:tcPr>
          <w:p w14:paraId="71550FE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22,3</w:t>
            </w:r>
          </w:p>
        </w:tc>
      </w:tr>
      <w:tr w:rsidR="003F2001" w:rsidRPr="003F2001" w14:paraId="63F993CD"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E27E272"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1250" w:type="pct"/>
            <w:noWrap/>
            <w:vAlign w:val="center"/>
            <w:hideMark/>
          </w:tcPr>
          <w:p w14:paraId="2B26EC6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76,5</w:t>
            </w:r>
          </w:p>
        </w:tc>
        <w:tc>
          <w:tcPr>
            <w:tcW w:w="1250" w:type="pct"/>
            <w:vAlign w:val="center"/>
          </w:tcPr>
          <w:p w14:paraId="0F48261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77,0</w:t>
            </w:r>
          </w:p>
        </w:tc>
        <w:tc>
          <w:tcPr>
            <w:tcW w:w="1250" w:type="pct"/>
            <w:vAlign w:val="center"/>
          </w:tcPr>
          <w:p w14:paraId="5DE98E0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70,6</w:t>
            </w:r>
          </w:p>
        </w:tc>
      </w:tr>
      <w:tr w:rsidR="003F2001" w:rsidRPr="003F2001" w14:paraId="62904007"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78A81EB3"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1250" w:type="pct"/>
            <w:noWrap/>
            <w:vAlign w:val="center"/>
            <w:hideMark/>
          </w:tcPr>
          <w:p w14:paraId="64AEA33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46,5</w:t>
            </w:r>
          </w:p>
        </w:tc>
        <w:tc>
          <w:tcPr>
            <w:tcW w:w="1250" w:type="pct"/>
            <w:vAlign w:val="center"/>
          </w:tcPr>
          <w:p w14:paraId="1AB7C43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27,7</w:t>
            </w:r>
          </w:p>
        </w:tc>
        <w:tc>
          <w:tcPr>
            <w:tcW w:w="1250" w:type="pct"/>
            <w:vAlign w:val="center"/>
          </w:tcPr>
          <w:p w14:paraId="16EECF3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20,3</w:t>
            </w:r>
          </w:p>
        </w:tc>
      </w:tr>
    </w:tbl>
    <w:p w14:paraId="52F53E95"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256EC581" w14:textId="39622EE4" w:rsidR="003F2001" w:rsidRPr="003F2001" w:rsidRDefault="003F2001" w:rsidP="00941F1D">
      <w:pPr>
        <w:pStyle w:val="Nagwek2"/>
      </w:pPr>
      <w:bookmarkStart w:id="122" w:name="_Toc173435460"/>
      <w:bookmarkStart w:id="123" w:name="_Toc191908775"/>
      <w:r>
        <w:t xml:space="preserve">2.5.3 </w:t>
      </w:r>
      <w:r w:rsidRPr="003F2001">
        <w:t>Infrastruktura energetyczna</w:t>
      </w:r>
      <w:bookmarkEnd w:id="122"/>
      <w:bookmarkEnd w:id="123"/>
    </w:p>
    <w:p w14:paraId="259BA48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Gmina Opole Lubelskie zaopatrywana jest w energię elektryczną z krajowego systemu elektroenergetycznego. Podstawowym źródłem zasilania obszaru gminy w energię elektryczną są dwie stacje głównego punktu zasilania (GPZ) 110/15kV: GPZ Kazimierz i GPZ Opole Lubelskie. Stacja GPZ Kazimierz zasilana jest jednostronnie linią wysokiego napięcia 110 kV biegnącą od GPZ Puławy Rudy, natomiast GPZ Opole Lubelskie zasilana jest dwustronnie liniami wysokiego napięcia 110 kV biegnącymi z GPZ Budzyń oraz GPZ Poniatowa. Infrastruktura przesyłowa o napięciu 15 kV zrealizowana jest przeważnie w technologii napowietrznej.</w:t>
      </w:r>
    </w:p>
    <w:p w14:paraId="5F02BD0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2022 r. </w:t>
      </w:r>
      <w:r w:rsidRPr="003F2001">
        <w:rPr>
          <w:rFonts w:eastAsia="Times New Roman" w:cs="Times New Roman"/>
          <w:b/>
          <w:bCs/>
          <w:color w:val="4D160F"/>
          <w:kern w:val="0"/>
          <w:szCs w:val="20"/>
          <w:lang w:bidi="en-US"/>
          <w14:ligatures w14:val="none"/>
        </w:rPr>
        <w:t>liczba odbiorców energii elektrycznej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(gospodarstwa domowe) w powiecie opolskim wyniosła 21 957, w tym 14 593 na obszarach wiejskich oraz 7 364 w miastach. Według dostępnych danych GUS </w:t>
      </w:r>
      <w:r w:rsidRPr="003F2001">
        <w:rPr>
          <w:rFonts w:eastAsia="Times New Roman" w:cs="Times New Roman"/>
          <w:b/>
          <w:bCs/>
          <w:color w:val="4D160F"/>
          <w:kern w:val="0"/>
          <w:szCs w:val="20"/>
          <w:lang w:bidi="en-US"/>
          <w14:ligatures w14:val="none"/>
        </w:rPr>
        <w:t>zużycie energii elektrycznej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na terenie powiatu opolskiego regularnie wzrasta i w 2022 r. wyniosło 36 148,88 MWh. </w:t>
      </w:r>
      <w:r w:rsidRPr="003F2001">
        <w:rPr>
          <w:rFonts w:eastAsia="Times New Roman" w:cs="Times New Roman"/>
          <w:b/>
          <w:bCs/>
          <w:color w:val="4D160F"/>
          <w:kern w:val="0"/>
          <w:szCs w:val="20"/>
          <w:lang w:bidi="en-US"/>
          <w14:ligatures w14:val="none"/>
        </w:rPr>
        <w:t>Zużycie energii elektrycznej na 1 mieszkańca</w:t>
      </w:r>
      <w:r w:rsidRPr="003F2001">
        <w:rPr>
          <w:rFonts w:eastAsia="Times New Roman" w:cs="Times New Roman"/>
          <w:kern w:val="0"/>
          <w:szCs w:val="20"/>
          <w:lang w:bidi="en-US"/>
          <w14:ligatures w14:val="none"/>
        </w:rPr>
        <w:t xml:space="preserve"> powiatu opolskiego wyniosło 641,0 kWh, przy czym było zdecydowanie wyższe na obszarach wiejskich (673,6 kWh) niż miejskich (567,01 kWh). </w:t>
      </w:r>
    </w:p>
    <w:p w14:paraId="0719CEE5"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0422E084" w14:textId="1AF7A783"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24" w:name="_Toc189166386"/>
      <w:r w:rsidRPr="003F2001">
        <w:rPr>
          <w:rFonts w:eastAsia="Calibri" w:cs="Times New Roman"/>
          <w:b/>
          <w:bCs/>
          <w:color w:val="7B230B"/>
          <w:kern w:val="0"/>
          <w:sz w:val="16"/>
          <w:szCs w:val="19"/>
          <w14:ligatures w14:val="none"/>
        </w:rPr>
        <w:lastRenderedPageBreak/>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30</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Zużycie energii elektrycznej w gospodarstwach domowych na 1 mieszkańca</w:t>
      </w:r>
      <w:r w:rsidRPr="003F2001">
        <w:rPr>
          <w:rFonts w:ascii="Calibri" w:eastAsia="Calibri" w:hAnsi="Calibri" w:cs="Times New Roman"/>
          <w:sz w:val="22"/>
        </w:rPr>
        <w:t xml:space="preserve"> </w:t>
      </w:r>
      <w:r w:rsidRPr="003F2001">
        <w:rPr>
          <w:rFonts w:eastAsia="Calibri" w:cs="Times New Roman"/>
          <w:b/>
          <w:bCs/>
          <w:color w:val="7B230B"/>
          <w:kern w:val="0"/>
          <w:sz w:val="16"/>
          <w:szCs w:val="19"/>
          <w14:ligatures w14:val="none"/>
        </w:rPr>
        <w:t>na terenie Miasta Opole Lubelskie, powiatu opolskiego i województwa lubelskiego w 2022 r. (kWh)</w:t>
      </w:r>
      <w:bookmarkEnd w:id="124"/>
    </w:p>
    <w:p w14:paraId="490BD9B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115AFFE0" wp14:editId="6B16E633">
            <wp:extent cx="5759450" cy="2699385"/>
            <wp:effectExtent l="0" t="0" r="0" b="5715"/>
            <wp:docPr id="26" name="Wykres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ABBF9B"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65E288C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Obszar miejski Gminy Opole Lubelskie charakteryzuje się relatywnie wysokim zużyciem energii elektrycznej w gospodarstwach domowych – biorąc pod uwagę wytypowane jednostki porównawcze wyższe zużycie energii elektrycznej w przeliczeniu na 1 mieszkańca i 1 odbiorcę odnotowano jedynie w Janowie Lubelskim oraz Parczewie. Natomiast całkowite zużycie energii w 2022 r. w Opolu Lubelskim wyniosło jedynie 5 490,14 MWh, a niższą wartość osiągnęły jedynie Ryki.</w:t>
      </w:r>
    </w:p>
    <w:p w14:paraId="3EA54016" w14:textId="46E8C0E1"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25" w:name="_Toc189166346"/>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14</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Energia elektryczna w gospodarstwach domowych w Gminie Opole Lubelskie oraz jednostkach porównawczych.</w:t>
      </w:r>
      <w:bookmarkEnd w:id="125"/>
    </w:p>
    <w:tbl>
      <w:tblPr>
        <w:tblStyle w:val="Tabelasiatki1jasnaakcent15"/>
        <w:tblW w:w="5000" w:type="pct"/>
        <w:tblLook w:val="04A0" w:firstRow="1" w:lastRow="0" w:firstColumn="1" w:lastColumn="0" w:noHBand="0" w:noVBand="1"/>
      </w:tblPr>
      <w:tblGrid>
        <w:gridCol w:w="2230"/>
        <w:gridCol w:w="1707"/>
        <w:gridCol w:w="1709"/>
        <w:gridCol w:w="1709"/>
        <w:gridCol w:w="1707"/>
      </w:tblGrid>
      <w:tr w:rsidR="003F2001" w:rsidRPr="003F2001" w14:paraId="0251EFF2" w14:textId="77777777" w:rsidTr="00CC1974">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230" w:type="pct"/>
            <w:vAlign w:val="center"/>
            <w:hideMark/>
          </w:tcPr>
          <w:p w14:paraId="64985C04"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942" w:type="pct"/>
            <w:vAlign w:val="center"/>
            <w:hideMark/>
          </w:tcPr>
          <w:p w14:paraId="440EDEFE"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Odbiorcy energii elektrycznej (szt.)</w:t>
            </w:r>
          </w:p>
        </w:tc>
        <w:tc>
          <w:tcPr>
            <w:tcW w:w="943" w:type="pct"/>
            <w:vAlign w:val="center"/>
          </w:tcPr>
          <w:p w14:paraId="098D9270"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Zużycie energii elektrycznej</w:t>
            </w:r>
          </w:p>
          <w:p w14:paraId="17379633"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(MWh)</w:t>
            </w:r>
          </w:p>
        </w:tc>
        <w:tc>
          <w:tcPr>
            <w:tcW w:w="943" w:type="pct"/>
            <w:vAlign w:val="center"/>
          </w:tcPr>
          <w:p w14:paraId="4A89EF41"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Zużycie energii elektrycznej</w:t>
            </w:r>
            <w:r w:rsidRPr="003F2001">
              <w:rPr>
                <w:rFonts w:cs="Times New Roman"/>
                <w:sz w:val="16"/>
                <w:szCs w:val="16"/>
                <w:lang w:bidi="en-US"/>
              </w:rPr>
              <w:br/>
              <w:t>na 1 mieszkańca</w:t>
            </w:r>
          </w:p>
          <w:p w14:paraId="28AC6A74"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Arial"/>
                <w:sz w:val="16"/>
                <w:szCs w:val="16"/>
                <w:lang w:bidi="en-US"/>
              </w:rPr>
              <w:t>(kWh)</w:t>
            </w:r>
          </w:p>
        </w:tc>
        <w:tc>
          <w:tcPr>
            <w:tcW w:w="942" w:type="pct"/>
            <w:vAlign w:val="center"/>
          </w:tcPr>
          <w:p w14:paraId="797CB5CF"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Zużycie energii elektrycznej</w:t>
            </w:r>
            <w:r w:rsidRPr="003F2001">
              <w:rPr>
                <w:rFonts w:cs="Times New Roman"/>
                <w:sz w:val="16"/>
                <w:szCs w:val="16"/>
                <w:lang w:bidi="en-US"/>
              </w:rPr>
              <w:br/>
              <w:t>na 1 odbiorcę</w:t>
            </w:r>
          </w:p>
          <w:p w14:paraId="4057C5F4"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(kWh)</w:t>
            </w:r>
          </w:p>
        </w:tc>
      </w:tr>
      <w:tr w:rsidR="003F2001" w:rsidRPr="003F2001" w14:paraId="17181DB9"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1C6EC346"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942" w:type="pct"/>
            <w:noWrap/>
            <w:vAlign w:val="center"/>
            <w:hideMark/>
          </w:tcPr>
          <w:p w14:paraId="60461C4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4 598</w:t>
            </w:r>
          </w:p>
        </w:tc>
        <w:tc>
          <w:tcPr>
            <w:tcW w:w="943" w:type="pct"/>
            <w:vAlign w:val="center"/>
          </w:tcPr>
          <w:p w14:paraId="7CB814C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7 832,24</w:t>
            </w:r>
          </w:p>
        </w:tc>
        <w:tc>
          <w:tcPr>
            <w:tcW w:w="943" w:type="pct"/>
            <w:vAlign w:val="center"/>
          </w:tcPr>
          <w:p w14:paraId="3D02049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704,91</w:t>
            </w:r>
          </w:p>
        </w:tc>
        <w:tc>
          <w:tcPr>
            <w:tcW w:w="942" w:type="pct"/>
            <w:vAlign w:val="center"/>
          </w:tcPr>
          <w:p w14:paraId="1176D6B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1 703,40</w:t>
            </w:r>
          </w:p>
        </w:tc>
      </w:tr>
      <w:tr w:rsidR="003F2001" w:rsidRPr="003F2001" w14:paraId="03C2889E"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1339039F"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942" w:type="pct"/>
            <w:noWrap/>
            <w:vAlign w:val="center"/>
            <w:hideMark/>
          </w:tcPr>
          <w:p w14:paraId="0D4CB43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6 943</w:t>
            </w:r>
          </w:p>
        </w:tc>
        <w:tc>
          <w:tcPr>
            <w:tcW w:w="943" w:type="pct"/>
            <w:vAlign w:val="center"/>
          </w:tcPr>
          <w:p w14:paraId="52A995F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9 223,74</w:t>
            </w:r>
          </w:p>
        </w:tc>
        <w:tc>
          <w:tcPr>
            <w:tcW w:w="943" w:type="pct"/>
            <w:vAlign w:val="center"/>
          </w:tcPr>
          <w:p w14:paraId="4EEA05B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515,61</w:t>
            </w:r>
          </w:p>
        </w:tc>
        <w:tc>
          <w:tcPr>
            <w:tcW w:w="942" w:type="pct"/>
            <w:vAlign w:val="center"/>
          </w:tcPr>
          <w:p w14:paraId="02EAC63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1 328,49</w:t>
            </w:r>
          </w:p>
        </w:tc>
      </w:tr>
      <w:tr w:rsidR="003F2001" w:rsidRPr="003F2001" w14:paraId="191284F1"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30" w:type="pct"/>
            <w:shd w:val="clear" w:color="auto" w:fill="F2F2F2"/>
            <w:noWrap/>
            <w:vAlign w:val="center"/>
            <w:hideMark/>
          </w:tcPr>
          <w:p w14:paraId="58FFD311"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942" w:type="pct"/>
            <w:shd w:val="clear" w:color="auto" w:fill="F2F2F2"/>
            <w:noWrap/>
            <w:vAlign w:val="center"/>
            <w:hideMark/>
          </w:tcPr>
          <w:p w14:paraId="6951107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3 571</w:t>
            </w:r>
          </w:p>
        </w:tc>
        <w:tc>
          <w:tcPr>
            <w:tcW w:w="943" w:type="pct"/>
            <w:shd w:val="clear" w:color="auto" w:fill="F2F2F2"/>
            <w:vAlign w:val="center"/>
          </w:tcPr>
          <w:p w14:paraId="65F1022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5 490,14</w:t>
            </w:r>
          </w:p>
        </w:tc>
        <w:tc>
          <w:tcPr>
            <w:tcW w:w="943" w:type="pct"/>
            <w:shd w:val="clear" w:color="auto" w:fill="F2F2F2"/>
            <w:vAlign w:val="center"/>
          </w:tcPr>
          <w:p w14:paraId="69ECDEC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682,77</w:t>
            </w:r>
          </w:p>
        </w:tc>
        <w:tc>
          <w:tcPr>
            <w:tcW w:w="942" w:type="pct"/>
            <w:shd w:val="clear" w:color="auto" w:fill="F2F2F2"/>
            <w:vAlign w:val="center"/>
          </w:tcPr>
          <w:p w14:paraId="3F2C144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1 537,42</w:t>
            </w:r>
          </w:p>
        </w:tc>
      </w:tr>
      <w:tr w:rsidR="003F2001" w:rsidRPr="003F2001" w14:paraId="20C9E429"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7682DE46"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942" w:type="pct"/>
            <w:noWrap/>
            <w:vAlign w:val="center"/>
            <w:hideMark/>
          </w:tcPr>
          <w:p w14:paraId="159623A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4 438</w:t>
            </w:r>
          </w:p>
        </w:tc>
        <w:tc>
          <w:tcPr>
            <w:tcW w:w="943" w:type="pct"/>
            <w:vAlign w:val="center"/>
          </w:tcPr>
          <w:p w14:paraId="3BE1CF9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7 163,72</w:t>
            </w:r>
          </w:p>
        </w:tc>
        <w:tc>
          <w:tcPr>
            <w:tcW w:w="943" w:type="pct"/>
            <w:vAlign w:val="center"/>
          </w:tcPr>
          <w:p w14:paraId="60E600F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693,42</w:t>
            </w:r>
          </w:p>
        </w:tc>
        <w:tc>
          <w:tcPr>
            <w:tcW w:w="942" w:type="pct"/>
            <w:vAlign w:val="center"/>
          </w:tcPr>
          <w:p w14:paraId="72BEE7A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1 614,18</w:t>
            </w:r>
          </w:p>
        </w:tc>
      </w:tr>
      <w:tr w:rsidR="003F2001" w:rsidRPr="003F2001" w14:paraId="5BAF1B3D"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7C42C159"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942" w:type="pct"/>
            <w:noWrap/>
            <w:vAlign w:val="center"/>
            <w:hideMark/>
          </w:tcPr>
          <w:p w14:paraId="280065F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3 659</w:t>
            </w:r>
          </w:p>
        </w:tc>
        <w:tc>
          <w:tcPr>
            <w:tcW w:w="943" w:type="pct"/>
            <w:vAlign w:val="center"/>
          </w:tcPr>
          <w:p w14:paraId="3254D80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4 984,40</w:t>
            </w:r>
          </w:p>
        </w:tc>
        <w:tc>
          <w:tcPr>
            <w:tcW w:w="943" w:type="pct"/>
            <w:vAlign w:val="center"/>
          </w:tcPr>
          <w:p w14:paraId="7BEF49F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544,80</w:t>
            </w:r>
          </w:p>
        </w:tc>
        <w:tc>
          <w:tcPr>
            <w:tcW w:w="942" w:type="pct"/>
            <w:vAlign w:val="center"/>
          </w:tcPr>
          <w:p w14:paraId="25F5A45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1 362,23</w:t>
            </w:r>
          </w:p>
        </w:tc>
      </w:tr>
    </w:tbl>
    <w:p w14:paraId="67B4C761"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1D51B460" w14:textId="77777777" w:rsidR="003F2001" w:rsidRPr="003F2001" w:rsidRDefault="003F2001" w:rsidP="003F2001">
      <w:pPr>
        <w:spacing w:line="276" w:lineRule="auto"/>
        <w:rPr>
          <w:rFonts w:eastAsia="Times New Roman" w:cs="Times New Roman"/>
          <w:kern w:val="0"/>
          <w:szCs w:val="20"/>
          <w14:ligatures w14:val="none"/>
        </w:rPr>
      </w:pPr>
      <w:r w:rsidRPr="003F2001">
        <w:rPr>
          <w:rFonts w:eastAsia="Times New Roman" w:cs="Times New Roman"/>
          <w:kern w:val="0"/>
          <w:szCs w:val="20"/>
          <w14:ligatures w14:val="none"/>
        </w:rPr>
        <w:t>Gmina zasilana jest w gaz głównie ze stacji gazowej I-go stopnia zlokalizowanej w Poniatowej (jedynie Zakład Przetwórstwa Owocowo - Warzywnego w Kluczkowicach zasilany jest ze stacji gazowej I-go stopnia w Chodlu). Obszar miejski gminy jest w pełni zgazyfikowany. Natomiast na obszarze wiejskim do miejscowości korzystających z gazu sieciowego należą: Białowoda, Darowne, Elżbieta, Górna Owczarnia, Jankowa, Kazimierzów, Kluczkowice, Majdan Trzebieski, Niezdów, Ożarów Pierwszy, Rozalin, Trzebiesza, Wola Rudzka, Zajączków. Na terenie gminy planowana jest budowa gazociągu wysokiego ciśnienia ze stacją redukcyjno-pomiarową w Wandalinie.</w:t>
      </w:r>
    </w:p>
    <w:p w14:paraId="62817C1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Długość rozdzielczej sieci gazowej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na terenie Gminy Opole Lubelskie wyniosła w 2022 r. 101 707 m, a z gazu ziemnego korzystało 4 224 odbiorców. W tym okresie na terenie gminy z sieci gazowej korzystało 8 767 osób, przy czym 7 071 osób to mieszkańcy miasta.</w:t>
      </w:r>
    </w:p>
    <w:p w14:paraId="1C81BD6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 xml:space="preserve">Według danych GUS w 2022 r. 53,7% mieszkańców Gminy Opole Lubelskie miało </w:t>
      </w:r>
      <w:r w:rsidRPr="003F2001">
        <w:rPr>
          <w:rFonts w:eastAsia="Times New Roman" w:cs="Times New Roman"/>
          <w:b/>
          <w:bCs/>
          <w:color w:val="4D160F"/>
          <w:kern w:val="0"/>
          <w:szCs w:val="20"/>
          <w:lang w:bidi="en-US"/>
          <w14:ligatures w14:val="none"/>
        </w:rPr>
        <w:t>dostęp do stałego przyłącza gazowego</w:t>
      </w:r>
      <w:r w:rsidRPr="003F2001">
        <w:rPr>
          <w:rFonts w:eastAsia="Times New Roman" w:cs="Times New Roman"/>
          <w:kern w:val="0"/>
          <w:szCs w:val="20"/>
          <w:lang w:bidi="en-US"/>
          <w14:ligatures w14:val="none"/>
        </w:rPr>
        <w:t>. Zdecydowanie mniej korzystnie sytuacja przedstawia się na terenach wiejskich gminy, gdzie jedynie 20,2% mieszkańców korzystało z instalacji gazowej.</w:t>
      </w:r>
    </w:p>
    <w:p w14:paraId="384B9306" w14:textId="210F0402"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26" w:name="_Toc189166387"/>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31</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Odsetek mieszkańców korzystających z sieci gazowej na terenie Gminy Opole Lubelskie, powiatu opolskiego i województwa lubelskiego w 2022 r. (%)</w:t>
      </w:r>
      <w:bookmarkEnd w:id="126"/>
    </w:p>
    <w:p w14:paraId="4654240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688A2AB6" wp14:editId="17956F72">
            <wp:extent cx="5759450" cy="2555875"/>
            <wp:effectExtent l="0" t="0" r="0" b="0"/>
            <wp:docPr id="29" name="Wykres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4F6C1AA"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2970552D"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Zużycie gazu ziemnego</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na terenie gminy w 2022 r. wyniosło 24 606,2 MWh, przy czym na cele grzewcze przeznaczono 21 413,1</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 xml:space="preserve">MWh, czyli 87,0% ogólnej wartości zużycia. </w:t>
      </w:r>
    </w:p>
    <w:p w14:paraId="55805E9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Biorąc pod uwagę odsetek mieszkańców korzystających z instalacji gazowej sytuacja Gminy Opole Lubelskie na tle pozostałych ośrodków lokalnych jest relatywnie korzystna – wyższe wartości odnotowano jedynie w Łęcznej (91,5%).</w:t>
      </w:r>
    </w:p>
    <w:p w14:paraId="38B98605" w14:textId="14D0D8F3"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27" w:name="_Toc189166347"/>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15</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Gaz ziemny w gospodarstwach domowych w Gminie Opole Lubelskie oraz jednostkach porównawczych.</w:t>
      </w:r>
      <w:bookmarkEnd w:id="127"/>
    </w:p>
    <w:tbl>
      <w:tblPr>
        <w:tblStyle w:val="Tabelasiatki1jasnaakcent15"/>
        <w:tblW w:w="5000" w:type="pct"/>
        <w:tblLook w:val="04A0" w:firstRow="1" w:lastRow="0" w:firstColumn="1" w:lastColumn="0" w:noHBand="0" w:noVBand="1"/>
      </w:tblPr>
      <w:tblGrid>
        <w:gridCol w:w="2230"/>
        <w:gridCol w:w="1707"/>
        <w:gridCol w:w="1709"/>
        <w:gridCol w:w="1709"/>
        <w:gridCol w:w="1707"/>
      </w:tblGrid>
      <w:tr w:rsidR="003F2001" w:rsidRPr="003F2001" w14:paraId="37EF8C3C"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0" w:type="pct"/>
            <w:vAlign w:val="center"/>
            <w:hideMark/>
          </w:tcPr>
          <w:p w14:paraId="40574C60"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942" w:type="pct"/>
            <w:vAlign w:val="center"/>
            <w:hideMark/>
          </w:tcPr>
          <w:p w14:paraId="7019E18E"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Długość rozdzielczej sieci gazowej (m)</w:t>
            </w:r>
          </w:p>
        </w:tc>
        <w:tc>
          <w:tcPr>
            <w:tcW w:w="943" w:type="pct"/>
            <w:vAlign w:val="center"/>
          </w:tcPr>
          <w:p w14:paraId="2BEEE6E5"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Odsetek mieszkańców korzystających z sieci gazowej</w:t>
            </w:r>
          </w:p>
          <w:p w14:paraId="071C9EA9"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t>
            </w:r>
          </w:p>
        </w:tc>
        <w:tc>
          <w:tcPr>
            <w:tcW w:w="943" w:type="pct"/>
            <w:vAlign w:val="center"/>
          </w:tcPr>
          <w:p w14:paraId="6FFF6719"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Zużycie gazu</w:t>
            </w:r>
          </w:p>
          <w:p w14:paraId="342322A5"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Arial"/>
                <w:sz w:val="16"/>
                <w:szCs w:val="16"/>
                <w:lang w:bidi="en-US"/>
              </w:rPr>
              <w:t>(MWh)</w:t>
            </w:r>
          </w:p>
        </w:tc>
        <w:tc>
          <w:tcPr>
            <w:tcW w:w="942" w:type="pct"/>
            <w:vAlign w:val="center"/>
          </w:tcPr>
          <w:p w14:paraId="42F4D175"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Zużycie gazu na ogrzewanie mieszkań</w:t>
            </w:r>
          </w:p>
          <w:p w14:paraId="4514543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(MWh)</w:t>
            </w:r>
          </w:p>
        </w:tc>
      </w:tr>
      <w:tr w:rsidR="003F2001" w:rsidRPr="003F2001" w14:paraId="1F5E0FD5"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7BE3B3DB"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942" w:type="pct"/>
            <w:noWrap/>
            <w:vAlign w:val="center"/>
            <w:hideMark/>
          </w:tcPr>
          <w:p w14:paraId="6977E57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70 850</w:t>
            </w:r>
          </w:p>
        </w:tc>
        <w:tc>
          <w:tcPr>
            <w:tcW w:w="943" w:type="pct"/>
            <w:vAlign w:val="center"/>
          </w:tcPr>
          <w:p w14:paraId="37AC2C9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50,8</w:t>
            </w:r>
          </w:p>
        </w:tc>
        <w:tc>
          <w:tcPr>
            <w:tcW w:w="943" w:type="pct"/>
            <w:vAlign w:val="center"/>
          </w:tcPr>
          <w:p w14:paraId="6337E64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17 313,1</w:t>
            </w:r>
          </w:p>
        </w:tc>
        <w:tc>
          <w:tcPr>
            <w:tcW w:w="942" w:type="pct"/>
            <w:vAlign w:val="center"/>
          </w:tcPr>
          <w:p w14:paraId="72897BC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16 347,4</w:t>
            </w:r>
          </w:p>
        </w:tc>
      </w:tr>
      <w:tr w:rsidR="003F2001" w:rsidRPr="003F2001" w14:paraId="3DAE598E"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76921B25"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942" w:type="pct"/>
            <w:noWrap/>
            <w:vAlign w:val="center"/>
            <w:hideMark/>
          </w:tcPr>
          <w:p w14:paraId="5E28403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129 953</w:t>
            </w:r>
          </w:p>
        </w:tc>
        <w:tc>
          <w:tcPr>
            <w:tcW w:w="943" w:type="pct"/>
            <w:vAlign w:val="center"/>
          </w:tcPr>
          <w:p w14:paraId="49338B6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91,5</w:t>
            </w:r>
          </w:p>
        </w:tc>
        <w:tc>
          <w:tcPr>
            <w:tcW w:w="943" w:type="pct"/>
            <w:vAlign w:val="center"/>
          </w:tcPr>
          <w:p w14:paraId="597845C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27 361,4</w:t>
            </w:r>
          </w:p>
        </w:tc>
        <w:tc>
          <w:tcPr>
            <w:tcW w:w="942" w:type="pct"/>
            <w:vAlign w:val="center"/>
          </w:tcPr>
          <w:p w14:paraId="7619250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24 411,1</w:t>
            </w:r>
          </w:p>
        </w:tc>
      </w:tr>
      <w:tr w:rsidR="003F2001" w:rsidRPr="003F2001" w14:paraId="481CF54C"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30" w:type="pct"/>
            <w:shd w:val="clear" w:color="auto" w:fill="F2F2F2"/>
            <w:noWrap/>
            <w:vAlign w:val="center"/>
            <w:hideMark/>
          </w:tcPr>
          <w:p w14:paraId="64AE7885"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942" w:type="pct"/>
            <w:shd w:val="clear" w:color="auto" w:fill="F2F2F2"/>
            <w:noWrap/>
            <w:vAlign w:val="center"/>
            <w:hideMark/>
          </w:tcPr>
          <w:p w14:paraId="145281A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101 707</w:t>
            </w:r>
          </w:p>
        </w:tc>
        <w:tc>
          <w:tcPr>
            <w:tcW w:w="943" w:type="pct"/>
            <w:shd w:val="clear" w:color="auto" w:fill="F2F2F2"/>
            <w:vAlign w:val="center"/>
          </w:tcPr>
          <w:p w14:paraId="3C44966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53,7</w:t>
            </w:r>
          </w:p>
        </w:tc>
        <w:tc>
          <w:tcPr>
            <w:tcW w:w="943" w:type="pct"/>
            <w:shd w:val="clear" w:color="auto" w:fill="F2F2F2"/>
            <w:vAlign w:val="center"/>
          </w:tcPr>
          <w:p w14:paraId="2E4A796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24 606,2</w:t>
            </w:r>
          </w:p>
        </w:tc>
        <w:tc>
          <w:tcPr>
            <w:tcW w:w="942" w:type="pct"/>
            <w:shd w:val="clear" w:color="auto" w:fill="F2F2F2"/>
            <w:vAlign w:val="center"/>
          </w:tcPr>
          <w:p w14:paraId="7A20670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21 413,1</w:t>
            </w:r>
          </w:p>
        </w:tc>
      </w:tr>
      <w:tr w:rsidR="003F2001" w:rsidRPr="003F2001" w14:paraId="16E7A2CE"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19FB2D5E"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942" w:type="pct"/>
            <w:noWrap/>
            <w:vAlign w:val="center"/>
            <w:hideMark/>
          </w:tcPr>
          <w:p w14:paraId="540830E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34 546</w:t>
            </w:r>
          </w:p>
        </w:tc>
        <w:tc>
          <w:tcPr>
            <w:tcW w:w="943" w:type="pct"/>
            <w:vAlign w:val="center"/>
          </w:tcPr>
          <w:p w14:paraId="594A2D1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10,1</w:t>
            </w:r>
          </w:p>
        </w:tc>
        <w:tc>
          <w:tcPr>
            <w:tcW w:w="943" w:type="pct"/>
            <w:vAlign w:val="center"/>
          </w:tcPr>
          <w:p w14:paraId="0DB0DD9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7 781,3</w:t>
            </w:r>
          </w:p>
        </w:tc>
        <w:tc>
          <w:tcPr>
            <w:tcW w:w="942" w:type="pct"/>
            <w:vAlign w:val="center"/>
          </w:tcPr>
          <w:p w14:paraId="5532BF7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6 306,2</w:t>
            </w:r>
          </w:p>
        </w:tc>
      </w:tr>
      <w:tr w:rsidR="003F2001" w:rsidRPr="003F2001" w14:paraId="3B26C6A3"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4F5D6E42"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942" w:type="pct"/>
            <w:noWrap/>
            <w:vAlign w:val="center"/>
            <w:hideMark/>
          </w:tcPr>
          <w:p w14:paraId="4E5BC75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115 905</w:t>
            </w:r>
          </w:p>
        </w:tc>
        <w:tc>
          <w:tcPr>
            <w:tcW w:w="943" w:type="pct"/>
            <w:vAlign w:val="center"/>
          </w:tcPr>
          <w:p w14:paraId="31FC68D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48,7</w:t>
            </w:r>
          </w:p>
        </w:tc>
        <w:tc>
          <w:tcPr>
            <w:tcW w:w="943" w:type="pct"/>
            <w:vAlign w:val="center"/>
          </w:tcPr>
          <w:p w14:paraId="3B4EFE6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31 865,5</w:t>
            </w:r>
          </w:p>
        </w:tc>
        <w:tc>
          <w:tcPr>
            <w:tcW w:w="942" w:type="pct"/>
            <w:vAlign w:val="center"/>
          </w:tcPr>
          <w:p w14:paraId="6083CB9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29 575,2</w:t>
            </w:r>
          </w:p>
        </w:tc>
      </w:tr>
    </w:tbl>
    <w:p w14:paraId="599F2013"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489E4FF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Gmina Opole Lubelskie nie ma całościowo zorganizowanej gospodarki w zakresie zaopatrzenia i pokrycia potrzeb cieplnych mieszkańców.</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 xml:space="preserve">Według stanu na koniec 2022 r. </w:t>
      </w:r>
      <w:r w:rsidRPr="003F2001">
        <w:rPr>
          <w:rFonts w:eastAsia="Times New Roman" w:cs="Times New Roman"/>
          <w:b/>
          <w:bCs/>
          <w:color w:val="4D160F"/>
          <w:kern w:val="0"/>
          <w:szCs w:val="20"/>
          <w:lang w:bidi="en-US"/>
          <w14:ligatures w14:val="none"/>
        </w:rPr>
        <w:t>długość sieci przesyłowej i rozdzielczej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na terenie gminy wynosiła jedynie 0,7 km, przy czym na obszarach wiejskich brak jest dostępu do sieci ciepła systemowego. Obiekty użyteczności publicznej ogrzewane są za pomocą różnych instalacji tj.: elektrycznych, gazowych, olejowych i węglowych. Budynki wielorodzinne w Kluczkowicach ogrzewane są kotłownią spalającą olej opałowy. Pozostałe obiekty na terenie gminy ogrzewane są z indywidualnych kotłowni zasilanych paliwami stałymi, płynnymi bądź gazem ziemnym. Źródła te tworzą tzw. niską emisję, która pogarsza stan środowiska naturalnego obszaru. </w:t>
      </w:r>
      <w:r w:rsidRPr="003F2001">
        <w:rPr>
          <w:rFonts w:eastAsia="Times New Roman" w:cs="Times New Roman"/>
          <w:b/>
          <w:bCs/>
          <w:color w:val="4D160F"/>
          <w:kern w:val="0"/>
          <w:szCs w:val="20"/>
          <w:lang w:bidi="en-US"/>
          <w14:ligatures w14:val="none"/>
        </w:rPr>
        <w:t>Niska emisja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stanowi emisję spalania paliw stałych, ciekłych i gazowych do atmosfery, ze źródeł emisji znajdujących się na </w:t>
      </w:r>
      <w:r w:rsidRPr="003F2001">
        <w:rPr>
          <w:rFonts w:eastAsia="Times New Roman" w:cs="Times New Roman"/>
          <w:kern w:val="0"/>
          <w:szCs w:val="20"/>
          <w:lang w:bidi="en-US"/>
          <w14:ligatures w14:val="none"/>
        </w:rPr>
        <w:lastRenderedPageBreak/>
        <w:t xml:space="preserve">wysokości nie większej niż 40 m, głównie z lokalnych kotłowni i domowych źródeł ciepła. Cechą charakterystyczną niskiej emisji jest to, że powodowana jest ona przez liczne źródła ciepła wprowadzające do powietrza niewielkie ilości zanieczyszczeń. </w:t>
      </w:r>
    </w:p>
    <w:p w14:paraId="7C6EB97A"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Ze względu na uwarunkowania przestrzenne i wynikające z tego ograniczenia w zaopatrywaniu w ciepło systemowe, w Gminie Opole Lubelskie zakłada się utrzymanie na obszarze indywidualnego systemu zaopatrzenia w ciepło. Należy jednak dążyć do eliminacji uciążliwych palenisk węglowych i stosowania do celów grzewczych i bytowych gazu ziemnego lub lekkiego oleju opałowego, a także pozyskiwania ciepła z odnawialnych źródeł energii. W powyższym kontekście należy zauważyć, że na terenie gminy realizowane były liczne inwestycje, finansowane zarówno ze środków unijnych, jak i krajowych, przyczyniające się do poprawy efektywności energetycznej obiektów, promocji niskoemisyjności, a także programy dotyczące wymiany nieefektywnych źródeł ciepła.</w:t>
      </w:r>
    </w:p>
    <w:p w14:paraId="3ECE7C19" w14:textId="26EF3C5E" w:rsidR="003F2001" w:rsidRPr="003F2001" w:rsidRDefault="003F2001" w:rsidP="00941F1D">
      <w:pPr>
        <w:pStyle w:val="Nagwek2"/>
      </w:pPr>
      <w:bookmarkStart w:id="128" w:name="_Toc173435461"/>
      <w:bookmarkStart w:id="129" w:name="_Toc191908776"/>
      <w:r>
        <w:t xml:space="preserve">2.5.4 </w:t>
      </w:r>
      <w:r w:rsidRPr="003F2001">
        <w:t>Odnawialne źródła energii</w:t>
      </w:r>
      <w:bookmarkEnd w:id="128"/>
      <w:bookmarkEnd w:id="129"/>
    </w:p>
    <w:p w14:paraId="127BB1D0" w14:textId="77777777" w:rsidR="003F2001" w:rsidRPr="003F2001" w:rsidRDefault="003F2001" w:rsidP="003F2001">
      <w:pPr>
        <w:spacing w:line="276" w:lineRule="auto"/>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Potencjał naturalny obszaru oraz jego rolniczy charakter stwarzają sprzyjające warunki do rozwoju energetyki odnawialnej - na terenie gminy teoretycznie do pozyskania jest energia z wody, słońca, wiatru oraz biomasy.</w:t>
      </w:r>
    </w:p>
    <w:p w14:paraId="2E612D2A" w14:textId="77777777" w:rsidR="003F2001" w:rsidRPr="003F2001" w:rsidRDefault="003F2001" w:rsidP="003F2001">
      <w:pPr>
        <w:spacing w:line="276" w:lineRule="auto"/>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 xml:space="preserve">Obszar całego województwa lubelskiego należy do regionów posiadających jedne z najlepszych warunków wykorzystywania </w:t>
      </w:r>
      <w:r w:rsidRPr="003F2001">
        <w:rPr>
          <w:rFonts w:eastAsia="Times New Roman" w:cs="Times New Roman"/>
          <w:b/>
          <w:bCs/>
          <w:color w:val="4D160F"/>
          <w:kern w:val="0"/>
          <w:szCs w:val="20"/>
          <w:lang w:bidi="en-US"/>
          <w14:ligatures w14:val="none"/>
        </w:rPr>
        <w:t>energii słonecznej</w:t>
      </w:r>
      <w:r w:rsidRPr="003F2001">
        <w:rPr>
          <w:rFonts w:eastAsia="Times New Roman" w:cs="Times New Roman"/>
          <w:color w:val="4D160F"/>
          <w:kern w:val="0"/>
          <w:szCs w:val="20"/>
          <w:lang w:bidi="en-US"/>
          <w14:ligatures w14:val="none"/>
        </w:rPr>
        <w:t xml:space="preserve"> </w:t>
      </w:r>
      <w:r w:rsidRPr="003F2001">
        <w:rPr>
          <w:rFonts w:eastAsia="Times New Roman" w:cs="Times New Roman"/>
          <w:color w:val="000000"/>
          <w:kern w:val="0"/>
          <w:szCs w:val="20"/>
          <w:lang w:bidi="en-US"/>
          <w14:ligatures w14:val="none"/>
        </w:rPr>
        <w:t>w kraju i został, zgodnie z „Programem rozwoju odnawialnych źródeł energii dla województwa lubelskiego”, w całości zakwalifikowany do obszarów preferowanych dla lokalizacji urządzeń i instalacji wykorzystujących energię słoneczną. Potencjał wykorzystania energii słonecznej, określany przez roczną gęstość mocy promieniowania słonecznego, w obszarze regionu waha się w granicach od ok. 1 050 do ok. 1 150 kWh/m², podczas gdy w kraju potencjał ten zasadniczo zawiera się w przedziale 950 kWh/m² - 1 150 kWh/m². Należy jednak zauważyć, że na terenie Gminy Opole Lubelskie usłonecznienie (czas bezpośredniego dopływu promieniowania słonecznego w ciągu roku przy powierzchni ziemi) wynosi 1 500 – 1 550 h/rok i należy do najmniejszych w województwie lubelskim. Roczne promieniowanie całkowite nie przekracza 3600 MJ/m</w:t>
      </w:r>
      <w:r w:rsidRPr="003F2001">
        <w:rPr>
          <w:rFonts w:eastAsia="Times New Roman" w:cs="Times New Roman"/>
          <w:color w:val="000000"/>
          <w:kern w:val="0"/>
          <w:szCs w:val="20"/>
          <w:vertAlign w:val="superscript"/>
          <w:lang w:bidi="en-US"/>
          <w14:ligatures w14:val="none"/>
        </w:rPr>
        <w:t>2</w:t>
      </w:r>
      <w:r w:rsidRPr="003F2001">
        <w:rPr>
          <w:rFonts w:eastAsia="Times New Roman" w:cs="Times New Roman"/>
          <w:color w:val="000000"/>
          <w:kern w:val="0"/>
          <w:szCs w:val="20"/>
          <w:lang w:bidi="en-US"/>
          <w14:ligatures w14:val="none"/>
        </w:rPr>
        <w:t xml:space="preserve">. Te niezbyt wysokie parametry sprawiają, że gmina została zaliczona do obszarów o </w:t>
      </w:r>
      <w:r w:rsidRPr="003F2001">
        <w:rPr>
          <w:rFonts w:eastAsia="Times New Roman" w:cs="Times New Roman"/>
          <w:b/>
          <w:bCs/>
          <w:color w:val="4D160F"/>
          <w:kern w:val="0"/>
          <w:szCs w:val="20"/>
          <w:lang w:bidi="en-US"/>
          <w14:ligatures w14:val="none"/>
        </w:rPr>
        <w:t>średnio korzystnych warunkach do rozwoju energetyki słonecznej</w:t>
      </w:r>
      <w:r w:rsidRPr="003F2001">
        <w:rPr>
          <w:rFonts w:eastAsia="Times New Roman" w:cs="Times New Roman"/>
          <w:color w:val="000000"/>
          <w:kern w:val="0"/>
          <w:szCs w:val="20"/>
          <w:lang w:bidi="en-US"/>
          <w14:ligatures w14:val="none"/>
        </w:rPr>
        <w:t>, tj. obszarów o potencjalnej energii użytecznej poniżej 950 kWh/m</w:t>
      </w:r>
      <w:r w:rsidRPr="003F2001">
        <w:rPr>
          <w:rFonts w:eastAsia="Times New Roman" w:cs="Times New Roman"/>
          <w:color w:val="000000"/>
          <w:kern w:val="0"/>
          <w:szCs w:val="20"/>
          <w:vertAlign w:val="superscript"/>
          <w:lang w:bidi="en-US"/>
          <w14:ligatures w14:val="none"/>
        </w:rPr>
        <w:t>2</w:t>
      </w:r>
      <w:r w:rsidRPr="003F2001">
        <w:rPr>
          <w:rFonts w:eastAsia="Times New Roman" w:cs="Times New Roman"/>
          <w:color w:val="000000"/>
          <w:kern w:val="0"/>
          <w:szCs w:val="20"/>
          <w:lang w:bidi="en-US"/>
          <w14:ligatures w14:val="none"/>
        </w:rPr>
        <w:t>. Mimo to potrzeby własne mieszkańców w zakresie produkcji energii elektrycznej i cieplnej z energii słonecznej mogą być zaspokajane poprzez stosowanie kolektorów słonecznych. Należy jednak wziąć pod uwagę, że lokalizacja ogniw fotowoltaicznych nie powinna być realizowana na: obszarach o szczególnych walorach przestrzennych, obszarach i obiektach objętych ochroną konserwatorską oraz terenach cennych przyrodniczo. Usytuowanie wielkopowierzchniowych instalacji paneli fotowoltaicznych pożądane jest na terenach wyrobisk poeksploatacyjnych surowców mineralnych oraz na terenach składowisk odpadów komunalnych.</w:t>
      </w:r>
    </w:p>
    <w:p w14:paraId="610E6B5D" w14:textId="77777777" w:rsidR="003F2001" w:rsidRPr="003F2001" w:rsidRDefault="003F2001" w:rsidP="003F2001">
      <w:pPr>
        <w:spacing w:line="276" w:lineRule="auto"/>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 xml:space="preserve">Gmina Opole Lubelskie posiada również potencjał do pozyskania </w:t>
      </w:r>
      <w:r w:rsidRPr="003F2001">
        <w:rPr>
          <w:rFonts w:eastAsia="Times New Roman" w:cs="Times New Roman"/>
          <w:b/>
          <w:bCs/>
          <w:color w:val="4D160F"/>
          <w:kern w:val="0"/>
          <w:szCs w:val="20"/>
          <w:lang w:bidi="en-US"/>
          <w14:ligatures w14:val="none"/>
        </w:rPr>
        <w:t>energii z wody</w:t>
      </w:r>
      <w:r w:rsidRPr="003F2001">
        <w:rPr>
          <w:rFonts w:eastAsia="Times New Roman" w:cs="Times New Roman"/>
          <w:color w:val="000000"/>
          <w:kern w:val="0"/>
          <w:szCs w:val="20"/>
          <w:lang w:bidi="en-US"/>
          <w14:ligatures w14:val="none"/>
        </w:rPr>
        <w:t>. Na jej terenie zlokalizowane są małe elektrownie wodne na rzece Chodelce. Ponadto, „Wojewódzki Program Rozwoju Alternatywnych Źródeł Energii” jako jedną z lokalizacji budowy elektrowni wodnej wskazuje również Wólkę Komaszycką.</w:t>
      </w:r>
      <w:r w:rsidRPr="003F2001">
        <w:rPr>
          <w:rFonts w:ascii="Calibri" w:eastAsia="Calibri" w:hAnsi="Calibri" w:cs="Times New Roman"/>
          <w:sz w:val="22"/>
        </w:rPr>
        <w:t xml:space="preserve"> </w:t>
      </w:r>
      <w:r w:rsidRPr="003F2001">
        <w:rPr>
          <w:rFonts w:eastAsia="Times New Roman" w:cs="Times New Roman"/>
          <w:color w:val="000000"/>
          <w:kern w:val="0"/>
          <w:szCs w:val="20"/>
          <w:lang w:bidi="en-US"/>
          <w14:ligatures w14:val="none"/>
        </w:rPr>
        <w:t>Do wykorzystania hydroenergetycznego wskazany jest także modernizowany jaz Ruda Opolska w Woli Rudzkiej.</w:t>
      </w:r>
    </w:p>
    <w:p w14:paraId="0139B717" w14:textId="77777777" w:rsidR="003F2001" w:rsidRPr="003F2001" w:rsidRDefault="003F2001" w:rsidP="003F2001">
      <w:pPr>
        <w:spacing w:line="276" w:lineRule="auto"/>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 xml:space="preserve">Rejon województwa lubelskiego w krajowym podziale na strefy energetyczne wiatru zaliczony jest do strefy III – korzystnej, a w części południowo-wschodniej do strefy IV - mało korzystnej pod względem zasobów wiatru. Opole Lubelskie znajduje się w strefie energetycznej wiatrowej, gdzie średnia prędkość wiatru w ciągu roku na wysokości 30 m waha się od 3,6 m/s do 4,3 m/s. </w:t>
      </w:r>
      <w:r w:rsidRPr="003F2001">
        <w:rPr>
          <w:rFonts w:eastAsia="Times New Roman" w:cs="Times New Roman"/>
          <w:color w:val="000000"/>
          <w:kern w:val="0"/>
          <w:szCs w:val="20"/>
          <w:lang w:bidi="en-US"/>
          <w14:ligatures w14:val="none"/>
        </w:rPr>
        <w:lastRenderedPageBreak/>
        <w:t xml:space="preserve">W przyjętym przez Zarząd Województwa Lubelskiego dokumencie „Przestrzenne aspekty lokalizacji energetyki wiatrowej w województwie lubelskim” w południowowschodniej części gminy (obręby: Wandalin, Puszno Godowskie, Białowoda) wyodrębniono trzy różnej wielkości obszary proponowane do rozwoju dużych </w:t>
      </w:r>
      <w:r w:rsidRPr="003F2001">
        <w:rPr>
          <w:rFonts w:eastAsia="Times New Roman" w:cs="Times New Roman"/>
          <w:b/>
          <w:bCs/>
          <w:color w:val="4D160F"/>
          <w:kern w:val="0"/>
          <w:szCs w:val="20"/>
          <w:lang w:bidi="en-US"/>
          <w14:ligatures w14:val="none"/>
        </w:rPr>
        <w:t>elektrowni wiatrowych</w:t>
      </w:r>
      <w:r w:rsidRPr="003F2001">
        <w:rPr>
          <w:rFonts w:eastAsia="Times New Roman" w:cs="Times New Roman"/>
          <w:color w:val="4D160F"/>
          <w:kern w:val="0"/>
          <w:szCs w:val="20"/>
          <w:lang w:bidi="en-US"/>
          <w14:ligatures w14:val="none"/>
        </w:rPr>
        <w:t xml:space="preserve"> </w:t>
      </w:r>
      <w:r w:rsidRPr="003F2001">
        <w:rPr>
          <w:rFonts w:eastAsia="Times New Roman" w:cs="Times New Roman"/>
          <w:color w:val="000000"/>
          <w:kern w:val="0"/>
          <w:szCs w:val="20"/>
          <w:lang w:bidi="en-US"/>
          <w14:ligatures w14:val="none"/>
        </w:rPr>
        <w:t>(powyżej 100kV), a w północnej części obrębu Wrzelowiec – obszar możliwy do rozwoju energetyki z ograniczeniami w zakresie skali inwestycji. Pozostałą część obszaru gminy opracowanie to uznało za obszar z istotnymi ograniczeniami mogącymi uniemożliwić realizację inwestycji, bądź za obszary wykluczone z ich realizacji.</w:t>
      </w:r>
      <w:r w:rsidRPr="003F2001">
        <w:rPr>
          <w:rFonts w:ascii="Calibri" w:eastAsia="Calibri" w:hAnsi="Calibri" w:cs="Times New Roman"/>
          <w:sz w:val="22"/>
        </w:rPr>
        <w:t xml:space="preserve"> </w:t>
      </w:r>
      <w:r w:rsidRPr="003F2001">
        <w:rPr>
          <w:rFonts w:eastAsia="Times New Roman" w:cs="Times New Roman"/>
          <w:color w:val="000000"/>
          <w:kern w:val="0"/>
          <w:szCs w:val="20"/>
          <w:lang w:bidi="en-US"/>
          <w14:ligatures w14:val="none"/>
        </w:rPr>
        <w:t>Na całym obszarze gminy możliwe jest natomiast realizowanie małych elektrowni, służących potrzebom pojedynczych gospodarstw lub małych firm.</w:t>
      </w:r>
    </w:p>
    <w:p w14:paraId="1E319AD7" w14:textId="77777777" w:rsidR="003F2001" w:rsidRPr="003F2001" w:rsidRDefault="003F2001" w:rsidP="003F2001">
      <w:pPr>
        <w:spacing w:line="276" w:lineRule="auto"/>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 xml:space="preserve">Najbardziej dostępnym źródłem energii odnawialnej na terenie województwa lubelskiego jest </w:t>
      </w:r>
      <w:r w:rsidRPr="003F2001">
        <w:rPr>
          <w:rFonts w:eastAsia="Times New Roman" w:cs="Times New Roman"/>
          <w:b/>
          <w:bCs/>
          <w:color w:val="4D160F"/>
          <w:kern w:val="0"/>
          <w:szCs w:val="20"/>
          <w:lang w:bidi="en-US"/>
          <w14:ligatures w14:val="none"/>
        </w:rPr>
        <w:t>biomasa</w:t>
      </w:r>
      <w:r w:rsidRPr="003F2001">
        <w:rPr>
          <w:rFonts w:eastAsia="Times New Roman" w:cs="Times New Roman"/>
          <w:color w:val="000000"/>
          <w:kern w:val="0"/>
          <w:szCs w:val="20"/>
          <w:lang w:bidi="en-US"/>
          <w14:ligatures w14:val="none"/>
        </w:rPr>
        <w:t>. Do głównych źródeł jej pozyskiwania należą: celowe uprawy roślin energetycznych, organiczne pozostałości i odpady produkcji rolniczej, odpady powstające w przemyśle rolno-spożywczym oraz odchody z ferm hodowlanych wykorzystywane do fermentacji metanowej. Całkowity, wstępnie oszacowany potencjał biomasy pochodzenia rolniczego, możliwy do wykorzystania na cele energetyczne w województwie lubelskim, jest wysoki i stanowi równowartość około 28,0 PJ energii rocznie, co stanowi ok. 11,0% energii krajowej. Na cele energetyczne można wykorzystać również drewno pochodzące z lasów, z odpadów przemysłu drzewnego oraz z odpadów powstających przy pielęgnacji sadów i zadrzewień. Teren Gminy Opole Lubelskie zaliczany jest do:</w:t>
      </w:r>
    </w:p>
    <w:p w14:paraId="700DE765" w14:textId="77777777" w:rsidR="003F2001" w:rsidRPr="003F2001" w:rsidRDefault="003F2001">
      <w:pPr>
        <w:numPr>
          <w:ilvl w:val="0"/>
          <w:numId w:val="67"/>
        </w:numPr>
        <w:spacing w:after="160" w:line="276" w:lineRule="auto"/>
        <w:contextualSpacing/>
        <w:jc w:val="left"/>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obszarów o najwyższym potencjale gleb do uprawy jednorocznych roślin energetycznych, o wysokich wymaganiach glebowych (rzepak, buraki cukrowe), wskazanych do lokalizacji inwestycji wykorzystujących biomasę w energetyce,</w:t>
      </w:r>
    </w:p>
    <w:p w14:paraId="6073095C" w14:textId="77777777" w:rsidR="003F2001" w:rsidRPr="003F2001" w:rsidRDefault="003F2001">
      <w:pPr>
        <w:numPr>
          <w:ilvl w:val="0"/>
          <w:numId w:val="67"/>
        </w:numPr>
        <w:spacing w:after="160" w:line="276" w:lineRule="auto"/>
        <w:contextualSpacing/>
        <w:jc w:val="left"/>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obszarów o potencjalnie najwyższych zasobach drewna i potencjale energetycznym z sadów,</w:t>
      </w:r>
    </w:p>
    <w:p w14:paraId="383AF3CD" w14:textId="77777777" w:rsidR="003F2001" w:rsidRPr="003F2001" w:rsidRDefault="003F2001">
      <w:pPr>
        <w:numPr>
          <w:ilvl w:val="0"/>
          <w:numId w:val="67"/>
        </w:numPr>
        <w:spacing w:after="160" w:line="276" w:lineRule="auto"/>
        <w:contextualSpacing/>
        <w:jc w:val="left"/>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obszarów potencjalnych źródeł biomasy do produkcji biogazu pochodzącej z zakładów przemysłu rolno-spożywczego.</w:t>
      </w:r>
    </w:p>
    <w:p w14:paraId="48A7D018" w14:textId="55F027EF" w:rsidR="003F2001" w:rsidRPr="003F2001" w:rsidRDefault="003F2001" w:rsidP="00941F1D">
      <w:pPr>
        <w:pStyle w:val="Nagwek2"/>
      </w:pPr>
      <w:bookmarkStart w:id="130" w:name="_Toc173435462"/>
      <w:bookmarkStart w:id="131" w:name="_Toc191908777"/>
      <w:r>
        <w:t xml:space="preserve">2.5.5 </w:t>
      </w:r>
      <w:r w:rsidRPr="003F2001">
        <w:t>Gospodarka odpadami</w:t>
      </w:r>
      <w:bookmarkEnd w:id="130"/>
      <w:bookmarkEnd w:id="131"/>
    </w:p>
    <w:p w14:paraId="68E713A4" w14:textId="77777777" w:rsidR="003F2001" w:rsidRPr="003F2001" w:rsidRDefault="003F2001" w:rsidP="003F2001">
      <w:pPr>
        <w:spacing w:line="276" w:lineRule="auto"/>
        <w:rPr>
          <w:rFonts w:eastAsia="Times New Roman" w:cs="Times New Roman"/>
          <w:color w:val="000000"/>
          <w:kern w:val="0"/>
          <w:szCs w:val="20"/>
          <w:lang w:bidi="en-US"/>
          <w14:ligatures w14:val="none"/>
        </w:rPr>
      </w:pPr>
      <w:r w:rsidRPr="003F2001">
        <w:rPr>
          <w:rFonts w:eastAsia="Times New Roman" w:cs="Times New Roman"/>
          <w:color w:val="000000"/>
          <w:kern w:val="0"/>
          <w:szCs w:val="20"/>
          <w:lang w:bidi="en-US"/>
          <w14:ligatures w14:val="none"/>
        </w:rPr>
        <w:t xml:space="preserve">Nieodłączną cechą ludzkiej działalności jest wytwarzanie odpadów. </w:t>
      </w:r>
      <w:r w:rsidRPr="003F2001">
        <w:rPr>
          <w:rFonts w:eastAsia="Times New Roman" w:cs="Times New Roman"/>
          <w:b/>
          <w:bCs/>
          <w:color w:val="4D160F"/>
          <w:kern w:val="0"/>
          <w:szCs w:val="20"/>
          <w:lang w:bidi="en-US"/>
          <w14:ligatures w14:val="none"/>
        </w:rPr>
        <w:t>Odpady</w:t>
      </w:r>
      <w:r w:rsidRPr="003F2001">
        <w:rPr>
          <w:rFonts w:eastAsia="Times New Roman" w:cs="Times New Roman"/>
          <w:color w:val="000000"/>
          <w:kern w:val="0"/>
          <w:szCs w:val="20"/>
          <w:lang w:bidi="en-US"/>
          <w14:ligatures w14:val="none"/>
        </w:rPr>
        <w:t xml:space="preserve"> oznaczają każdą substancję lub przedmiot, których posiadacz pozbywa się, zamierza się pozbyć lub do których pozbycia jest obowiązany. Uciążliwość odpadów dla środowiska przejawia się przede wszystkim zanieczyszczeniem wód i gleb, skażeniem powietrza, niszczeniem walorów estetycznych i krajobrazowych oraz wyłączeniem z użytkowania terenów rolnych i leśnych zajmowanych pod składowanie odpadów. Głównym wyzwaniem w gospodarce odpadami na najbliższe lata jest przejście na gospodarkę o obiegu zamkniętym poprzez minimalizowanie ilości wytwarzanych odpadów oraz wykorzystywanie odpadów nieuniknionych jako zasobu dzięki procesom recyklingu.</w:t>
      </w:r>
    </w:p>
    <w:p w14:paraId="03E95C24" w14:textId="48A0E42D" w:rsidR="003750E2" w:rsidRDefault="003F2001" w:rsidP="003F2001">
      <w:pPr>
        <w:spacing w:line="276" w:lineRule="auto"/>
        <w:rPr>
          <w:rFonts w:eastAsia="Times New Roman" w:cs="Times New Roman"/>
          <w:kern w:val="0"/>
          <w:szCs w:val="20"/>
          <w:lang w:bidi="en-US"/>
          <w14:ligatures w14:val="none"/>
        </w:rPr>
      </w:pPr>
      <w:bookmarkStart w:id="132" w:name="_Hlk172137075"/>
      <w:r w:rsidRPr="003F2001">
        <w:rPr>
          <w:rFonts w:eastAsia="Times New Roman" w:cs="Times New Roman"/>
          <w:kern w:val="0"/>
          <w:szCs w:val="20"/>
          <w:lang w:bidi="en-US"/>
          <w14:ligatures w14:val="none"/>
        </w:rPr>
        <w:t xml:space="preserve">W 2023 r. na terenie Gminy Opole Lubelskie wytworzono </w:t>
      </w:r>
      <w:r w:rsidRPr="003F2001">
        <w:rPr>
          <w:rFonts w:eastAsia="Times New Roman" w:cs="Times New Roman"/>
          <w:b/>
          <w:bCs/>
          <w:color w:val="4D160F"/>
          <w:kern w:val="0"/>
          <w:szCs w:val="20"/>
          <w:lang w:bidi="en-US"/>
          <w14:ligatures w14:val="none"/>
        </w:rPr>
        <w:t>3 199,75 ton odpadów komunalnych</w:t>
      </w:r>
      <w:r w:rsidRPr="003F2001">
        <w:rPr>
          <w:rFonts w:eastAsia="Times New Roman" w:cs="Times New Roman"/>
          <w:kern w:val="0"/>
          <w:szCs w:val="20"/>
          <w:lang w:bidi="en-US"/>
          <w14:ligatures w14:val="none"/>
        </w:rPr>
        <w:t xml:space="preserve">, z czego 2 256,29 ton (70,5%) pochodziło z terenu miasta. Większość wytworzonych odpadów komunalnych – 2 929,96 ton (91,6%) zostało odebranych od gospodarstw domowych. Na jednego mieszkańca gminy w 2023 r. przypadało 196 kg odpadów, wobec 185 kg w powiecie opolskim oraz 257 kg w województwie lubelskim. Należy zauważyć, że </w:t>
      </w:r>
      <w:r w:rsidRPr="003F2001">
        <w:rPr>
          <w:rFonts w:eastAsia="Times New Roman" w:cs="Times New Roman"/>
          <w:b/>
          <w:bCs/>
          <w:color w:val="4D160F"/>
          <w:kern w:val="0"/>
          <w:szCs w:val="20"/>
          <w:lang w:bidi="en-US"/>
          <w14:ligatures w14:val="none"/>
        </w:rPr>
        <w:t>masa wytworzonych odpadów komunalnych przez jednego mieszkańca</w:t>
      </w:r>
      <w:r w:rsidRPr="003F2001">
        <w:rPr>
          <w:rFonts w:eastAsia="Times New Roman" w:cs="Times New Roman"/>
          <w:kern w:val="0"/>
          <w:szCs w:val="20"/>
          <w:lang w:bidi="en-US"/>
          <w14:ligatures w14:val="none"/>
        </w:rPr>
        <w:t xml:space="preserve"> była o wiele wyższa w mieście niż na terenach wiejskich gminy.</w:t>
      </w:r>
      <w:bookmarkEnd w:id="132"/>
    </w:p>
    <w:p w14:paraId="5F5E607F" w14:textId="77777777" w:rsidR="003750E2" w:rsidRDefault="003750E2">
      <w:pPr>
        <w:spacing w:after="160" w:line="259" w:lineRule="auto"/>
        <w:jc w:val="left"/>
        <w:rPr>
          <w:rFonts w:eastAsia="Times New Roman" w:cs="Times New Roman"/>
          <w:kern w:val="0"/>
          <w:szCs w:val="20"/>
          <w:lang w:bidi="en-US"/>
          <w14:ligatures w14:val="none"/>
        </w:rPr>
      </w:pPr>
      <w:r>
        <w:rPr>
          <w:rFonts w:eastAsia="Times New Roman" w:cs="Times New Roman"/>
          <w:kern w:val="0"/>
          <w:szCs w:val="20"/>
          <w:lang w:bidi="en-US"/>
          <w14:ligatures w14:val="none"/>
        </w:rPr>
        <w:br w:type="page"/>
      </w:r>
    </w:p>
    <w:p w14:paraId="2A807139" w14:textId="08247313"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33" w:name="_Toc189166388"/>
      <w:r w:rsidRPr="003F2001">
        <w:rPr>
          <w:rFonts w:eastAsia="Calibri" w:cs="Times New Roman"/>
          <w:b/>
          <w:bCs/>
          <w:color w:val="7B230B"/>
          <w:kern w:val="0"/>
          <w:sz w:val="16"/>
          <w:szCs w:val="19"/>
          <w14:ligatures w14:val="none"/>
        </w:rPr>
        <w:lastRenderedPageBreak/>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32</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Masa wytworzonych odpadów komunalnych na jednego mieszkańca na terenie Gminy Opole Lubelskie, powiatu opolskiego i województwa lubelskiego w 2023 r. (kg)</w:t>
      </w:r>
      <w:bookmarkEnd w:id="133"/>
    </w:p>
    <w:p w14:paraId="1C846EA0" w14:textId="68C599A4" w:rsidR="003F2001" w:rsidRPr="003F2001" w:rsidRDefault="00596088" w:rsidP="003F2001">
      <w:pPr>
        <w:spacing w:line="276" w:lineRule="auto"/>
        <w:rPr>
          <w:rFonts w:eastAsia="Times New Roman" w:cs="Times New Roman"/>
          <w:kern w:val="0"/>
          <w:szCs w:val="20"/>
          <w:lang w:bidi="en-US"/>
          <w14:ligatures w14:val="none"/>
        </w:rPr>
      </w:pPr>
      <w:r>
        <w:rPr>
          <w:noProof/>
          <w:lang w:eastAsia="pl-PL"/>
        </w:rPr>
        <w:drawing>
          <wp:inline distT="0" distB="0" distL="0" distR="0" wp14:anchorId="7FA41CDD" wp14:editId="3DF5E6B2">
            <wp:extent cx="5759450" cy="2699385"/>
            <wp:effectExtent l="0" t="0" r="0" b="5715"/>
            <wp:docPr id="934090535"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94BE94"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285FEE10"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Gospodarowanie odpadami może w sposób istotny wpływać na środowisko przyrodnicze oraz zdrowie ludzi. Ograniczanie ich wytwarzania w dobie zwiększającej się produkcji i konsumpcji jest istotnym warunkiem zmniejszania negatywnego wpływu na środowisko oraz jednym z zasadniczych wyzwań współczesnego świata. Ich unieszkodliwianie poprzez składowanie jest przejawem nieefektywnego gospodarowania zasobami, powodującym dodatkowo emisję zanieczyszczeń do atmosfery, gleby, wody, utratę powierzchni pod składowiska czy obniżenie estetycznych walorów krajobrazu. Dopiero powtórne wykorzystanie odpadów, odzyskanie lub poddanie ich recyklingowi sprawia, iż mogą one stać się potencjalnym zasobem, przyczyniając się w ten sposób do zmniejszenia zużycia surowców pierwotnych w celu wytworzenia produktów, a tym samym efektywniejszego gospodarowania zasobami.</w:t>
      </w:r>
    </w:p>
    <w:p w14:paraId="033C9B6E" w14:textId="2AC0D8BD"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34" w:name="_Toc189166389"/>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33</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Odpady zebrane selektywnie w relacji do ogółu odpadów na terenie Gminy Opole Lubelskie, powiatu opolskiego i województwa lubelskiego w 2023 r. (%)</w:t>
      </w:r>
      <w:bookmarkEnd w:id="134"/>
    </w:p>
    <w:p w14:paraId="4723869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0B36F1E3" wp14:editId="55EA4923">
            <wp:extent cx="5759450" cy="2700000"/>
            <wp:effectExtent l="0" t="0" r="0" b="5715"/>
            <wp:docPr id="32" name="Wykres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8EFB244"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5E96AFE5" w14:textId="73304163"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 xml:space="preserve">Na terenie gminy w sposób selektywny zebrano 1 134,21 ton odpadów. Pozytywny jest fakt, że </w:t>
      </w:r>
      <w:r w:rsidRPr="003F2001">
        <w:rPr>
          <w:rFonts w:eastAsia="Times New Roman" w:cs="Times New Roman"/>
          <w:b/>
          <w:bCs/>
          <w:color w:val="4D160F"/>
          <w:kern w:val="0"/>
          <w:szCs w:val="20"/>
          <w:lang w:bidi="en-US"/>
          <w14:ligatures w14:val="none"/>
        </w:rPr>
        <w:t>ilość odpadów komunalnych zebranych selektywnie</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z roku na rok rośnie. W 2017 r. selektywna zbiórka odpadów stanowiła jedynie 21,2% zebranych odpadów komunalnych. Natomiast sześć la</w:t>
      </w:r>
      <w:r w:rsidR="00596088">
        <w:rPr>
          <w:rFonts w:eastAsia="Times New Roman" w:cs="Times New Roman"/>
          <w:kern w:val="0"/>
          <w:szCs w:val="20"/>
          <w:lang w:bidi="en-US"/>
          <w14:ligatures w14:val="none"/>
        </w:rPr>
        <w:t>t</w:t>
      </w:r>
      <w:r w:rsidRPr="003F2001">
        <w:rPr>
          <w:rFonts w:eastAsia="Times New Roman" w:cs="Times New Roman"/>
          <w:kern w:val="0"/>
          <w:szCs w:val="20"/>
          <w:lang w:bidi="en-US"/>
          <w14:ligatures w14:val="none"/>
        </w:rPr>
        <w:t xml:space="preserve"> później, w 2023 r. na terenie gminy zebrano selektywnie 35,4% wytworzonych odpadów komunalnych. Nadal jednak wskaźnik ten znacząco odbiega od średniej dla województwa lubelskiego wynoszącej 49,1%. </w:t>
      </w:r>
    </w:p>
    <w:p w14:paraId="55E6D22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porównaniu do pozostałych ośrodków lokalnych w województwie lubelskim Opole Lubelskie wyróżnia się najniższą wartością masy wytworzonych odpadów komunalnych przez jednego mieszkańca. Natomiast wskaźnik dotyczący udziału odpadów zebranych selektywnie w relacji do ogółu wytworzonych odpadów komunalnych kształtuje się na średnim poziomie – znacznie wyższą wartość tego wskaźnika odnotowano w Parczewie, gdzie blisko 60% odpadów zostało zebranych w sposób selektywny.</w:t>
      </w:r>
    </w:p>
    <w:p w14:paraId="131A47CB" w14:textId="1D3043EC"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35" w:name="_Toc189166348"/>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16</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Gospodarka odpadami komunalnymi w Gminie Opole Lubelskie oraz jednostkach porównawczych.</w:t>
      </w:r>
      <w:bookmarkEnd w:id="135"/>
    </w:p>
    <w:tbl>
      <w:tblPr>
        <w:tblStyle w:val="Tabelasiatki1jasnaakcent15"/>
        <w:tblW w:w="5000" w:type="pct"/>
        <w:tblLook w:val="04A0" w:firstRow="1" w:lastRow="0" w:firstColumn="1" w:lastColumn="0" w:noHBand="0" w:noVBand="1"/>
      </w:tblPr>
      <w:tblGrid>
        <w:gridCol w:w="2230"/>
        <w:gridCol w:w="1707"/>
        <w:gridCol w:w="1709"/>
        <w:gridCol w:w="1709"/>
        <w:gridCol w:w="1707"/>
      </w:tblGrid>
      <w:tr w:rsidR="003F2001" w:rsidRPr="003F2001" w14:paraId="4D855671"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0" w:type="pct"/>
            <w:vAlign w:val="center"/>
            <w:hideMark/>
          </w:tcPr>
          <w:p w14:paraId="7240EDBE"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942" w:type="pct"/>
            <w:vAlign w:val="center"/>
            <w:hideMark/>
          </w:tcPr>
          <w:p w14:paraId="3FED784D"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Odpady zebrane (tony)</w:t>
            </w:r>
          </w:p>
        </w:tc>
        <w:tc>
          <w:tcPr>
            <w:tcW w:w="943" w:type="pct"/>
            <w:vAlign w:val="center"/>
          </w:tcPr>
          <w:p w14:paraId="142CF991"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Odpady zebrane w sposób selektywny</w:t>
            </w:r>
          </w:p>
          <w:p w14:paraId="1C6EF01E"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(tony)</w:t>
            </w:r>
          </w:p>
        </w:tc>
        <w:tc>
          <w:tcPr>
            <w:tcW w:w="943" w:type="pct"/>
            <w:vAlign w:val="center"/>
          </w:tcPr>
          <w:p w14:paraId="66FE6A7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Odpady zebrane selektywnie w relacji do ogółu odpadów</w:t>
            </w:r>
            <w:r w:rsidRPr="003F2001">
              <w:rPr>
                <w:rFonts w:cs="Times New Roman"/>
                <w:sz w:val="16"/>
                <w:szCs w:val="16"/>
                <w:lang w:bidi="en-US"/>
              </w:rPr>
              <w:br/>
              <w:t>(%)</w:t>
            </w:r>
          </w:p>
        </w:tc>
        <w:tc>
          <w:tcPr>
            <w:tcW w:w="942" w:type="pct"/>
            <w:vAlign w:val="center"/>
          </w:tcPr>
          <w:p w14:paraId="49474094"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Masa wytworzonych odpadów komunalnych na jednego mieszkańca</w:t>
            </w:r>
            <w:r w:rsidRPr="003F2001">
              <w:rPr>
                <w:rFonts w:cs="Times New Roman"/>
                <w:sz w:val="16"/>
                <w:szCs w:val="16"/>
                <w:lang w:bidi="en-US"/>
              </w:rPr>
              <w:br/>
              <w:t>(kg)</w:t>
            </w:r>
          </w:p>
        </w:tc>
      </w:tr>
      <w:tr w:rsidR="003F2001" w:rsidRPr="003F2001" w14:paraId="719894F6"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0F51FD61"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942" w:type="pct"/>
            <w:noWrap/>
            <w:vAlign w:val="center"/>
          </w:tcPr>
          <w:p w14:paraId="57721AE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4 218,06</w:t>
            </w:r>
          </w:p>
        </w:tc>
        <w:tc>
          <w:tcPr>
            <w:tcW w:w="943" w:type="pct"/>
            <w:vAlign w:val="center"/>
          </w:tcPr>
          <w:p w14:paraId="4F7FC1C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1 268,08</w:t>
            </w:r>
          </w:p>
        </w:tc>
        <w:tc>
          <w:tcPr>
            <w:tcW w:w="943" w:type="pct"/>
            <w:vAlign w:val="center"/>
          </w:tcPr>
          <w:p w14:paraId="7339B44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30,1</w:t>
            </w:r>
          </w:p>
        </w:tc>
        <w:tc>
          <w:tcPr>
            <w:tcW w:w="942" w:type="pct"/>
            <w:vAlign w:val="center"/>
          </w:tcPr>
          <w:p w14:paraId="07C6D2F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287</w:t>
            </w:r>
          </w:p>
        </w:tc>
      </w:tr>
      <w:tr w:rsidR="003F2001" w:rsidRPr="003F2001" w14:paraId="4A4915C0"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0597A0E6"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942" w:type="pct"/>
            <w:noWrap/>
            <w:vAlign w:val="center"/>
          </w:tcPr>
          <w:p w14:paraId="2504510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6 852,77</w:t>
            </w:r>
          </w:p>
        </w:tc>
        <w:tc>
          <w:tcPr>
            <w:tcW w:w="943" w:type="pct"/>
            <w:vAlign w:val="center"/>
          </w:tcPr>
          <w:p w14:paraId="31A5393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2 405,10</w:t>
            </w:r>
          </w:p>
        </w:tc>
        <w:tc>
          <w:tcPr>
            <w:tcW w:w="943" w:type="pct"/>
            <w:vAlign w:val="center"/>
          </w:tcPr>
          <w:p w14:paraId="2A91756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35,1</w:t>
            </w:r>
          </w:p>
        </w:tc>
        <w:tc>
          <w:tcPr>
            <w:tcW w:w="942" w:type="pct"/>
            <w:vAlign w:val="center"/>
          </w:tcPr>
          <w:p w14:paraId="295202F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305</w:t>
            </w:r>
          </w:p>
        </w:tc>
      </w:tr>
      <w:tr w:rsidR="003F2001" w:rsidRPr="003F2001" w14:paraId="26B6C9E4"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30" w:type="pct"/>
            <w:shd w:val="clear" w:color="auto" w:fill="F2F2F2"/>
            <w:noWrap/>
            <w:vAlign w:val="center"/>
            <w:hideMark/>
          </w:tcPr>
          <w:p w14:paraId="70D433EC"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942" w:type="pct"/>
            <w:shd w:val="clear" w:color="auto" w:fill="F2F2F2"/>
            <w:noWrap/>
            <w:vAlign w:val="center"/>
          </w:tcPr>
          <w:p w14:paraId="17D8E86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3 199,75</w:t>
            </w:r>
          </w:p>
        </w:tc>
        <w:tc>
          <w:tcPr>
            <w:tcW w:w="943" w:type="pct"/>
            <w:shd w:val="clear" w:color="auto" w:fill="F2F2F2"/>
            <w:vAlign w:val="center"/>
          </w:tcPr>
          <w:p w14:paraId="7757D6F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1 134,21</w:t>
            </w:r>
          </w:p>
        </w:tc>
        <w:tc>
          <w:tcPr>
            <w:tcW w:w="943" w:type="pct"/>
            <w:shd w:val="clear" w:color="auto" w:fill="F2F2F2"/>
            <w:vAlign w:val="center"/>
          </w:tcPr>
          <w:p w14:paraId="7FDF642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35,4</w:t>
            </w:r>
          </w:p>
        </w:tc>
        <w:tc>
          <w:tcPr>
            <w:tcW w:w="942" w:type="pct"/>
            <w:shd w:val="clear" w:color="auto" w:fill="F2F2F2"/>
            <w:vAlign w:val="center"/>
          </w:tcPr>
          <w:p w14:paraId="3812078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196</w:t>
            </w:r>
          </w:p>
        </w:tc>
      </w:tr>
      <w:tr w:rsidR="003F2001" w:rsidRPr="003F2001" w14:paraId="2E938C30"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4D6BE421"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942" w:type="pct"/>
            <w:noWrap/>
            <w:vAlign w:val="center"/>
          </w:tcPr>
          <w:p w14:paraId="3F1B979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4 046,99</w:t>
            </w:r>
          </w:p>
        </w:tc>
        <w:tc>
          <w:tcPr>
            <w:tcW w:w="943" w:type="pct"/>
            <w:vAlign w:val="center"/>
          </w:tcPr>
          <w:p w14:paraId="209327E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2 408,44</w:t>
            </w:r>
          </w:p>
        </w:tc>
        <w:tc>
          <w:tcPr>
            <w:tcW w:w="943" w:type="pct"/>
            <w:vAlign w:val="center"/>
          </w:tcPr>
          <w:p w14:paraId="486F0E5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59,5</w:t>
            </w:r>
          </w:p>
        </w:tc>
        <w:tc>
          <w:tcPr>
            <w:tcW w:w="942" w:type="pct"/>
            <w:vAlign w:val="center"/>
          </w:tcPr>
          <w:p w14:paraId="6786846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294</w:t>
            </w:r>
          </w:p>
        </w:tc>
      </w:tr>
      <w:tr w:rsidR="003F2001" w:rsidRPr="003F2001" w14:paraId="14CA2652"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6D75DC8F"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942" w:type="pct"/>
            <w:noWrap/>
            <w:vAlign w:val="center"/>
          </w:tcPr>
          <w:p w14:paraId="5D9B52F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4 038,09</w:t>
            </w:r>
          </w:p>
        </w:tc>
        <w:tc>
          <w:tcPr>
            <w:tcW w:w="943" w:type="pct"/>
            <w:vAlign w:val="center"/>
          </w:tcPr>
          <w:p w14:paraId="2ACA685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1 463,44</w:t>
            </w:r>
          </w:p>
        </w:tc>
        <w:tc>
          <w:tcPr>
            <w:tcW w:w="943" w:type="pct"/>
            <w:vAlign w:val="center"/>
          </w:tcPr>
          <w:p w14:paraId="32114AD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36,2</w:t>
            </w:r>
          </w:p>
        </w:tc>
        <w:tc>
          <w:tcPr>
            <w:tcW w:w="942" w:type="pct"/>
            <w:vAlign w:val="center"/>
          </w:tcPr>
          <w:p w14:paraId="5C71CCC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210</w:t>
            </w:r>
          </w:p>
        </w:tc>
      </w:tr>
    </w:tbl>
    <w:p w14:paraId="2A2CCF76"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141FBA2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Dalszy wzrost wskaźników selektywnie zebranych odpadów możliwy jest dzięki wdrażaniu rozwiązań prawnych, budowaniu systemu selektywnej zbiórki przez władze gminne oraz zaangażowaniu mieszkańców w segregację odpadów powstających w gospodarstwach domowych. Gmina Opole Lubelskie należy do regionu Centralno-Zachodniego Województwa Lubelskiego na terenie którego znajduje się Regionalna Instalacja Przetwarzania Odpadów Komunalnych w siedzibą w Bełżycach, zaspokajająca w pełni potrzeby gminy, dotyczące możliwości przetwarzania zmieszanych odpadów komunalnych, bioodpadów oraz pozostałości z sortowania i mechaniczno-biologicznego przetwarzania odpadów komunalnych przeznaczonych do składowania. Zakład Zagospodarowania Odpadów Komunalnych w Bełżycach został wybudowany przez Celowy Związek Gmin PROEKOB, którego członkiem jest Gmina Opole Lubelskie. Ponadto na terenie gminy, w miejscowości Ożarów Drugi, funkcjonuje Punkt Selektywnej Zbiórki Odpadów Komunalnych.</w:t>
      </w:r>
    </w:p>
    <w:p w14:paraId="2034832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Zgodnie ze zmienioną ustawą z dnia 13 września 1996 r. o utrzymaniu czystości i porządku w gminach, ustanawiającą nowe zasady gospodarowania odpadami, od 1 lipca 2013 r. odpowiedzialność za odbiór i właściwe zagospodarowanie odpadów została przekazana gminom. Celem znowelizowanej ustawy jest ograniczenie składowania zmieszanych odpadów komunalnych i odpadów ulegających biodegradacji na składowiskach, zwiększenie udziału odzysku i recyklingu odpadów opakowaniowych (papieru, szkła, tworzyw sztucznych, metali), zmniejszenie ilości dzikich wysypisk śmieci oraz spalania odpadów w domowych kotłowniach.</w:t>
      </w:r>
    </w:p>
    <w:p w14:paraId="1997DF4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Najważniejsze zadania w gospodarowaniu odpadami komunalnymi, wynikające z konieczności ochrony środowiska, sprowadzają się do minimalizacji powstawania odpadów i maksymalizacji ich zagospodarowania oraz ograniczania do koniecznego minimum </w:t>
      </w:r>
      <w:r w:rsidRPr="003F2001">
        <w:rPr>
          <w:rFonts w:eastAsia="Times New Roman" w:cs="Times New Roman"/>
          <w:kern w:val="0"/>
          <w:szCs w:val="20"/>
          <w:lang w:bidi="en-US"/>
          <w14:ligatures w14:val="none"/>
        </w:rPr>
        <w:lastRenderedPageBreak/>
        <w:t xml:space="preserve">składowania odpadów w środowisku. Jedną z głównych metod ograniczania ilości odpadów jest </w:t>
      </w:r>
      <w:r w:rsidRPr="003F2001">
        <w:rPr>
          <w:rFonts w:eastAsia="Times New Roman" w:cs="Times New Roman"/>
          <w:b/>
          <w:bCs/>
          <w:color w:val="4D160F"/>
          <w:kern w:val="0"/>
          <w:szCs w:val="20"/>
          <w:lang w:bidi="en-US"/>
          <w14:ligatures w14:val="none"/>
        </w:rPr>
        <w:t>recykling</w:t>
      </w:r>
      <w:r w:rsidRPr="003F2001">
        <w:rPr>
          <w:rFonts w:eastAsia="Times New Roman" w:cs="Times New Roman"/>
          <w:kern w:val="0"/>
          <w:szCs w:val="20"/>
          <w:lang w:bidi="en-US"/>
          <w14:ligatures w14:val="none"/>
        </w:rPr>
        <w:t xml:space="preserve">, którego celem jest ponowne wykorzystanie tych samych materiałów. Biorąc pod uwagę powyższe oraz w kontekście postępującego procesu przechodzenia na gospodarkę o obiegu zamkniętym, zakładającą minimalizację oraz eliminację powstawania odpadów, jak również wspieranie efektywnego zużycia zasobów przez ponowne ich wykorzystanie, niezwykle ważny jest dalszy rozwój systemu selektywnej zbiórki odpadów, w szczególności tych nadających się do odzysku i recyklingu. </w:t>
      </w:r>
    </w:p>
    <w:p w14:paraId="725DB9E0" w14:textId="77777777" w:rsidR="003F2001" w:rsidRPr="003F2001" w:rsidRDefault="003F2001" w:rsidP="003F2001">
      <w:pPr>
        <w:spacing w:line="276" w:lineRule="auto"/>
        <w:rPr>
          <w:rFonts w:eastAsia="Times New Roman" w:cs="Times New Roman"/>
          <w:color w:val="FF0000"/>
          <w:kern w:val="0"/>
          <w:szCs w:val="20"/>
          <w:lang w:bidi="en-US"/>
          <w14:ligatures w14:val="none"/>
        </w:rPr>
      </w:pPr>
      <w:r w:rsidRPr="003F2001">
        <w:rPr>
          <w:rFonts w:eastAsia="Times New Roman" w:cs="Times New Roman"/>
          <w:b/>
          <w:bCs/>
          <w:color w:val="4D160F"/>
          <w:kern w:val="0"/>
          <w:szCs w:val="20"/>
          <w:lang w:bidi="en-US"/>
          <w14:ligatures w14:val="none"/>
        </w:rPr>
        <w:t>Poziomy recyklingu</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jakie muszą osiągnąć gminy w odniesieniu do poszczególnych rodzajów odpadów określone zostały w ustawie z dnia 13 września 1996 r. o utrzymaniu czystości i porządku w gminach. Za rok 2023 gminy były zobowiązane osiągnąć poziom recyklingu i przygotowania do ponownego użycia odpadów komunalnych w wysokości co najmniej 35%. Zgodnie z opracowanym przez gminę sprawozdaniem z realizacji zadań z zakresu gospodarki odpadami w 2023 r. minimalny poziom wskazany recykling został osiągnięty - wyniósł 35,34% Należy zauważyć, że w kolejnych latach wymagany poziom przygotowania do ponownego użycia i recyklingu odpadów komunalnych będzie skokowo wzrastał - w 2024 roku co najmniej 45%, w 2025 – 55% odpadów komunalnych powinno być poddawane recyklingowi. Do 2030 roku cel ten wzrośnie do 60%, a 65% osiągnie w 2035 roku i będzie obowiązywać także w kolejnych latach. Osiągnięcie wymaganych poziomów recyklingu odpadów komunalnych może przekraczać możliwości budżetowe gminy. Wymaga to odpowiedniego przygotowania pod względem infrastrukturalnym, zabezpieczenia instalacji prowadzących recykling odpadów surowcowych oraz bioodpadów. Kluczowe będą również działania na rzecz zmniejszenia ilości wytwarzanych odpadów ogółem.</w:t>
      </w:r>
    </w:p>
    <w:p w14:paraId="10B0B5B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Główne problemy w zakresie gospodarki odpadami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to:</w:t>
      </w:r>
    </w:p>
    <w:p w14:paraId="66382AAF" w14:textId="77777777" w:rsidR="003F2001" w:rsidRPr="003F2001" w:rsidRDefault="003F2001">
      <w:pPr>
        <w:numPr>
          <w:ilvl w:val="0"/>
          <w:numId w:val="5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wysokie ceny za odbiór odpadów komunalnych wynikające m.in.: z braku konkurencji spowodowanej zmianami prawnymi, wysokich kosztów składowania i przetwarzania odpadów, niedoboru instalacji mogących zagospodarować odpady, wysokich kosztów zagospodarowania frakcji kalorycznej (palnej), czyli przetworzonych odpadów zmieszanych przeznaczonych do spalenia w postaci tzw. paliwa alternatywnego;</w:t>
      </w:r>
    </w:p>
    <w:p w14:paraId="13CA696C" w14:textId="77777777" w:rsidR="003F2001" w:rsidRPr="003F2001" w:rsidRDefault="003F2001">
      <w:pPr>
        <w:numPr>
          <w:ilvl w:val="0"/>
          <w:numId w:val="5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problemy na rynku surowców przeznaczonych do recyklingu, głównie papieru i tworzyw sztucznych: spadek cen surowców wtórnych odzyskiwanych przez instalacje, potężna podaż i słaby popyt na segregowane odpady;</w:t>
      </w:r>
    </w:p>
    <w:p w14:paraId="573B12A6" w14:textId="77777777" w:rsidR="003F2001" w:rsidRPr="003F2001" w:rsidRDefault="003F2001">
      <w:pPr>
        <w:numPr>
          <w:ilvl w:val="0"/>
          <w:numId w:val="5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rosnąca masa odpadów komunalnych;</w:t>
      </w:r>
    </w:p>
    <w:p w14:paraId="10474FE9" w14:textId="77777777" w:rsidR="003F2001" w:rsidRPr="003F2001" w:rsidRDefault="003F2001">
      <w:pPr>
        <w:numPr>
          <w:ilvl w:val="0"/>
          <w:numId w:val="5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niska jakość selektywnej zbiórki odpadów;</w:t>
      </w:r>
    </w:p>
    <w:p w14:paraId="6CE24FC2" w14:textId="49BFB2CD" w:rsidR="003F2001" w:rsidRPr="003F2001" w:rsidRDefault="003F2001">
      <w:pPr>
        <w:numPr>
          <w:ilvl w:val="0"/>
          <w:numId w:val="5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niska świadomość i zaangażowanie mieszkańców w kwestie związane z gospodarką odpadami.</w:t>
      </w:r>
    </w:p>
    <w:p w14:paraId="411AA828" w14:textId="49DF4450" w:rsidR="003F2001" w:rsidRPr="003F2001" w:rsidRDefault="003F2001" w:rsidP="00941F1D">
      <w:pPr>
        <w:pStyle w:val="Nagwek2"/>
      </w:pPr>
      <w:bookmarkStart w:id="136" w:name="_Toc173435463"/>
      <w:bookmarkStart w:id="137" w:name="_Toc191908778"/>
      <w:r>
        <w:t xml:space="preserve">2.5.6 </w:t>
      </w:r>
      <w:r w:rsidRPr="003F2001">
        <w:t>Podsumowanie i wnioski</w:t>
      </w:r>
      <w:bookmarkEnd w:id="136"/>
      <w:bookmarkEnd w:id="137"/>
    </w:p>
    <w:p w14:paraId="36B1E8EA"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Opole Lubelskie jest największym ośrodkiem miejskim w południowo-zachodniej części województwa, położonym w węźle komunikacyjnym dróg wojewódzkich. Przez gminę przebiegają trzy drogi wojewódzkie: nr 747 relacji Iłża – Lipsko – Solec n. Wisłą – Opole Lubelskie – Bełżyce – Konopnica; nr 824 relacji Żyrzyn – Puławy – Opole Lubelskie – Józefów – Annopol oraz nr 832 relacji Wola Rudzka – Poniatowa – Krężnica Okrągła.</w:t>
      </w:r>
    </w:p>
    <w:p w14:paraId="62411F70"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Wewnętrzną komunikację zapewniają głównie drogi powiatowe i gminne. Drogi te stanowią podstawową sieć drogową, niezbędną do obsługi zapotrzebowania komunikacyjnego lokalnej społeczności oraz zapewnienia powiązań jednostek z drogami wyższej kategorii. </w:t>
      </w:r>
    </w:p>
    <w:p w14:paraId="776001FF"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Niewystarczająca do tej pory i słaba jakość infrastruktury drogowej była czynnikiem obniżającym aktywność gospodarczą, inwestycyjną oraz konkurencyjność obszaru. W </w:t>
      </w:r>
      <w:r w:rsidRPr="003F2001">
        <w:rPr>
          <w:rFonts w:eastAsia="Times New Roman" w:cs="Times New Roman"/>
          <w:color w:val="4D160F"/>
          <w:kern w:val="0"/>
          <w:szCs w:val="20"/>
          <w:lang w:bidi="en-US"/>
          <w14:ligatures w14:val="none"/>
        </w:rPr>
        <w:lastRenderedPageBreak/>
        <w:t xml:space="preserve">tym kontekście za bardzo pozytywny sygnał dla rozwoju gminy Opole Lubelskie należy uznać obecność przedsięwzięć drogowych na liście zadań inwestycyjnych zrealizowanych oraz planowanych do realizacji przy udziale środków z Unii Europejskiej, Funduszu Inwestycji Samorządowych oraz Funduszu Dróg Lokalnych. Jeden z najistotniejszych czynników rozwojowych gminy stanowi zrealizowana południowa obwodnica miasta w ciągu drogi wojewódzkiej nr 747 wraz z realizacją mostu na Wiśle w miejscowości Kamień. Ponadto, dzięki realizacji licznych inwestycji drogowych oraz prowadzonym pracom związanym z remontami bieżącymi i utrzymaniem infrastruktury, stan dróg powiatowych i gminnych Gminy Opole Lubelskie w ciągu ostatnich lat uległ znacznej poprawie. </w:t>
      </w:r>
    </w:p>
    <w:p w14:paraId="39398C92" w14:textId="46C7742A"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Do efektywnego funkcjonowania drogowego transportu osobowego i towarowego, a także poprawy bezpieczeństwa ruchu drogowego i jakości życia mieszkańców przyczyni się niewątpliwie zaplanowana budowa </w:t>
      </w:r>
      <w:r w:rsidR="00CC2DF8">
        <w:rPr>
          <w:rFonts w:eastAsia="Times New Roman" w:cs="Times New Roman"/>
          <w:color w:val="4D160F"/>
          <w:kern w:val="0"/>
          <w:szCs w:val="20"/>
          <w:lang w:bidi="en-US"/>
          <w14:ligatures w14:val="none"/>
        </w:rPr>
        <w:t xml:space="preserve">wschodniej </w:t>
      </w:r>
      <w:r w:rsidRPr="003F2001">
        <w:rPr>
          <w:rFonts w:eastAsia="Times New Roman" w:cs="Times New Roman"/>
          <w:color w:val="4D160F"/>
          <w:kern w:val="0"/>
          <w:szCs w:val="20"/>
          <w:lang w:bidi="en-US"/>
          <w14:ligatures w14:val="none"/>
        </w:rPr>
        <w:t>obwodnicy Opola Lubelskiego. Realizacja tej inwestycji przyczyni się do poprawy przepustowości i płynności jazdy, wyprowadzenia ruchu tranzytowego z miasta, poprawy bezpieczeństwa ruchu drogowego, a także zmniejszy zanieczyszczenie powietrza i poprawi klimat akustyczny</w:t>
      </w:r>
    </w:p>
    <w:p w14:paraId="6FD29D78"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Sieć kolejowa w gminie reprezentowana jest przez kolejkę wąskotorową, wykorzystywaną jedynie w celach turystycznych jako jedna z rekreacyjno-wypoczynkowych atrakcji gminy.</w:t>
      </w:r>
    </w:p>
    <w:p w14:paraId="7DEFFC07"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System komunikacji publicznej funkcjonujący na terenie gminy stanowi publiczny transport organizowany przez Gminę Opole Lubelskie, Powiat Opolski oraz transport realizowany przez przewoźników prywatnych.</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Gmina realizuje również przewozy autobusowe o charakterze użyteczności publicznej.</w:t>
      </w:r>
    </w:p>
    <w:p w14:paraId="7AA4870F"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Na terenie Gminy Opole Lubelskie ciągle widoczne są znaczące dysproporcje w wyposażeniu w infrastrukturę komunalną pomiędzy miastem a obszarem wiejskim. Sytuacja wynika przede wszystkim z aspektów ekonomicznych - rozproszone osadnictwo obniża efektywność ekonomiczną inwestycji liniowych.</w:t>
      </w:r>
    </w:p>
    <w:p w14:paraId="14DE47A8"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Odsetek ludności korzystającej z wodociągów na terenie gminy w 2022 r. wynosił 92,4% wobec 90,1% w powiecie opolskim oraz 87,7% w województwie lubelskim. Należy jednak zauważyć, iż stopień zwodociągowania na obszarze gminy był zróżnicowany i wyniósł 96,2% na terenie miasta oraz 88,9% na obszarze wiejskim. Zdecydowanie gorzej przedstawia się sytuacja w zakresie dostępu do sieci kanalizacyjnej. Dostrzec można duże opóźnienia rozwoju sieci kanalizacyjnej względem instalacji wodociągowych. Pomimo znaczącego przyrostu długości sieci kanalizacyjnej w ostatnich latach w 2022 r. z kanalizacji korzystała mniej niż połowa mieszkańców obszaru – 42,3% ludności zamieszkującej gminę. W tym samym okresie odsetek ludności korzystającej z sieci kanalizacyjnej w powiecie opolskim wynosił 33,7%, a w województwie lubelskim 54,2%. Poziom uzbrojenia gminy w sieć kanalizacyjną jest bardzo różnicowany. Znacznie lepiej sytuacja przedstawia się w mieście, gdzie 76,8% mieszkańców korzysta z kanalizacji zbiorowej. Natomiast w na terenie wiejskim liczba korzystających jest znacznie mniejsza – 9,7% mieszkańców. Czynnikiem wpływającym na niski poziom skanalizowania obszaru wiejskiego jest wstępująca zabudowa rozproszona.</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Z uwagi na niewystarczająco rozwiniętą infrastrukturę kanalizacyjną mieszkańcy gminy korzystają z przydomowych systemów do odprowadzania ścieków – zbiorników bezodpływowych i przydomowych oczyszczalni ścieków.</w:t>
      </w:r>
      <w:r w:rsidRPr="003F2001">
        <w:rPr>
          <w:rFonts w:ascii="Calibri" w:eastAsia="Calibri" w:hAnsi="Calibri" w:cs="Times New Roman"/>
          <w:sz w:val="22"/>
        </w:rPr>
        <w:t xml:space="preserve"> </w:t>
      </w:r>
    </w:p>
    <w:p w14:paraId="2E6FBF97"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 porównaniu do pozostałych ośrodków lokalnych Opole Lubelskie odznacza się relatywnie niskimi wskaźnikami dotyczącymi gospodarki wodno-kanalizacyjnej.</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Natomiast biorąc pod uwagę odsetek mieszkańców korzystających z instalacji gazowej sytuacja gminy na tle pozostałych ośrodków lokalnych jest korzystna.</w:t>
      </w:r>
    </w:p>
    <w:p w14:paraId="1015C93E"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lastRenderedPageBreak/>
        <w:t>Opisane, niskie parametry wskazują na potrzebę wdrożenia kompleksowych rozwiązań w zakresie gospodarki ściekowej. Obecny stopień zwodociągowania, a przede wszystkim stopień skanalizowania nie jest wystarczający. W kontekście rozwoju społeczno-gospodarczego gminy należy podkreślić, że zapewnienie odpowiedniego poziomu rozwoju infrastruktury wpływa zarówno na jakość życia na obszarze, jak i jego atrakcyjność inwestycyjną. Niedoinwestowanie obszaru w zakresie infrastruktury technicznej stanowi również duże również zagrożenie dla jakości wód podziemnych i powierzchniowych. W kolejnych latach należy zatem postawić na dalszy rozwój infrastruktury sieciowej.</w:t>
      </w:r>
    </w:p>
    <w:p w14:paraId="2ED60AA5"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Jedną z kluczowych kwestii związanych zarówno z jakością życia mieszkańców jak też atrakcyjnością inwestycyjną obszaru jest dostępność wody. W związku z tym, celem zwiększenia wydajności i efektywności wykorzystania urządzeń do celów ujęcia, uzdatniania, magazynowania i dystrybucji wody oraz zmniejszenia ryzyka wystąpienia awarii, konieczna jest ich modernizacja lub wymiana.</w:t>
      </w:r>
      <w:r w:rsidRPr="003F2001">
        <w:rPr>
          <w:rFonts w:ascii="Calibri" w:eastAsia="Calibri" w:hAnsi="Calibri" w:cs="Times New Roman"/>
          <w:sz w:val="22"/>
        </w:rPr>
        <w:t xml:space="preserve"> </w:t>
      </w:r>
      <w:r w:rsidRPr="003F2001">
        <w:rPr>
          <w:rFonts w:eastAsia="Times New Roman" w:cs="Times New Roman"/>
          <w:color w:val="4D160F"/>
          <w:kern w:val="0"/>
          <w:szCs w:val="20"/>
          <w:lang w:bidi="en-US"/>
          <w14:ligatures w14:val="none"/>
        </w:rPr>
        <w:t xml:space="preserve">W zakresie kanalizacji sanitarnej wskazuje się na dalszą konieczność rozwoju sieci kanalizacyjnej. Natomiast w miejscach w których budowa sieci kanalizacyjnej jest technicznie lub ekonomicznie nieuzasadniona, należy stosować rozwiązanie alternatywne w postaci przydomowych oczyszczalni ścieków. </w:t>
      </w:r>
    </w:p>
    <w:p w14:paraId="64631B7B"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Gmina Opole Lubelskie zaopatrywana jest w energię elektryczną z krajowego systemu elektroenergetycznego. Podstawowym źródłem zasilania obszaru gminy w energię elektryczną są dwie stacje głównego punktu zasilania (GPZ) 110/15kV: GPZ Kazimierz i GPZ Opole Lubelskie.</w:t>
      </w:r>
      <w:r w:rsidRPr="003F2001">
        <w:rPr>
          <w:rFonts w:ascii="Calibri" w:eastAsia="Calibri" w:hAnsi="Calibri" w:cs="Times New Roman"/>
          <w:sz w:val="22"/>
        </w:rPr>
        <w:t xml:space="preserve"> </w:t>
      </w:r>
      <w:r w:rsidRPr="003F2001">
        <w:rPr>
          <w:rFonts w:eastAsia="Times New Roman" w:cs="Times New Roman"/>
          <w:color w:val="4D160F"/>
          <w:kern w:val="0"/>
          <w:szCs w:val="20"/>
          <w:lang w:bidi="en-US"/>
          <w14:ligatures w14:val="none"/>
        </w:rPr>
        <w:t>Według dostępnych danych GUS zużycie energii elektrycznej na terenie powiatu opolskiego regularnie wzrasta i w 2022 r. wyniosło 36 148,88 MWh. Zużycie energii elektrycznej na 1 mieszkańca powiatu opolskiego wyniosło 641,0 kWh, przy czym było zdecydowanie wyższe na obszarach wiejskich (673,6 kWh) niż miejskich (567,01 kWh).</w:t>
      </w:r>
    </w:p>
    <w:p w14:paraId="492218B9"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Gmina zasilana jest w gaz głównie ze stacji gazowej I-go stopnia zlokalizowanej w Poniatowej. Obszar miejski gminy jest w pełni zgazyfikowany. Natomiast na obszarze wiejskim z gazu sieciowego korzystają jedynie wybrane miejscowości. Według danych GUS w 2022 r. 53,7% mieszkańców Gminy Opole Lubelskie miało dostęp do stałego przyłącza gazowego. Zdecydowanie mniej korzystnie sytuacja przedstawia się na terenach wiejskich gminy, gdzie jedynie 20,2% mieszkańców korzystało z instalacji gazowej.</w:t>
      </w:r>
    </w:p>
    <w:p w14:paraId="3C1B3F48"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Gmina Opole Lubelskie nie ma całościowo zorganizowanej gospodarki w zakresie zaopatrzenia i pokrycia potrzeb cieplnych mieszkańców. Obiekty użyteczności publicznej oraz budynki wielorodzinne ogrzewane są za pomocą różnych instalacji tj.: elektrycznych, gazowych, olejowych i węglowych. Pozostałe obiekty na terenie gminy ogrzewane są z indywidualnych kotłowni zasilanych paliwami stałymi, płynnymi bądź gazem ziemnym. Ze względu na uwarunkowania przestrzenne i wynikające z tego ograniczenia w zaopatrywaniu w ciepło systemowe, na terenie gminy zakłada się utrzymanie na obszarze indywidualnego systemu zaopatrzenia w ciepło. Należy jednak dążyć do eliminacji uciążliwych palenisk węglowych i stosowania do celów grzewczych i bytowych gazu ziemnego lub lekkiego oleju opałowego, a także pozyskiwania ciepła z odnawialnych źródeł energii. </w:t>
      </w:r>
    </w:p>
    <w:p w14:paraId="7C579155"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Potencjał naturalny obszaru oraz jego rolniczy charakter stwarzają sprzyjające warunki do rozwoju energetyki odnawialnej - na terenie gminy teoretycznie do pozyskania jest energia z wody, słońca, wiatru oraz biomasy. </w:t>
      </w:r>
    </w:p>
    <w:p w14:paraId="466F6476"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Gmina została zaliczona do obszarów o średnio korzystnych warunkach do rozwoju energetyki słonecznej. Mimo to potrzeby własne mieszkańców w zakresie produkcji </w:t>
      </w:r>
      <w:r w:rsidRPr="003F2001">
        <w:rPr>
          <w:rFonts w:eastAsia="Times New Roman" w:cs="Times New Roman"/>
          <w:color w:val="4D160F"/>
          <w:kern w:val="0"/>
          <w:szCs w:val="20"/>
          <w:lang w:bidi="en-US"/>
          <w14:ligatures w14:val="none"/>
        </w:rPr>
        <w:lastRenderedPageBreak/>
        <w:t>energii elektrycznej i cieplnej z energii słonecznej mogą być zaspokajane poprzez stosowanie kolektorów słonecznych.</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Gmina Opole Lubelskie posiada również potencjał do pozyskania energii z wody. Na jej terenie zlokalizowane są małe elektrownie wodne na rzece Chodelce. Ponadto, opracowania jako jedną z lokalizacji budowy elektrowni wodnej wskazują Wólkę Komaszycką. Do wykorzystania hydroenergetycznego wytypowany został również modernizowany jaz Ruda Opolska w Woli Rudzkiej.</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W południowowschodniej części gminy wyodrębniono także trzy różnej wielkości obszary proponowane do rozwoju dużych elektrowni wiatrowych (powyżej 100kV), a w północnej części obrębu Wrzelowiec – obszar możliwy do rozwoju energetyki z ograniczeniami w zakresie skali inwestycji. Na całym obszarze gminy możliwe jest natomiast realizowanie małych elektrowni wiatrowych, służących potrzebom pojedynczych gospodarstw lub małych firm. Gmina ze względu na rolniczy charakter posiada dobre zaplecze dla wytwarzania ekopaliw z biomasy. Teren gminy zaliczany jest do:</w:t>
      </w:r>
    </w:p>
    <w:p w14:paraId="3A6DE300" w14:textId="77777777" w:rsidR="003F2001" w:rsidRPr="003F2001" w:rsidRDefault="003F2001">
      <w:pPr>
        <w:numPr>
          <w:ilvl w:val="0"/>
          <w:numId w:val="76"/>
        </w:numPr>
        <w:spacing w:after="160" w:line="276" w:lineRule="auto"/>
        <w:ind w:left="851"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obszarów o najwyższym potencjale gleb do uprawy jednorocznych roślin energetycznych, o wysokich wymaganiach glebowych (rzepak, buraki cukrowe), wskazanych do lokalizacji inwestycji wykorzystujących biomasę w energetyce,</w:t>
      </w:r>
    </w:p>
    <w:p w14:paraId="24AA5290" w14:textId="77777777" w:rsidR="003F2001" w:rsidRPr="003F2001" w:rsidRDefault="003F2001">
      <w:pPr>
        <w:numPr>
          <w:ilvl w:val="0"/>
          <w:numId w:val="76"/>
        </w:numPr>
        <w:spacing w:after="160" w:line="276" w:lineRule="auto"/>
        <w:ind w:left="851"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obszarów o potencjalnie najwyższych zasobach drewna i potencjale energetycznym z sadów,</w:t>
      </w:r>
    </w:p>
    <w:p w14:paraId="352E36CE" w14:textId="77777777" w:rsidR="003F2001" w:rsidRPr="003F2001" w:rsidRDefault="003F2001">
      <w:pPr>
        <w:numPr>
          <w:ilvl w:val="0"/>
          <w:numId w:val="76"/>
        </w:numPr>
        <w:spacing w:after="160" w:line="276" w:lineRule="auto"/>
        <w:ind w:left="851"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obszarów potencjalnych źródeł biomasy do produkcji biogazu pochodzącej z zakładów przemysłu rolno-spożywczego.</w:t>
      </w:r>
    </w:p>
    <w:p w14:paraId="48F9442B"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Należy zaznaczyć, że prognozy dotyczące zużycia energii elektrycznej w Polsce (według „Polityki energetycznej Polski do 2030 roku”  wskazują, że zapotrzebowanie na energię elektryczną (w stosunku do roku bazowego 2006) wzrastać będzie w średniorocznym tempie zbliżonym do 2,3 %. Analizując dostępne dane GUS można stwierdzić, że zużycie energii elektrycznej w przeliczeniu na 1 mieszkańca w powiecie opolskim sukcesywnie rośnie. Dlatego też, ze względów ekonomicznych i ekologicznych, konieczne jest zwiększenie udziału odnawialnych źródeł energii w produkcji ciepła i energii elektrycznej. Dlatego też istotną kwestią jest realizowanie przedsięwzięć mających na celu poprawę efektywności energetycznej, wykorzystanie odnawialnych źródeł energii poprzez m.in. wymianę starych systemów grzewczych o niskiej sprawności energetycznej, montaż instalacji urządzeń wykorzystujących OZE, co w rezultacie zmniejszy zapotrzebowanie na energię cieplną i elektryczną.</w:t>
      </w:r>
      <w:r w:rsidRPr="003F2001">
        <w:rPr>
          <w:rFonts w:ascii="Calibri" w:eastAsia="Calibri" w:hAnsi="Calibri" w:cs="Times New Roman"/>
          <w:sz w:val="22"/>
        </w:rPr>
        <w:t xml:space="preserve"> </w:t>
      </w:r>
      <w:r w:rsidRPr="003F2001">
        <w:rPr>
          <w:rFonts w:eastAsia="Times New Roman" w:cs="Times New Roman"/>
          <w:color w:val="4D160F"/>
          <w:kern w:val="0"/>
          <w:szCs w:val="20"/>
          <w:lang w:bidi="en-US"/>
          <w14:ligatures w14:val="none"/>
        </w:rPr>
        <w:t>Dla samorządu rozwój i zastosowanie technologii OZE oznaczać będzie również dodatkowe źródło wpływów do budżetu wygenerowanych z racji optymalizacji kosztów bieżącego utrzymania infrastruktury publicznej.</w:t>
      </w:r>
    </w:p>
    <w:p w14:paraId="1DB8FC77"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 2023 r. na terenie Gminy Opole Lubelskie wytworzono 3 199,75 ton odpadów komunalnych, z czego 2 256,29 ton (70,5%) pochodziło z terenu miasta. Większość wytworzonych odpadów komunalnych – 2 929,96 ton (91,6%) zostało odebranych od gospodarstw domowych. Na jednego mieszkańca gminy w 2023 r. przypadało 196 kg odpadów, wobec 185 kg w powiecie opolskim oraz 257 kg w województwie lubelskim. Należy zauważyć, że masa wytworzonych odpadów komunalnych przez jednego mieszkańca była o wiele wyższa w mieście niż na terenach wiejskich gminy.</w:t>
      </w:r>
    </w:p>
    <w:p w14:paraId="5CBA28B6"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Na terenie gminy w sposób selektywny zebrano 1 134,21 ton odpadów. Pozytywny jest fakt, że ilość odpadów komunalnych zebranych selektywnie z roku na rok rośnie. W 2017 r. selektywna zbiórka odpadów stanowiła jedynie 21,2% zebranych odpadów komunalnych. Natomiast sześć lat później, w 2023 r. na terenie gminy zebrano selektywnie 35,4% wytworzonych odpadów komunalnych. Nadal jednak wskaźnik ten znacząco odbiega od średniej dla województwa lubelskiego wynoszącej 49,1%. Również w porównaniu do pozostałych ośrodków lokalnych w województwie lubelskim wskaźnik </w:t>
      </w:r>
      <w:r w:rsidRPr="003F2001">
        <w:rPr>
          <w:rFonts w:eastAsia="Times New Roman" w:cs="Times New Roman"/>
          <w:color w:val="4D160F"/>
          <w:kern w:val="0"/>
          <w:szCs w:val="20"/>
          <w:lang w:bidi="en-US"/>
          <w14:ligatures w14:val="none"/>
        </w:rPr>
        <w:lastRenderedPageBreak/>
        <w:t>dotyczący udziału odpadów zebranych selektywnie w relacji do ogółu wytworzonych odpadów komunalnych obliczony dla Opola Lubelskiego kształtuje się na średnim poziomie.</w:t>
      </w:r>
    </w:p>
    <w:p w14:paraId="6CB8B2E5"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Zgodnie z opracowanym przez gminę sprawozdaniem z realizacji zadań z zakresu gospodarki odpadami w 2023 r. minimalny poziom recyklingu wskazany przez ustawodawcę (35%) został osiągnięty i wyniósł 35,34% Należy zauważyć, że w kolejnych latach wymagany poziom przygotowania do ponownego użycia i recyklingu odpadów komunalnych będzie skokowo wzrastał - w 2024 roku co najmniej 45%, w 2025 – 55% odpadów komunalnych powinno być poddawane recyklingowi. Osiągnięcie wymaganych poziomów recyklingu odpadów komunalnych może przekraczać możliwości budżetowe gminy. Wymaga to odpowiedniego przygotowania pod względem infrastrukturalnym, zabezpieczenia instalacji prowadzących recykling odpadów surowcowych oraz bioodpadów. Kluczowe będą również działania na rzecz przejścia na gospodarkę o obiegu zamkniętym poprzez minimalizowanie ilości wytwarzanych odpadów oraz wykorzystywanie odpadów nieuniknionych jako zasobu dzięki procesom recyklingu.</w:t>
      </w:r>
    </w:p>
    <w:p w14:paraId="04B3E0CC" w14:textId="77777777" w:rsidR="003F2001" w:rsidRPr="003F2001" w:rsidRDefault="003F2001">
      <w:pPr>
        <w:numPr>
          <w:ilvl w:val="0"/>
          <w:numId w:val="64"/>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Statystyki w zakresie selektywnej zbiórki odpadów w sposób wyraźny obrazują niewystarczającą świadomość mieszkańców gminy na temat istoty problemów dotyczących gospodarki odpadami i ochrony środowiska. Należy jednak podkreślić, że są to wskaźniki na poziomie niezadawalającym i obszar ten wymaga wzmożonych wysiłków samorządu w zakresie poprawy efektywności selektywnej zbiórki odpadów. </w:t>
      </w:r>
      <w:r w:rsidRPr="003F2001">
        <w:rPr>
          <w:rFonts w:eastAsia="Times New Roman" w:cs="Times New Roman"/>
          <w:color w:val="4D160F"/>
          <w:kern w:val="0"/>
          <w:szCs w:val="20"/>
          <w:lang w:bidi="en-US"/>
          <w14:ligatures w14:val="none"/>
        </w:rPr>
        <w:br w:type="page"/>
      </w:r>
    </w:p>
    <w:p w14:paraId="0574A8FE" w14:textId="6C7D037B" w:rsidR="003F2001" w:rsidRPr="003F2001" w:rsidRDefault="003F2001" w:rsidP="00941F1D">
      <w:pPr>
        <w:pStyle w:val="Nagwek1"/>
        <w:rPr>
          <w:lang w:bidi="en-US"/>
        </w:rPr>
      </w:pPr>
      <w:bookmarkStart w:id="138" w:name="_Toc173435464"/>
      <w:bookmarkStart w:id="139" w:name="_Toc191908779"/>
      <w:r>
        <w:rPr>
          <w:lang w:bidi="en-US"/>
        </w:rPr>
        <w:lastRenderedPageBreak/>
        <w:t xml:space="preserve">2.6 </w:t>
      </w:r>
      <w:r w:rsidRPr="003F2001">
        <w:rPr>
          <w:lang w:bidi="en-US"/>
        </w:rPr>
        <w:t>Infrastruktura społeczna i zaspokajanie potrzeb mieszkańców</w:t>
      </w:r>
      <w:bookmarkEnd w:id="138"/>
      <w:bookmarkEnd w:id="139"/>
    </w:p>
    <w:p w14:paraId="6783D497" w14:textId="4A4096E1" w:rsidR="003F2001" w:rsidRPr="003F2001" w:rsidRDefault="003F2001" w:rsidP="00941F1D">
      <w:pPr>
        <w:pStyle w:val="Nagwek2"/>
      </w:pPr>
      <w:bookmarkStart w:id="140" w:name="_Toc173435465"/>
      <w:bookmarkStart w:id="141" w:name="_Toc191908780"/>
      <w:r>
        <w:t xml:space="preserve">2.6.1 </w:t>
      </w:r>
      <w:r w:rsidRPr="003F2001">
        <w:t>Edukacja i wychowanie</w:t>
      </w:r>
      <w:bookmarkEnd w:id="140"/>
      <w:bookmarkEnd w:id="141"/>
    </w:p>
    <w:p w14:paraId="477F872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Polsce system oświaty i wychowania obejmuje dzieci i młodzież w wieku od 3 do 21 roku życia, przy czym nauka jest obowiązkowa od 6 do 18 roku życia. W obszarze wychowania przedszkolnego i edukacji, rolą samorządu jest zapewnienie warunków kształcenia uczniów oraz dążenie do zapewnienie wysokich standardów nauczania zarówno na poziomie przedszkolnym jak i szkolnym (w zakresie szkół podstawowych). Poziom nauczania ma znaczenie dla konkurencyjności gminy. Edukacja na wysokim poziomie jest czynnikiem, który z jednej strony może przyciągać nowych mieszkańców, zwłaszcza ludzi młodych z dziećmi, z drugiej strony może zapobiegać rezygnacjom rodziców z usług świadczonych przez placówki oświatowe na terenie miejsca zamieszkania. Zadaniem lokalnych władz jest utrzymywanie obiektów i placówek oświatowych, zatrudnienie i monitoring pracy kadry dydaktycznej, organizacja zajęć edukacyjnych, a także wspieranie uzdolnionych uczniów. Źródłami finansowania oświaty są: subwencja oświatowa, która z reguły wystarcza na pokrycie zaledwie części wydatków związanych z edukacją oraz dochody własne samorządu. </w:t>
      </w:r>
    </w:p>
    <w:p w14:paraId="027115BA"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System opieki nad najmłodszymi dziećmi jest uregulowany w ustawie z dnia 4 lutego 2011 r. o opiece nad dziećmi w wieku do lat 3. Instytucjami opieki mogą być żłobki, kluby dziecięce, dzienny opiekun i niania. </w:t>
      </w:r>
      <w:r w:rsidRPr="003F2001">
        <w:rPr>
          <w:rFonts w:eastAsia="Times New Roman" w:cs="Times New Roman"/>
          <w:b/>
          <w:bCs/>
          <w:color w:val="4D160F"/>
          <w:kern w:val="0"/>
          <w:szCs w:val="20"/>
          <w:lang w:bidi="en-US"/>
          <w14:ligatures w14:val="none"/>
        </w:rPr>
        <w:t>Opieka nad dzieckiem</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w formach określonych w ustawie może być sprawowana do ukończenia roku szkolnego, w którym dziecko ukończy 3. rok życia, lub w przypadku, gdy niemożliwe lub utrudnione jest objęcie dziecka wychowaniem przedszkolnym – 4. rok życia. Zadania z zakresu opieki nad dziećmi w wieku do lat 3 są zadaniem własnym gminy. Obok gminy tworzyć i prowadzić żłobki i kluby dziecięce mogą inne niż gmina jednostki samorządu terytorialnego, instytucje publiczne, osoby fizyczne oraz osoby prawne i jednostki organizacyjne nieposiadające osobowości prawnej. Na terenie gminy funkcjonuje </w:t>
      </w:r>
      <w:r w:rsidRPr="003F2001">
        <w:rPr>
          <w:rFonts w:eastAsia="Times New Roman" w:cs="Times New Roman"/>
          <w:b/>
          <w:bCs/>
          <w:color w:val="4D160F"/>
          <w:kern w:val="0"/>
          <w:szCs w:val="20"/>
          <w:lang w:bidi="en-US"/>
          <w14:ligatures w14:val="none"/>
        </w:rPr>
        <w:t>Żłobek Miejski</w:t>
      </w:r>
      <w:r w:rsidRPr="003F2001">
        <w:rPr>
          <w:rFonts w:eastAsia="Times New Roman" w:cs="Times New Roman"/>
          <w:kern w:val="0"/>
          <w:szCs w:val="20"/>
          <w:lang w:bidi="en-US"/>
          <w14:ligatures w14:val="none"/>
        </w:rPr>
        <w:t xml:space="preserve">, który powstał dzięki dotacji z Programu „Maluch +” Ministerstwa Rodziny, Pracy i Polityki Społecznej na rzecz rozwoju instytucji opieki nad dziećmi w wieku do lat 3. Początkowo w placówce funkcjonowały dwie grupy, liczące maksymalnie po 24 podopiecznych. W 2022 r. uruchomione zostały nowe, dodatkowe oddziały dla dzieci poniżej 3 roku życia, a liczba miejsc w żłobku zwiększyła się do 72. Żłobek Miejski w Opolu Lubelskim prowadzi działalność opiekuńczą, wychowawczą i edukacyjną dla dzieci do lat 3 z terenu gminy Opole Lubelskie. Dzieci mają możliwość uczestniczenia w różnorodnych zajęciach dodatkowych, takich jak zajęcia muzyczne, plastyczne czy sensoryczne, które rozbudzają ich kreatywność i rozwijają umiejętności manualne.  Warto jednak zaznaczyć, że zgodnie z danymi GUS odsetek dzieci do lat 3 objętych opieką żłobkową na terenie gminy wynosi jedynie 21,1%. </w:t>
      </w:r>
    </w:p>
    <w:p w14:paraId="475B2E4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Wychowanie przedszkolne</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obejmuje dzieci od początku roku szkolnego w roku kalendarzowym, w którym dziecko kończy 3 lata, do końca roku szkolnego w roku kalendarzowym, w którym dziecko kończy 7 lat. Wychowanie przedszkolne jest realizowane w przedszkolach, oddziałach przedszkolnych w szkołach podstawowych oraz w innych formach wychowania przedszkolnego. W 2023 r. na terenie Gminy Opole Lubelskie funkcjonowało </w:t>
      </w:r>
      <w:r w:rsidRPr="003F2001">
        <w:rPr>
          <w:rFonts w:eastAsia="Times New Roman" w:cs="Times New Roman"/>
          <w:b/>
          <w:bCs/>
          <w:color w:val="4D160F"/>
          <w:kern w:val="0"/>
          <w:szCs w:val="20"/>
          <w:lang w:bidi="en-US"/>
          <w14:ligatures w14:val="none"/>
        </w:rPr>
        <w:t>11 ośrodków wychowania przedszkolnego</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(przedszkoli, punktów przedszkolnych i oddziałów przedszkolnych w szkołach podstawowych), w tym 5 na obszarze miasta oraz 6 na terenie wiejskim gminy. </w:t>
      </w:r>
    </w:p>
    <w:p w14:paraId="100B2BFF"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17A383B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 xml:space="preserve">W roku szkolnym 2022/2023 w ramach systemu oświaty wychowaniem przedszkolnym objętych zostało 634 dzieci w wieku od 3 do 6 lat. W porównaniu do roku 2013 liczba dzieci uczęszczających do przeszkoli, punktów przedszkolnych i oddziałów przedszkolnych na terenie gminy wzrosła o 28,6%, przy czym nieznacznie większy wzrost zaobserwowano na terenie miasta – o 32,9%. Należy jednak zauważyć, że w ostatnich latach (od 2017 r.) </w:t>
      </w:r>
      <w:r w:rsidRPr="003F2001">
        <w:rPr>
          <w:rFonts w:eastAsia="Times New Roman" w:cs="Times New Roman"/>
          <w:b/>
          <w:bCs/>
          <w:color w:val="4D160F"/>
          <w:kern w:val="0"/>
          <w:szCs w:val="20"/>
          <w:lang w:bidi="en-US"/>
          <w14:ligatures w14:val="none"/>
        </w:rPr>
        <w:t>liczba dzieci objętych wychowaniem przedszkolnych</w:t>
      </w:r>
      <w:r w:rsidRPr="003F2001">
        <w:rPr>
          <w:rFonts w:eastAsia="Times New Roman" w:cs="Times New Roman"/>
          <w:kern w:val="0"/>
          <w:szCs w:val="20"/>
          <w:lang w:bidi="en-US"/>
          <w14:ligatures w14:val="none"/>
        </w:rPr>
        <w:t xml:space="preserve"> w gminie utrzymuje się na względnie stałym poziomie i ulega tylko nieznacznym wahaniom.</w:t>
      </w:r>
    </w:p>
    <w:p w14:paraId="7700F884" w14:textId="3BB9CC26"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142" w:name="_Toc189166390"/>
      <w:r w:rsidRPr="003F2001">
        <w:rPr>
          <w:rFonts w:eastAsia="Calibri" w:cs="Times New Roman"/>
          <w:b/>
          <w:bCs/>
          <w:color w:val="7B230B"/>
          <w:kern w:val="0"/>
          <w:sz w:val="16"/>
          <w:szCs w:val="19"/>
          <w:lang w:bidi="en-US"/>
          <w14:ligatures w14:val="none"/>
        </w:rPr>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34</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Liczba dzieci w wieku 3-6 lat objętych wychowaniem przedszkolnym na terenie Gminy Opole Lubelskie w latach 2013-2022 (osoby)</w:t>
      </w:r>
      <w:bookmarkEnd w:id="142"/>
    </w:p>
    <w:p w14:paraId="7B4AD58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18049BFC" wp14:editId="03E0C4FA">
            <wp:extent cx="5760720" cy="2699385"/>
            <wp:effectExtent l="0" t="0" r="0" b="5715"/>
            <wp:docPr id="40" name="Wykres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EE02A5"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45E837C0"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Równocześnie w latach 2013-2022 na analizowanym terenie zaobserwowano znaczący wzrost dostępności wychowania przedszkolnego – w 2022 r. </w:t>
      </w:r>
      <w:r w:rsidRPr="003F2001">
        <w:rPr>
          <w:rFonts w:eastAsia="Times New Roman" w:cs="Times New Roman"/>
          <w:b/>
          <w:bCs/>
          <w:color w:val="4D160F"/>
          <w:kern w:val="0"/>
          <w:szCs w:val="20"/>
          <w:lang w:bidi="en-US"/>
          <w14:ligatures w14:val="none"/>
        </w:rPr>
        <w:t>odsetek dzieci w wieku 3-6 lat objętych edukacją przedszkolną</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na terenie gminy wyniósł 98,2% (w 2013 r. wynosił on jedynie 68,6%), wobec 85,6% w powiecie opolskim oraz 91,7% w województwie lubelskim. Należy jednak zauważyć, że odsetek dzieci uczęszczających do przedszkola w mieście oraz na terenie wiejskim gminy był bardzo zróżnicowany – wychowaniem przedszkolnym w miejscowościach wiejskich objętych było 55,9% dzieci, natomiast w mieście wskaźnik ten od kilku lat przekracza 100% i w 2022 r. osiągnął wartość 150,7%. Oznacza to, że do przedszkoli w mieście uczęszczają również dzieci mieszkające na terenach wiejskich. </w:t>
      </w:r>
    </w:p>
    <w:p w14:paraId="78AFA959"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0600B685" w14:textId="349F06FF" w:rsidR="003F2001" w:rsidRPr="003F2001" w:rsidRDefault="003F2001" w:rsidP="003F2001">
      <w:pPr>
        <w:spacing w:before="120" w:line="240" w:lineRule="auto"/>
        <w:rPr>
          <w:rFonts w:eastAsia="Calibri" w:cs="Times New Roman"/>
          <w:b/>
          <w:bCs/>
          <w:color w:val="7B230B"/>
          <w:kern w:val="0"/>
          <w:sz w:val="16"/>
          <w:szCs w:val="19"/>
          <w:lang w:bidi="en-US"/>
          <w14:ligatures w14:val="none"/>
        </w:rPr>
      </w:pPr>
      <w:bookmarkStart w:id="143" w:name="_Toc189166391"/>
      <w:r w:rsidRPr="003F2001">
        <w:rPr>
          <w:rFonts w:eastAsia="Calibri" w:cs="Times New Roman"/>
          <w:b/>
          <w:bCs/>
          <w:color w:val="7B230B"/>
          <w:kern w:val="0"/>
          <w:sz w:val="16"/>
          <w:szCs w:val="19"/>
          <w:lang w:bidi="en-US"/>
          <w14:ligatures w14:val="none"/>
        </w:rPr>
        <w:lastRenderedPageBreak/>
        <w:t xml:space="preserve">Wykres </w:t>
      </w:r>
      <w:r w:rsidRPr="003F2001">
        <w:rPr>
          <w:rFonts w:eastAsia="Calibri" w:cs="Times New Roman"/>
          <w:b/>
          <w:bCs/>
          <w:color w:val="7B230B"/>
          <w:kern w:val="0"/>
          <w:sz w:val="16"/>
          <w:szCs w:val="19"/>
          <w:lang w:bidi="en-US"/>
          <w14:ligatures w14:val="none"/>
        </w:rPr>
        <w:fldChar w:fldCharType="begin"/>
      </w:r>
      <w:r w:rsidRPr="003F2001">
        <w:rPr>
          <w:rFonts w:eastAsia="Calibri" w:cs="Times New Roman"/>
          <w:b/>
          <w:bCs/>
          <w:color w:val="7B230B"/>
          <w:kern w:val="0"/>
          <w:sz w:val="16"/>
          <w:szCs w:val="19"/>
          <w:lang w:bidi="en-US"/>
          <w14:ligatures w14:val="none"/>
        </w:rPr>
        <w:instrText xml:space="preserve"> SEQ Wykres \* ARABIC </w:instrText>
      </w:r>
      <w:r w:rsidRPr="003F2001">
        <w:rPr>
          <w:rFonts w:eastAsia="Calibri" w:cs="Times New Roman"/>
          <w:b/>
          <w:bCs/>
          <w:color w:val="7B230B"/>
          <w:kern w:val="0"/>
          <w:sz w:val="16"/>
          <w:szCs w:val="19"/>
          <w:lang w:bidi="en-US"/>
          <w14:ligatures w14:val="none"/>
        </w:rPr>
        <w:fldChar w:fldCharType="separate"/>
      </w:r>
      <w:r w:rsidR="008E0CB6">
        <w:rPr>
          <w:rFonts w:eastAsia="Calibri" w:cs="Times New Roman"/>
          <w:b/>
          <w:bCs/>
          <w:noProof/>
          <w:color w:val="7B230B"/>
          <w:kern w:val="0"/>
          <w:sz w:val="16"/>
          <w:szCs w:val="19"/>
          <w:lang w:bidi="en-US"/>
          <w14:ligatures w14:val="none"/>
        </w:rPr>
        <w:t>35</w:t>
      </w:r>
      <w:r w:rsidRPr="003F2001">
        <w:rPr>
          <w:rFonts w:eastAsia="Calibri" w:cs="Times New Roman"/>
          <w:b/>
          <w:bCs/>
          <w:color w:val="7B230B"/>
          <w:kern w:val="0"/>
          <w:sz w:val="16"/>
          <w:szCs w:val="19"/>
          <w:lang w:bidi="en-US"/>
          <w14:ligatures w14:val="none"/>
        </w:rPr>
        <w:fldChar w:fldCharType="end"/>
      </w:r>
      <w:r w:rsidRPr="003F2001">
        <w:rPr>
          <w:rFonts w:eastAsia="Calibri" w:cs="Times New Roman"/>
          <w:b/>
          <w:bCs/>
          <w:color w:val="7B230B"/>
          <w:kern w:val="0"/>
          <w:sz w:val="16"/>
          <w:szCs w:val="19"/>
          <w:lang w:bidi="en-US"/>
          <w14:ligatures w14:val="none"/>
        </w:rPr>
        <w:t>. Wskaźnik upowszechnienia edukacji przedszkolnej wśród dzieci w wieku 3-6 lat na terenie Gminy Opole Lubelskie, powiatu opolskiego i województwa lubelskiego w 2022 r. (%)</w:t>
      </w:r>
      <w:bookmarkEnd w:id="143"/>
    </w:p>
    <w:p w14:paraId="6466B11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60F167A9" wp14:editId="2822AB1E">
            <wp:extent cx="5759450" cy="2699385"/>
            <wp:effectExtent l="0" t="0" r="0" b="5715"/>
            <wp:docPr id="41" name="Wykres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A539C4"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27A5EFB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ostatnich latach na sytuację szkolnictwa podstawowego i ponadpodstawowego decydujący wpływ miała reforma systemu edukacji. Obecnie, po edukacji przedszkolnej, kolejnym szczeblem polskiego systemu oświaty jest ośmioletnia szkoła podstawowa. W 2022 r. na terenie Gminy Opole Lubelskie funkcjonowało </w:t>
      </w:r>
      <w:r w:rsidRPr="003F2001">
        <w:rPr>
          <w:rFonts w:eastAsia="Times New Roman" w:cs="Times New Roman"/>
          <w:b/>
          <w:bCs/>
          <w:color w:val="4D160F"/>
          <w:kern w:val="0"/>
          <w:szCs w:val="20"/>
          <w:lang w:bidi="en-US"/>
          <w14:ligatures w14:val="none"/>
        </w:rPr>
        <w:t>7 szkół podstawowych</w:t>
      </w:r>
      <w:r w:rsidRPr="003F2001">
        <w:rPr>
          <w:rFonts w:eastAsia="Times New Roman" w:cs="Times New Roman"/>
          <w:kern w:val="0"/>
          <w:szCs w:val="20"/>
          <w:lang w:bidi="en-US"/>
          <w14:ligatures w14:val="none"/>
        </w:rPr>
        <w:t xml:space="preserve">, w tym 6 szkół prowadzonych przez samorząd gminny oraz 1 szkoła prowadzona przez stowarzyszenie, do których uczęszczało łącznie </w:t>
      </w:r>
      <w:r w:rsidRPr="003F2001">
        <w:rPr>
          <w:rFonts w:eastAsia="Times New Roman" w:cs="Times New Roman"/>
          <w:b/>
          <w:bCs/>
          <w:color w:val="4D160F"/>
          <w:kern w:val="0"/>
          <w:szCs w:val="20"/>
          <w:lang w:bidi="en-US"/>
          <w14:ligatures w14:val="none"/>
        </w:rPr>
        <w:t>1 316 uczniów</w:t>
      </w:r>
      <w:r w:rsidRPr="003F2001">
        <w:rPr>
          <w:rFonts w:eastAsia="Times New Roman" w:cs="Times New Roman"/>
          <w:kern w:val="0"/>
          <w:szCs w:val="20"/>
          <w:lang w:bidi="en-US"/>
          <w14:ligatures w14:val="none"/>
        </w:rPr>
        <w:t>. Analizując rozkład terytorialny szkół należy zauważyć, że na terenie miasta działały 2 szkoły podstawowe:</w:t>
      </w:r>
    </w:p>
    <w:p w14:paraId="23E92AD3" w14:textId="77777777" w:rsidR="003F2001" w:rsidRPr="003F2001" w:rsidRDefault="003F2001">
      <w:pPr>
        <w:numPr>
          <w:ilvl w:val="0"/>
          <w:numId w:val="77"/>
        </w:numPr>
        <w:tabs>
          <w:tab w:val="left" w:pos="7269"/>
        </w:tabs>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Szkoła Podstawowa Nr 1 Kornela Makuszyńskiego w Opolu Lubelskim (placówka publiczna);</w:t>
      </w:r>
    </w:p>
    <w:p w14:paraId="431CAC1B" w14:textId="77777777" w:rsidR="003F2001" w:rsidRPr="003F2001" w:rsidRDefault="003F2001">
      <w:pPr>
        <w:numPr>
          <w:ilvl w:val="0"/>
          <w:numId w:val="77"/>
        </w:numPr>
        <w:tabs>
          <w:tab w:val="left" w:pos="7269"/>
        </w:tabs>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Szkoła Podstawowa Nr 2 im. Oskara Kolberga w Opolu Lubelskim (placówka publiczna),</w:t>
      </w:r>
    </w:p>
    <w:p w14:paraId="3E035E4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natomiast na terenie wiejskim gminy – 5:</w:t>
      </w:r>
    </w:p>
    <w:p w14:paraId="224494CC" w14:textId="77777777" w:rsidR="003F2001" w:rsidRPr="003F2001" w:rsidRDefault="003F2001">
      <w:pPr>
        <w:numPr>
          <w:ilvl w:val="0"/>
          <w:numId w:val="77"/>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Szkoła Podstawowa im. św. Maksymiliana Marii Kolbe w Pusznie Godowskim (placówka publiczna);</w:t>
      </w:r>
    </w:p>
    <w:p w14:paraId="3C0D2921" w14:textId="77777777" w:rsidR="003F2001" w:rsidRPr="003F2001" w:rsidRDefault="003F2001">
      <w:pPr>
        <w:numPr>
          <w:ilvl w:val="0"/>
          <w:numId w:val="77"/>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Szkoła Podstawowa w Skokowie (placówka publiczna);</w:t>
      </w:r>
    </w:p>
    <w:p w14:paraId="5FEFBAB7" w14:textId="77777777" w:rsidR="003F2001" w:rsidRPr="003F2001" w:rsidRDefault="003F2001">
      <w:pPr>
        <w:numPr>
          <w:ilvl w:val="0"/>
          <w:numId w:val="77"/>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Szkoła Podstawowa w Wandalinie (placówka publiczna);</w:t>
      </w:r>
    </w:p>
    <w:p w14:paraId="0ADAF59F" w14:textId="77777777" w:rsidR="003F2001" w:rsidRPr="003F2001" w:rsidRDefault="003F2001">
      <w:pPr>
        <w:numPr>
          <w:ilvl w:val="0"/>
          <w:numId w:val="77"/>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Szkoła Podstawowa im. św. Jana Pawła II w Kluczkowicach (placówka publiczna);</w:t>
      </w:r>
    </w:p>
    <w:p w14:paraId="0D0D80E6" w14:textId="77777777" w:rsidR="003F2001" w:rsidRPr="003F2001" w:rsidRDefault="003F2001">
      <w:pPr>
        <w:numPr>
          <w:ilvl w:val="0"/>
          <w:numId w:val="77"/>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Szkoła Podstawowa w Niezdowie (szkoła stowarzyszeniowa).</w:t>
      </w:r>
    </w:p>
    <w:p w14:paraId="5A16AA8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latach 2013-2018 – między innymi w wyniku reformy edukacji i likwidacji gimnazjów –obserwowano stopniowy wzrost uczniów uczęszczających do szkół podstawowych na analizowanym obszarze – od 1 023 uczniów w 2013 r. do 1 339 uczniów w 2018 r. Natomiast od 2018 r. liczba uczniów utrzymuje się na względnie stałym poziomie.</w:t>
      </w:r>
    </w:p>
    <w:p w14:paraId="3298047C"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0CF0D8ED" w14:textId="62FFAA98"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44" w:name="_Toc189166392"/>
      <w:r w:rsidRPr="003F2001">
        <w:rPr>
          <w:rFonts w:eastAsia="Calibri" w:cs="Times New Roman"/>
          <w:b/>
          <w:bCs/>
          <w:color w:val="7B230B"/>
          <w:kern w:val="0"/>
          <w:sz w:val="16"/>
          <w:szCs w:val="19"/>
          <w14:ligatures w14:val="none"/>
        </w:rPr>
        <w:lastRenderedPageBreak/>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36</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uczniów szkół podstawowych na terenie Gminy Opole Lubelskie w latach 2013-2022 (osoby)</w:t>
      </w:r>
      <w:bookmarkEnd w:id="144"/>
    </w:p>
    <w:p w14:paraId="0EBEA15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550B66E1" wp14:editId="31769C6E">
            <wp:extent cx="5760720" cy="2699385"/>
            <wp:effectExtent l="0" t="0" r="0" b="5715"/>
            <wp:docPr id="42" name="Wykres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24044A5"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3696571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Istotnym czynnikiem wpływającym na jakość nauczania jest </w:t>
      </w:r>
      <w:r w:rsidRPr="003F2001">
        <w:rPr>
          <w:rFonts w:eastAsia="Times New Roman" w:cs="Times New Roman"/>
          <w:b/>
          <w:bCs/>
          <w:color w:val="4D160F"/>
          <w:kern w:val="0"/>
          <w:szCs w:val="20"/>
          <w:lang w:bidi="en-US"/>
          <w14:ligatures w14:val="none"/>
        </w:rPr>
        <w:t>liczba uczniów w oddziale</w:t>
      </w:r>
      <w:r w:rsidRPr="003F2001">
        <w:rPr>
          <w:rFonts w:eastAsia="Times New Roman" w:cs="Times New Roman"/>
          <w:kern w:val="0"/>
          <w:szCs w:val="20"/>
          <w:lang w:bidi="en-US"/>
          <w14:ligatures w14:val="none"/>
        </w:rPr>
        <w:t>. Pod tym względem sytuacja na terenie Gminy Opole Lubelskie jest korzystna – w 2022 r. oddziały w szkołach podstawowych liczyły średnio 15 uczniów – 20 na terenie miasta i 11 na obszarze wiejskim.</w:t>
      </w:r>
    </w:p>
    <w:p w14:paraId="4096FAF2" w14:textId="307C081A"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45" w:name="_Toc189166393"/>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37</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Współczynnik skolaryzacji brutto dla szkół podstawowych na terenie Gminy Opole Lubelskie w latach 2013-2022 (%)</w:t>
      </w:r>
      <w:bookmarkEnd w:id="145"/>
    </w:p>
    <w:p w14:paraId="7B25F29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2E5C07DF" wp14:editId="1BA6BCAC">
            <wp:extent cx="5760720" cy="2699385"/>
            <wp:effectExtent l="0" t="0" r="0" b="5715"/>
            <wp:docPr id="43" name="Wykres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FC573F-0B60-4ADD-9C77-E043A7628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9D8CBDE"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0D12004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Miarą powszechności nauczania, służącą do oceny aktywności edukacyjnej ludności oraz wskazującą popyt na usługi edukacyjne oferowane na danym obszarze jest </w:t>
      </w:r>
      <w:r w:rsidRPr="003F2001">
        <w:rPr>
          <w:rFonts w:eastAsia="Times New Roman" w:cs="Times New Roman"/>
          <w:b/>
          <w:bCs/>
          <w:color w:val="4D160F"/>
          <w:kern w:val="0"/>
          <w:szCs w:val="20"/>
          <w:lang w:bidi="en-US"/>
          <w14:ligatures w14:val="none"/>
        </w:rPr>
        <w:t>współczynnik skolaryzacji</w:t>
      </w:r>
      <w:r w:rsidRPr="003F2001">
        <w:rPr>
          <w:rFonts w:eastAsia="Times New Roman" w:cs="Times New Roman"/>
          <w:kern w:val="0"/>
          <w:szCs w:val="20"/>
          <w:lang w:bidi="en-US"/>
          <w14:ligatures w14:val="none"/>
        </w:rPr>
        <w:t xml:space="preserve">. W świetle danych statystycznych współczynnik skolaryzacji brutto, czyli relacja liczby osób uczących się na danym poziomie nauczania (niezależnie od wieku) do liczby ludności w grupie wieku określonej jako odpowiadająca temu poziomowi kształcenia, obliczony dla szkół podstawowych na terenie gminy, był zdecydowanie wyższy na obszarze miasta i w 2022 r, wyniósł 131,7%. Wysoka wartość współczynnika w mieście, w powiązaniu z jego niską wartością w na terenie wiejskim gminy (67,3%) jest spowodowana dowożeniem </w:t>
      </w:r>
      <w:r w:rsidRPr="003F2001">
        <w:rPr>
          <w:rFonts w:eastAsia="Times New Roman" w:cs="Times New Roman"/>
          <w:kern w:val="0"/>
          <w:szCs w:val="20"/>
          <w:lang w:bidi="en-US"/>
          <w14:ligatures w14:val="none"/>
        </w:rPr>
        <w:lastRenderedPageBreak/>
        <w:t xml:space="preserve">części uczniów z obszarów wiejskich do szkół w mieście. Jednakże w ostatnich dwóch latach (2021-2022) można również zauważyć tendencję spadkową tego wskaźnika w mieście oraz nieznaczny wzrost wskaźnika na obszarze wiejskim, co może świadczyć o stopniowym zwiększaniu atrakcyjności szkół położonych na obszarze wiejskim gminy dla jego mieszkańców. </w:t>
      </w:r>
    </w:p>
    <w:p w14:paraId="06A09A27" w14:textId="7FC0F0AF"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Szkoły ponadpodstawowe</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stanowią następny etap systemu oświaty w Polsce. Przeznaczone są dla absolwentów szkół podstawowych. Struktura szkolnictwa w roku szkolnym 20</w:t>
      </w:r>
      <w:r w:rsidR="006A28A9">
        <w:rPr>
          <w:rFonts w:eastAsia="Times New Roman" w:cs="Times New Roman"/>
          <w:kern w:val="0"/>
          <w:szCs w:val="20"/>
          <w:lang w:bidi="en-US"/>
          <w14:ligatures w14:val="none"/>
        </w:rPr>
        <w:t>22</w:t>
      </w:r>
      <w:r w:rsidRPr="003F2001">
        <w:rPr>
          <w:rFonts w:eastAsia="Times New Roman" w:cs="Times New Roman"/>
          <w:kern w:val="0"/>
          <w:szCs w:val="20"/>
          <w:lang w:bidi="en-US"/>
          <w14:ligatures w14:val="none"/>
        </w:rPr>
        <w:t>/2023 obejmowała:</w:t>
      </w:r>
    </w:p>
    <w:p w14:paraId="5A468A28" w14:textId="77777777" w:rsidR="003F2001" w:rsidRPr="003F2001" w:rsidRDefault="003F2001">
      <w:pPr>
        <w:numPr>
          <w:ilvl w:val="0"/>
          <w:numId w:val="60"/>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trzyletnią szkołę branżową I stopnia, </w:t>
      </w:r>
    </w:p>
    <w:p w14:paraId="5F2EFF04" w14:textId="77777777" w:rsidR="003F2001" w:rsidRPr="003F2001" w:rsidRDefault="003F2001">
      <w:pPr>
        <w:numPr>
          <w:ilvl w:val="0"/>
          <w:numId w:val="60"/>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dwuletnią szkołę branżową II stopnia,</w:t>
      </w:r>
    </w:p>
    <w:p w14:paraId="28FA182B" w14:textId="77777777" w:rsidR="003F2001" w:rsidRPr="003F2001" w:rsidRDefault="003F2001">
      <w:pPr>
        <w:numPr>
          <w:ilvl w:val="0"/>
          <w:numId w:val="60"/>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czteroletnie liceum ogólnokształcące, ukończenie którego umożliwiało zdanie egzaminu maturalnego i zdobycie świadectwa dojrzałości,</w:t>
      </w:r>
    </w:p>
    <w:p w14:paraId="1D7DE9B0" w14:textId="77777777" w:rsidR="003F2001" w:rsidRPr="003F2001" w:rsidRDefault="003F2001">
      <w:pPr>
        <w:numPr>
          <w:ilvl w:val="0"/>
          <w:numId w:val="60"/>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pięcioletnie technikum, ukończenie którego umożliwiało zdanie egzaminu maturalnego i zdobycie świadectwa dojrzałości, nauka kończyła się egzaminem kwalifikacji zawodowych,</w:t>
      </w:r>
    </w:p>
    <w:p w14:paraId="027AC408" w14:textId="77777777" w:rsidR="003F2001" w:rsidRPr="003F2001" w:rsidRDefault="003F2001">
      <w:pPr>
        <w:numPr>
          <w:ilvl w:val="0"/>
          <w:numId w:val="60"/>
        </w:numPr>
        <w:spacing w:after="160" w:line="276" w:lineRule="auto"/>
        <w:ind w:left="426" w:hanging="284"/>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specjalne szkoły przysposabiające do pracy, których głównym celem jest wykształcenie umiejętności do pracy w określonym zawodzie.</w:t>
      </w:r>
    </w:p>
    <w:p w14:paraId="3ABF182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Gmina Opole Lubelskie posiada zróżnicowaną ofertę szkół ponadpodstawowych – kształcenie na poziomie ponadpodstawowym jest oferowane w </w:t>
      </w:r>
      <w:r w:rsidRPr="003F2001">
        <w:rPr>
          <w:rFonts w:eastAsia="Times New Roman" w:cs="Times New Roman"/>
          <w:b/>
          <w:bCs/>
          <w:color w:val="4D160F"/>
          <w:kern w:val="0"/>
          <w:szCs w:val="20"/>
          <w:lang w:bidi="en-US"/>
          <w14:ligatures w14:val="none"/>
        </w:rPr>
        <w:t>2 placówkach oświatowych</w:t>
      </w:r>
      <w:r w:rsidRPr="003F2001">
        <w:rPr>
          <w:rFonts w:eastAsia="Times New Roman" w:cs="Times New Roman"/>
          <w:kern w:val="0"/>
          <w:szCs w:val="20"/>
          <w:lang w:bidi="en-US"/>
          <w14:ligatures w14:val="none"/>
        </w:rPr>
        <w:t>: Liceum Ogólnokształcącym im. Adama Mickiewicza oraz Zespole Szkół Zawodowych im. Stanisława Konarskiego.</w:t>
      </w:r>
    </w:p>
    <w:p w14:paraId="500DB728" w14:textId="6FF133F3"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46" w:name="_Toc189166349"/>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17</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Oferta edukacyjna szkół ponadpodstawowych i policealnych prowadzących działalność na terenie Gminy Opole Lubelskie.</w:t>
      </w:r>
      <w:bookmarkEnd w:id="146"/>
    </w:p>
    <w:tbl>
      <w:tblPr>
        <w:tblStyle w:val="Tabelasiatki1jasnaakcent16"/>
        <w:tblW w:w="5000" w:type="pct"/>
        <w:tblLayout w:type="fixed"/>
        <w:tblLook w:val="04A0" w:firstRow="1" w:lastRow="0" w:firstColumn="1" w:lastColumn="0" w:noHBand="0" w:noVBand="1"/>
      </w:tblPr>
      <w:tblGrid>
        <w:gridCol w:w="2263"/>
        <w:gridCol w:w="2409"/>
        <w:gridCol w:w="4390"/>
      </w:tblGrid>
      <w:tr w:rsidR="003F2001" w:rsidRPr="003F2001" w14:paraId="60CBB0C9"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9" w:type="pct"/>
            <w:vAlign w:val="center"/>
            <w:hideMark/>
          </w:tcPr>
          <w:p w14:paraId="39384C1A"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Szkoła ponadpodstawowa/ Zespół szkół ponadpodstawowych</w:t>
            </w:r>
          </w:p>
        </w:tc>
        <w:tc>
          <w:tcPr>
            <w:tcW w:w="1329" w:type="pct"/>
            <w:vAlign w:val="center"/>
            <w:hideMark/>
          </w:tcPr>
          <w:p w14:paraId="3FCC61BA"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Szkoły</w:t>
            </w:r>
          </w:p>
        </w:tc>
        <w:tc>
          <w:tcPr>
            <w:tcW w:w="2422" w:type="pct"/>
            <w:vAlign w:val="center"/>
          </w:tcPr>
          <w:p w14:paraId="1ECE0612"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Kierunki kształcenia</w:t>
            </w:r>
          </w:p>
        </w:tc>
      </w:tr>
      <w:tr w:rsidR="003F2001" w:rsidRPr="003F2001" w14:paraId="62D8DB28"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49" w:type="pct"/>
            <w:noWrap/>
            <w:vAlign w:val="center"/>
            <w:hideMark/>
          </w:tcPr>
          <w:p w14:paraId="0149FD78"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lang w:bidi="en-US"/>
              </w:rPr>
              <w:t>Liceum Ogólnokształcące im. Adama Mickiewicza</w:t>
            </w:r>
          </w:p>
        </w:tc>
        <w:tc>
          <w:tcPr>
            <w:tcW w:w="1329" w:type="pct"/>
            <w:noWrap/>
            <w:vAlign w:val="center"/>
            <w:hideMark/>
          </w:tcPr>
          <w:p w14:paraId="0E8D8E08"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Liceum Ogólnokształcące</w:t>
            </w:r>
          </w:p>
        </w:tc>
        <w:tc>
          <w:tcPr>
            <w:tcW w:w="2422" w:type="pct"/>
            <w:vAlign w:val="center"/>
          </w:tcPr>
          <w:p w14:paraId="678E8D8A"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profil ogólnokształcący, profil strażacko-policyjny, oddział przygotowania wojskowego, profil ratownictwa medycznego</w:t>
            </w:r>
          </w:p>
        </w:tc>
      </w:tr>
      <w:tr w:rsidR="003F2001" w:rsidRPr="003F2001" w14:paraId="4ACA388C"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hideMark/>
          </w:tcPr>
          <w:p w14:paraId="345C84F8"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lang w:bidi="en-US"/>
              </w:rPr>
              <w:t>Zespół Szkół Zawodowych im. Stanisława Konarskiego</w:t>
            </w:r>
          </w:p>
        </w:tc>
        <w:tc>
          <w:tcPr>
            <w:tcW w:w="1329" w:type="pct"/>
            <w:noWrap/>
            <w:vAlign w:val="center"/>
            <w:hideMark/>
          </w:tcPr>
          <w:p w14:paraId="5C65E619"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Technikum</w:t>
            </w:r>
          </w:p>
        </w:tc>
        <w:tc>
          <w:tcPr>
            <w:tcW w:w="2422" w:type="pct"/>
            <w:vAlign w:val="center"/>
          </w:tcPr>
          <w:p w14:paraId="4C393C46"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technik hotelarstwa, technik organizacji turystyki, technik żywienia i usług gastronomicznych, technik technologii żywności, technik usług kelnerskich, technik usług fryzjerskich, technik agrobiznesu, technik ogrodnik</w:t>
            </w:r>
          </w:p>
        </w:tc>
      </w:tr>
      <w:tr w:rsidR="003F2001" w:rsidRPr="003F2001" w14:paraId="611AC9D3"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hideMark/>
          </w:tcPr>
          <w:p w14:paraId="4AE83B02" w14:textId="77777777" w:rsidR="003F2001" w:rsidRPr="003F2001" w:rsidRDefault="003F2001" w:rsidP="003F2001">
            <w:pPr>
              <w:spacing w:after="0" w:line="240" w:lineRule="auto"/>
              <w:contextualSpacing/>
              <w:jc w:val="left"/>
              <w:rPr>
                <w:rFonts w:cs="Times New Roman"/>
                <w:sz w:val="16"/>
                <w:szCs w:val="16"/>
                <w:lang w:bidi="en-US"/>
              </w:rPr>
            </w:pPr>
          </w:p>
        </w:tc>
        <w:tc>
          <w:tcPr>
            <w:tcW w:w="1329" w:type="pct"/>
            <w:noWrap/>
            <w:vAlign w:val="center"/>
            <w:hideMark/>
          </w:tcPr>
          <w:p w14:paraId="4A2CA7FF"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Technikum Ogrodnicze</w:t>
            </w:r>
          </w:p>
        </w:tc>
        <w:tc>
          <w:tcPr>
            <w:tcW w:w="2422" w:type="pct"/>
            <w:vAlign w:val="center"/>
          </w:tcPr>
          <w:p w14:paraId="2E35CD89"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technik ogrodnik</w:t>
            </w:r>
          </w:p>
        </w:tc>
      </w:tr>
      <w:tr w:rsidR="003F2001" w:rsidRPr="003F2001" w14:paraId="54505C62"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5BBD8150" w14:textId="77777777" w:rsidR="003F2001" w:rsidRPr="003F2001" w:rsidRDefault="003F2001" w:rsidP="003F2001">
            <w:pPr>
              <w:spacing w:after="0" w:line="240" w:lineRule="auto"/>
              <w:contextualSpacing/>
              <w:jc w:val="left"/>
              <w:rPr>
                <w:rFonts w:cs="Times New Roman"/>
                <w:sz w:val="16"/>
                <w:szCs w:val="16"/>
                <w:lang w:bidi="en-US"/>
              </w:rPr>
            </w:pPr>
          </w:p>
        </w:tc>
        <w:tc>
          <w:tcPr>
            <w:tcW w:w="1329" w:type="pct"/>
            <w:noWrap/>
            <w:vAlign w:val="center"/>
          </w:tcPr>
          <w:p w14:paraId="1016B5DA"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Szkoła branżowa I stopnia</w:t>
            </w:r>
          </w:p>
        </w:tc>
        <w:tc>
          <w:tcPr>
            <w:tcW w:w="2422" w:type="pct"/>
            <w:vAlign w:val="center"/>
          </w:tcPr>
          <w:p w14:paraId="524B333A"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rolnik, ogrodnik, piekarz, mechanik pojazdów samochodowych, cukiernik, kelner, fryzjer, stolarz, kucharz, fotograf, sprzedawca, wędliniarz, murarz-tynkarz, blacharz samochodowy</w:t>
            </w:r>
          </w:p>
          <w:p w14:paraId="29F91967"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r>
      <w:tr w:rsidR="003F2001" w:rsidRPr="003F2001" w14:paraId="3F68C85B"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29F4FEE2" w14:textId="77777777" w:rsidR="003F2001" w:rsidRPr="003F2001" w:rsidRDefault="003F2001" w:rsidP="003F2001">
            <w:pPr>
              <w:spacing w:after="0" w:line="240" w:lineRule="auto"/>
              <w:contextualSpacing/>
              <w:jc w:val="left"/>
              <w:rPr>
                <w:rFonts w:cs="Times New Roman"/>
                <w:sz w:val="16"/>
                <w:szCs w:val="16"/>
                <w:lang w:bidi="en-US"/>
              </w:rPr>
            </w:pPr>
          </w:p>
        </w:tc>
        <w:tc>
          <w:tcPr>
            <w:tcW w:w="1329" w:type="pct"/>
            <w:noWrap/>
            <w:vAlign w:val="center"/>
          </w:tcPr>
          <w:p w14:paraId="36E2F16E"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Szkoła branżowa II stopnia</w:t>
            </w:r>
          </w:p>
        </w:tc>
        <w:tc>
          <w:tcPr>
            <w:tcW w:w="2422" w:type="pct"/>
            <w:vAlign w:val="center"/>
          </w:tcPr>
          <w:p w14:paraId="3B54CDD2"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technik technologii żywności, technik pojazdów samochodowych</w:t>
            </w:r>
          </w:p>
        </w:tc>
      </w:tr>
      <w:tr w:rsidR="003F2001" w:rsidRPr="003F2001" w14:paraId="25FD4AFD"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31DB2772" w14:textId="77777777" w:rsidR="003F2001" w:rsidRPr="003F2001" w:rsidRDefault="003F2001" w:rsidP="003F2001">
            <w:pPr>
              <w:spacing w:after="0" w:line="240" w:lineRule="auto"/>
              <w:contextualSpacing/>
              <w:jc w:val="left"/>
              <w:rPr>
                <w:rFonts w:cs="Times New Roman"/>
                <w:sz w:val="16"/>
                <w:szCs w:val="16"/>
                <w:lang w:bidi="en-US"/>
              </w:rPr>
            </w:pPr>
          </w:p>
        </w:tc>
        <w:tc>
          <w:tcPr>
            <w:tcW w:w="1329" w:type="pct"/>
            <w:noWrap/>
            <w:vAlign w:val="center"/>
          </w:tcPr>
          <w:p w14:paraId="3F8518D4"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Liceum Ogólnokształcące dla Dorosłych</w:t>
            </w:r>
          </w:p>
        </w:tc>
        <w:tc>
          <w:tcPr>
            <w:tcW w:w="2422" w:type="pct"/>
            <w:vAlign w:val="center"/>
          </w:tcPr>
          <w:p w14:paraId="701663BD"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profil ogólnokształcący</w:t>
            </w:r>
          </w:p>
        </w:tc>
      </w:tr>
      <w:tr w:rsidR="003F2001" w:rsidRPr="003F2001" w14:paraId="58FAD190"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0132932C" w14:textId="77777777" w:rsidR="003F2001" w:rsidRPr="003F2001" w:rsidRDefault="003F2001" w:rsidP="003F2001">
            <w:pPr>
              <w:spacing w:after="0" w:line="240" w:lineRule="auto"/>
              <w:contextualSpacing/>
              <w:jc w:val="left"/>
              <w:rPr>
                <w:rFonts w:cs="Times New Roman"/>
                <w:sz w:val="16"/>
                <w:szCs w:val="16"/>
                <w:lang w:bidi="en-US"/>
              </w:rPr>
            </w:pPr>
          </w:p>
        </w:tc>
        <w:tc>
          <w:tcPr>
            <w:tcW w:w="1329" w:type="pct"/>
            <w:noWrap/>
            <w:vAlign w:val="center"/>
          </w:tcPr>
          <w:p w14:paraId="0C44A880"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Szkoła policealna</w:t>
            </w:r>
          </w:p>
        </w:tc>
        <w:tc>
          <w:tcPr>
            <w:tcW w:w="2422" w:type="pct"/>
            <w:vAlign w:val="center"/>
          </w:tcPr>
          <w:p w14:paraId="4100DBBE" w14:textId="77777777" w:rsidR="003F2001" w:rsidRPr="003F2001" w:rsidRDefault="003F2001" w:rsidP="003F2001">
            <w:pPr>
              <w:spacing w:after="0" w:line="240" w:lineRule="auto"/>
              <w:contextualSpacing/>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Technik administracji, technik rachunkowości, technik ekonomista, florysta, opiekun osoby starszej</w:t>
            </w:r>
          </w:p>
        </w:tc>
      </w:tr>
    </w:tbl>
    <w:p w14:paraId="2946790D"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 xml:space="preserve">Źródło: Opracowanie własne na podstawie danych zamieszczonych na stronie Powiatu Opolskiego </w:t>
      </w:r>
      <w:hyperlink r:id="rId54" w:history="1">
        <w:r w:rsidRPr="003F2001">
          <w:rPr>
            <w:rFonts w:eastAsia="Times New Roman" w:cs="Times New Roman"/>
            <w:kern w:val="0"/>
            <w:sz w:val="16"/>
            <w:szCs w:val="16"/>
            <w:u w:val="single"/>
            <w:lang w:bidi="en-US"/>
            <w14:ligatures w14:val="none"/>
          </w:rPr>
          <w:t>https://www.opole.lublin.pl/aktualnosc-193-oferta_edukacyjna_szkol_i_placowek.html</w:t>
        </w:r>
      </w:hyperlink>
      <w:r w:rsidRPr="003F2001">
        <w:rPr>
          <w:rFonts w:eastAsia="Times New Roman" w:cs="Times New Roman"/>
          <w:kern w:val="0"/>
          <w:sz w:val="16"/>
          <w:szCs w:val="16"/>
          <w:lang w:bidi="en-US"/>
          <w14:ligatures w14:val="none"/>
        </w:rPr>
        <w:t xml:space="preserve"> (dostęp w dniu 21.07.2024 r.) oraz stron internetowych poszczególnych placówek edukacyjnych.</w:t>
      </w:r>
    </w:p>
    <w:p w14:paraId="0F9EA53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2022 r. do szkół ponadpodstawowych w Opolu Lubelskim uczęszczało łącznie </w:t>
      </w:r>
      <w:r w:rsidRPr="003F2001">
        <w:rPr>
          <w:rFonts w:eastAsia="Times New Roman" w:cs="Times New Roman"/>
          <w:b/>
          <w:bCs/>
          <w:color w:val="4D160F"/>
          <w:kern w:val="0"/>
          <w:szCs w:val="20"/>
          <w:lang w:bidi="en-US"/>
          <w14:ligatures w14:val="none"/>
        </w:rPr>
        <w:t>718 uczniów</w:t>
      </w:r>
      <w:r w:rsidRPr="003F2001">
        <w:rPr>
          <w:rFonts w:eastAsia="Times New Roman" w:cs="Times New Roman"/>
          <w:kern w:val="0"/>
          <w:szCs w:val="20"/>
          <w:lang w:bidi="en-US"/>
          <w14:ligatures w14:val="none"/>
        </w:rPr>
        <w:t xml:space="preserve">. W roku szkolnym 2022/2023 wśród szkół ponadpodstawowych dla młodzieży największą liczbę uczniów skupiały technika, do których uczęszczało 355 uczniów oraz liceum ogólnokształcące dla młodzieży, w którym uczyło się 235 uczniów. W branżowej szkole I stopnia uczyło się 89, natomiast w liceum dla dorosłych kształciło się 39 osób. W latach 2013-2016 liczba uczniów </w:t>
      </w:r>
      <w:r w:rsidRPr="003F2001">
        <w:rPr>
          <w:rFonts w:eastAsia="Times New Roman" w:cs="Times New Roman"/>
          <w:kern w:val="0"/>
          <w:szCs w:val="20"/>
          <w:lang w:bidi="en-US"/>
          <w14:ligatures w14:val="none"/>
        </w:rPr>
        <w:lastRenderedPageBreak/>
        <w:t>szkół ponadpodstawowych zmniejszyła się o 22,1%, natomiast od 2016 r. utrzymuje się ona na względnie stałym poziomie.</w:t>
      </w:r>
    </w:p>
    <w:p w14:paraId="5435F3DE" w14:textId="23708BC6" w:rsidR="003F2001" w:rsidRPr="003F2001" w:rsidRDefault="003F2001" w:rsidP="003F2001">
      <w:pPr>
        <w:spacing w:line="276" w:lineRule="auto"/>
        <w:contextualSpacing/>
        <w:rPr>
          <w:rFonts w:eastAsia="Calibri" w:cs="Times New Roman"/>
          <w:b/>
          <w:bCs/>
          <w:color w:val="7B230B"/>
          <w:kern w:val="0"/>
          <w:sz w:val="16"/>
          <w:szCs w:val="19"/>
          <w14:ligatures w14:val="none"/>
        </w:rPr>
      </w:pPr>
      <w:bookmarkStart w:id="147" w:name="_Toc189166394"/>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38</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uczniów szkół ponadpodstawowych na terenie Gminy Opole Lubelskie w latach 2013-2022 (osoby)</w:t>
      </w:r>
      <w:bookmarkEnd w:id="147"/>
    </w:p>
    <w:p w14:paraId="34D97C44" w14:textId="77777777" w:rsidR="003F2001" w:rsidRPr="003F2001" w:rsidRDefault="003F2001" w:rsidP="003F2001">
      <w:pPr>
        <w:spacing w:line="276" w:lineRule="auto"/>
        <w:jc w:val="left"/>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66A0D0F9" wp14:editId="427DCD07">
            <wp:extent cx="5760720" cy="2699385"/>
            <wp:effectExtent l="0" t="0" r="0" b="5715"/>
            <wp:docPr id="44" name="Wykres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68116C5"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715343C7" w14:textId="77777777" w:rsidR="003F2001" w:rsidRPr="003F2001" w:rsidRDefault="003F2001" w:rsidP="003F2001">
      <w:pPr>
        <w:spacing w:line="276" w:lineRule="auto"/>
        <w:rPr>
          <w:rFonts w:eastAsia="Times New Roman" w:cs="Times New Roman"/>
          <w:color w:val="FF0000"/>
          <w:kern w:val="0"/>
          <w:szCs w:val="20"/>
          <w:lang w:bidi="en-US"/>
          <w14:ligatures w14:val="none"/>
        </w:rPr>
      </w:pPr>
      <w:r w:rsidRPr="003F2001">
        <w:rPr>
          <w:rFonts w:eastAsia="Times New Roman" w:cs="Times New Roman"/>
          <w:kern w:val="0"/>
          <w:szCs w:val="20"/>
          <w:lang w:bidi="en-US"/>
          <w14:ligatures w14:val="none"/>
        </w:rPr>
        <w:t>Oferowane przez instytucje edukacyjne ścieżki i możliwości uczenia się mają wpływ na szanse zatrudnienia, możliwości rozpoczęcia aktywności zawodowej, a kształtowanie zmian systemu edukacji i kierunków kształcenia powinno brać pod uwagę zachodzące zmiany popytu na pracę, w szczególności w zakresie poszukiwanych kompetencji i kwalifikacji. Należy zauważyć, że profile szkół ponadpodstawowych odpowiadają nie tylko lokalnym uwarunkowaniom i specyfice obszaru, ale także wydają się być konkurencyjne na regionalnym rynku edukacyjnym. Ze względu na specyfikę gospodarczą, szkolnictwo zawodowe na analizowanym obszarze powinno bazować na zawodach związanych z ogrodnictwem i przetwórstwem rolnym.</w:t>
      </w:r>
    </w:p>
    <w:p w14:paraId="225C1CA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Oceny jakości i edukacji oferowanej na poziomie szkół podstawowych i ponadpodstawowych można dokonać przy pomocy analizy wyników egzaminów: </w:t>
      </w:r>
      <w:r w:rsidRPr="003F2001">
        <w:rPr>
          <w:rFonts w:eastAsia="Times New Roman" w:cs="Times New Roman"/>
          <w:b/>
          <w:bCs/>
          <w:color w:val="4D160F"/>
          <w:kern w:val="0"/>
          <w:szCs w:val="20"/>
          <w:lang w:bidi="en-US"/>
          <w14:ligatures w14:val="none"/>
        </w:rPr>
        <w:t>egzaminu ósmoklasisty</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oraz </w:t>
      </w:r>
      <w:r w:rsidRPr="003F2001">
        <w:rPr>
          <w:rFonts w:eastAsia="Times New Roman" w:cs="Times New Roman"/>
          <w:b/>
          <w:bCs/>
          <w:color w:val="4D160F"/>
          <w:kern w:val="0"/>
          <w:szCs w:val="20"/>
          <w:lang w:bidi="en-US"/>
          <w14:ligatures w14:val="none"/>
        </w:rPr>
        <w:t>egzaminu maturalnego</w:t>
      </w:r>
      <w:r w:rsidRPr="003F2001">
        <w:rPr>
          <w:rFonts w:eastAsia="Times New Roman" w:cs="Times New Roman"/>
          <w:kern w:val="0"/>
          <w:szCs w:val="20"/>
          <w:lang w:bidi="en-US"/>
          <w14:ligatures w14:val="none"/>
        </w:rPr>
        <w:t xml:space="preserve">. </w:t>
      </w:r>
    </w:p>
    <w:p w14:paraId="42C534E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Warto przypomnieć, że w 2024 r. z egzaminu z języka polskiego ósmoklasiści ze szkół podstawowych z terenu gminy uzyskali średnio 66,5% punktów możliwych do zdobycia (wobec 60,4% w powiecie opolskim i 63,1% w województwie lubelskim), z matematyki – 52,3% (wobec 49,8% w powiecie opolskim i 50,7% w województwie lubelskim), natomiast z języka angielskiego – 63,7% (wobec 57,6% w powiecie opolskim oraz 63,7% w województwie lubelskim). Dane dotyczące wyników egzaminu ósmoklasisty z 2024 r. pozakazują, że średnie wyniki uczniów klas ósmych z obszaru gminy były wyższe do średnich wyników w powiecie opolskim i regionie. </w:t>
      </w:r>
    </w:p>
    <w:p w14:paraId="228C294A"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Za wskaźnik podsumowujący jakość edukacji w szkołach podstawowych ogółem można uznać sumę wyników procentowych trzech zaprezentowanych dotychczas egzaminów: z matematyki, języka polskiego i języka angielskiego.</w:t>
      </w:r>
    </w:p>
    <w:p w14:paraId="7618B068"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2C346C49" w14:textId="305A9842" w:rsidR="003F2001" w:rsidRPr="003F2001" w:rsidRDefault="003F2001" w:rsidP="003F2001">
      <w:pPr>
        <w:spacing w:line="276" w:lineRule="auto"/>
        <w:contextualSpacing/>
        <w:rPr>
          <w:rFonts w:eastAsia="Calibri" w:cs="Times New Roman"/>
          <w:b/>
          <w:bCs/>
          <w:color w:val="7B230B"/>
          <w:kern w:val="0"/>
          <w:sz w:val="16"/>
          <w:szCs w:val="19"/>
          <w14:ligatures w14:val="none"/>
        </w:rPr>
      </w:pPr>
      <w:bookmarkStart w:id="148" w:name="_Toc189166395"/>
      <w:r w:rsidRPr="003F2001">
        <w:rPr>
          <w:rFonts w:eastAsia="Calibri" w:cs="Times New Roman"/>
          <w:b/>
          <w:bCs/>
          <w:color w:val="7B230B"/>
          <w:kern w:val="0"/>
          <w:sz w:val="16"/>
          <w:szCs w:val="19"/>
          <w14:ligatures w14:val="none"/>
        </w:rPr>
        <w:lastRenderedPageBreak/>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39</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Wskaźnik zsumowanego wyniku egzaminu ósmoklasisty dla Gminy Opole Lubelskie, powiatu opolskiego oraz województwa lubelskiego w latach 2019-2024 (%)</w:t>
      </w:r>
      <w:bookmarkEnd w:id="148"/>
    </w:p>
    <w:p w14:paraId="722AF293" w14:textId="77777777" w:rsidR="003F2001" w:rsidRPr="003F2001" w:rsidRDefault="003F2001" w:rsidP="003F2001">
      <w:pPr>
        <w:spacing w:line="276" w:lineRule="auto"/>
        <w:jc w:val="left"/>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6F2F66F2" wp14:editId="088D5737">
            <wp:extent cx="5760720" cy="2699385"/>
            <wp:effectExtent l="0" t="0" r="0" b="5715"/>
            <wp:docPr id="46" name="Wykres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FC573F-0B60-4ADD-9C77-E043A7628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4A8EB3C"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0F554420"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Za optymistyczne należy uznać fakt, że w we wszystkich analizowanych latach wskaźnik dla gminy przekroczył średnią dla powiatu opolskiego. Z kolei na tle średniej wojewódzkiej wynik gminy nie jest już tak optymistyczny. Gmina w latach 2020-2023 odstawała in minus od średniej województwa lubelskiego. Należy jednak zauważyć, że wyniki egzaminu ósmoklasisty systematycznie rosną, a w ostatnim badanym roku, tj. 2024 wskaźnik zsumowanego wyniku egzaminu ósmoklasisty dla Gminy Opole Lubelskie był wyższy od wskaźnika dla regionu. Należy pamiętać, że średnią dla województwa zawyżają wyniki szkół z dużych ośrodków miejskich.</w:t>
      </w:r>
    </w:p>
    <w:p w14:paraId="552345A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skali obszaru słabiej wypadli uczniowie ze szkół zlokalizowanych na obszarze wiejskim. Na podstawie danych Okręgowej Komisji Egzaminacyjnej w Krakowie w 2024 r. najlepsze wyniki z </w:t>
      </w:r>
      <w:r w:rsidRPr="003F2001">
        <w:rPr>
          <w:rFonts w:eastAsia="Times New Roman" w:cs="Times New Roman"/>
          <w:b/>
          <w:bCs/>
          <w:color w:val="4D160F"/>
          <w:kern w:val="0"/>
          <w:szCs w:val="20"/>
          <w:lang w:bidi="en-US"/>
          <w14:ligatures w14:val="none"/>
        </w:rPr>
        <w:t>egzaminy ósmoklasisty</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osiągnęli uczniowie: Szkoły Podstawowej Nr 2 im. Oskara Kolberga w Opolu Lubelskim. Na egzaminie najsłabiej wypadli uczniowie Szkoły Podstawowej w Niezdowie.</w:t>
      </w:r>
    </w:p>
    <w:p w14:paraId="45351E0B" w14:textId="0857AAA6"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49" w:name="_Toc189166350"/>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18</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Wyniki egzaminu ósmoklasisty w szkołach podstawowych na terenie Gminy Opole Lubelskie w 2024 r.</w:t>
      </w:r>
      <w:bookmarkEnd w:id="149"/>
    </w:p>
    <w:tbl>
      <w:tblPr>
        <w:tblStyle w:val="Tabelasiatki1jasnaakcent16"/>
        <w:tblW w:w="0" w:type="auto"/>
        <w:tblLayout w:type="fixed"/>
        <w:tblLook w:val="04A0" w:firstRow="1" w:lastRow="0" w:firstColumn="1" w:lastColumn="0" w:noHBand="0" w:noVBand="1"/>
      </w:tblPr>
      <w:tblGrid>
        <w:gridCol w:w="3397"/>
        <w:gridCol w:w="1418"/>
        <w:gridCol w:w="1415"/>
        <w:gridCol w:w="1420"/>
        <w:gridCol w:w="1412"/>
      </w:tblGrid>
      <w:tr w:rsidR="003F2001" w:rsidRPr="003F2001" w14:paraId="20C7E979" w14:textId="77777777" w:rsidTr="00CC19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21CE732D"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Nazwa szkoły</w:t>
            </w:r>
          </w:p>
        </w:tc>
        <w:tc>
          <w:tcPr>
            <w:tcW w:w="1418" w:type="dxa"/>
            <w:noWrap/>
            <w:vAlign w:val="center"/>
            <w:hideMark/>
          </w:tcPr>
          <w:p w14:paraId="08253D66"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Obszar</w:t>
            </w:r>
          </w:p>
        </w:tc>
        <w:tc>
          <w:tcPr>
            <w:tcW w:w="1415" w:type="dxa"/>
            <w:noWrap/>
            <w:vAlign w:val="center"/>
            <w:hideMark/>
          </w:tcPr>
          <w:p w14:paraId="17B12070"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Język polski</w:t>
            </w:r>
            <w:r w:rsidRPr="003F2001">
              <w:rPr>
                <w:rFonts w:cs="Times New Roman"/>
                <w:sz w:val="16"/>
                <w:szCs w:val="16"/>
                <w:lang w:bidi="en-US"/>
              </w:rPr>
              <w:br/>
              <w:t xml:space="preserve"> - średni wynik (%)</w:t>
            </w:r>
          </w:p>
        </w:tc>
        <w:tc>
          <w:tcPr>
            <w:tcW w:w="1420" w:type="dxa"/>
            <w:noWrap/>
            <w:vAlign w:val="center"/>
            <w:hideMark/>
          </w:tcPr>
          <w:p w14:paraId="01362CE0"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Matematyka</w:t>
            </w:r>
            <w:r w:rsidRPr="003F2001">
              <w:rPr>
                <w:rFonts w:cs="Times New Roman"/>
                <w:sz w:val="16"/>
                <w:szCs w:val="16"/>
                <w:lang w:bidi="en-US"/>
              </w:rPr>
              <w:br/>
              <w:t xml:space="preserve"> - średni wynik (%)</w:t>
            </w:r>
          </w:p>
        </w:tc>
        <w:tc>
          <w:tcPr>
            <w:tcW w:w="1412" w:type="dxa"/>
            <w:noWrap/>
            <w:vAlign w:val="center"/>
            <w:hideMark/>
          </w:tcPr>
          <w:p w14:paraId="16644C18"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Język angielski - średni wynik (%)</w:t>
            </w:r>
          </w:p>
        </w:tc>
      </w:tr>
      <w:tr w:rsidR="003F2001" w:rsidRPr="003F2001" w14:paraId="5BABC5F5" w14:textId="77777777" w:rsidTr="00CC1974">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0548124"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Szkoła Podstawowa Nr 2 im. Oskara Kolberga w Opolu Lubelskim</w:t>
            </w:r>
          </w:p>
        </w:tc>
        <w:tc>
          <w:tcPr>
            <w:tcW w:w="1418" w:type="dxa"/>
            <w:noWrap/>
            <w:vAlign w:val="center"/>
            <w:hideMark/>
          </w:tcPr>
          <w:p w14:paraId="34EB0A6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miasto</w:t>
            </w:r>
          </w:p>
        </w:tc>
        <w:tc>
          <w:tcPr>
            <w:tcW w:w="1415" w:type="dxa"/>
            <w:noWrap/>
            <w:vAlign w:val="center"/>
            <w:hideMark/>
          </w:tcPr>
          <w:p w14:paraId="37FBA63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70</w:t>
            </w:r>
          </w:p>
        </w:tc>
        <w:tc>
          <w:tcPr>
            <w:tcW w:w="1420" w:type="dxa"/>
            <w:noWrap/>
            <w:vAlign w:val="center"/>
            <w:hideMark/>
          </w:tcPr>
          <w:p w14:paraId="4C2561E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69</w:t>
            </w:r>
          </w:p>
        </w:tc>
        <w:tc>
          <w:tcPr>
            <w:tcW w:w="1412" w:type="dxa"/>
            <w:noWrap/>
            <w:vAlign w:val="center"/>
            <w:hideMark/>
          </w:tcPr>
          <w:p w14:paraId="512A37C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74</w:t>
            </w:r>
          </w:p>
        </w:tc>
      </w:tr>
      <w:tr w:rsidR="003F2001" w:rsidRPr="003F2001" w14:paraId="263C49D4" w14:textId="77777777" w:rsidTr="00CC1974">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7D625F6"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Szkoła Podstawowa Nr 1 im. Kornela Makuszyńskiego w Opolu Lubelskim</w:t>
            </w:r>
          </w:p>
        </w:tc>
        <w:tc>
          <w:tcPr>
            <w:tcW w:w="1418" w:type="dxa"/>
            <w:noWrap/>
            <w:vAlign w:val="center"/>
            <w:hideMark/>
          </w:tcPr>
          <w:p w14:paraId="1D7B460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miasto</w:t>
            </w:r>
          </w:p>
        </w:tc>
        <w:tc>
          <w:tcPr>
            <w:tcW w:w="1415" w:type="dxa"/>
            <w:noWrap/>
            <w:vAlign w:val="center"/>
            <w:hideMark/>
          </w:tcPr>
          <w:p w14:paraId="1D3A577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64</w:t>
            </w:r>
          </w:p>
        </w:tc>
        <w:tc>
          <w:tcPr>
            <w:tcW w:w="1420" w:type="dxa"/>
            <w:noWrap/>
            <w:vAlign w:val="center"/>
            <w:hideMark/>
          </w:tcPr>
          <w:p w14:paraId="6239DFF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51</w:t>
            </w:r>
          </w:p>
        </w:tc>
        <w:tc>
          <w:tcPr>
            <w:tcW w:w="1412" w:type="dxa"/>
            <w:noWrap/>
            <w:vAlign w:val="center"/>
            <w:hideMark/>
          </w:tcPr>
          <w:p w14:paraId="61521D5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63</w:t>
            </w:r>
          </w:p>
        </w:tc>
      </w:tr>
      <w:tr w:rsidR="003F2001" w:rsidRPr="003F2001" w14:paraId="12E9C83A" w14:textId="77777777" w:rsidTr="00CC1974">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1E91ED5"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Szkoła Podstawowa w Niezdowie</w:t>
            </w:r>
          </w:p>
        </w:tc>
        <w:tc>
          <w:tcPr>
            <w:tcW w:w="1418" w:type="dxa"/>
            <w:noWrap/>
            <w:vAlign w:val="center"/>
            <w:hideMark/>
          </w:tcPr>
          <w:p w14:paraId="1750C2E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obszar wiejski</w:t>
            </w:r>
          </w:p>
        </w:tc>
        <w:tc>
          <w:tcPr>
            <w:tcW w:w="1415" w:type="dxa"/>
            <w:noWrap/>
            <w:vAlign w:val="center"/>
            <w:hideMark/>
          </w:tcPr>
          <w:p w14:paraId="1051AC3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62</w:t>
            </w:r>
          </w:p>
        </w:tc>
        <w:tc>
          <w:tcPr>
            <w:tcW w:w="1420" w:type="dxa"/>
            <w:noWrap/>
            <w:vAlign w:val="center"/>
            <w:hideMark/>
          </w:tcPr>
          <w:p w14:paraId="2848E92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40</w:t>
            </w:r>
          </w:p>
        </w:tc>
        <w:tc>
          <w:tcPr>
            <w:tcW w:w="1412" w:type="dxa"/>
            <w:noWrap/>
            <w:vAlign w:val="center"/>
            <w:hideMark/>
          </w:tcPr>
          <w:p w14:paraId="1025BDA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49</w:t>
            </w:r>
          </w:p>
        </w:tc>
      </w:tr>
      <w:tr w:rsidR="003F2001" w:rsidRPr="003F2001" w14:paraId="37BD5739" w14:textId="77777777" w:rsidTr="00CC1974">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DB305A7"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Szkoła Podstawowa w Skokowie</w:t>
            </w:r>
          </w:p>
        </w:tc>
        <w:tc>
          <w:tcPr>
            <w:tcW w:w="1418" w:type="dxa"/>
            <w:noWrap/>
            <w:hideMark/>
          </w:tcPr>
          <w:p w14:paraId="47ECB46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obszar wiejski</w:t>
            </w:r>
          </w:p>
        </w:tc>
        <w:tc>
          <w:tcPr>
            <w:tcW w:w="1415" w:type="dxa"/>
            <w:noWrap/>
            <w:vAlign w:val="center"/>
            <w:hideMark/>
          </w:tcPr>
          <w:p w14:paraId="5ED2B4D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66</w:t>
            </w:r>
          </w:p>
        </w:tc>
        <w:tc>
          <w:tcPr>
            <w:tcW w:w="1420" w:type="dxa"/>
            <w:noWrap/>
            <w:vAlign w:val="center"/>
            <w:hideMark/>
          </w:tcPr>
          <w:p w14:paraId="547107A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40</w:t>
            </w:r>
          </w:p>
        </w:tc>
        <w:tc>
          <w:tcPr>
            <w:tcW w:w="1412" w:type="dxa"/>
            <w:noWrap/>
            <w:vAlign w:val="center"/>
            <w:hideMark/>
          </w:tcPr>
          <w:p w14:paraId="0F407B0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66</w:t>
            </w:r>
          </w:p>
        </w:tc>
      </w:tr>
      <w:tr w:rsidR="003F2001" w:rsidRPr="003F2001" w14:paraId="55390E65" w14:textId="77777777" w:rsidTr="00CC1974">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5C7F3B4"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Szkoła Podstawowa im. Świętego Jana Pawła II w Kluczkowicach</w:t>
            </w:r>
          </w:p>
        </w:tc>
        <w:tc>
          <w:tcPr>
            <w:tcW w:w="1418" w:type="dxa"/>
            <w:noWrap/>
            <w:hideMark/>
          </w:tcPr>
          <w:p w14:paraId="12DD43F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obszar wiejski</w:t>
            </w:r>
          </w:p>
        </w:tc>
        <w:tc>
          <w:tcPr>
            <w:tcW w:w="1415" w:type="dxa"/>
            <w:noWrap/>
            <w:vAlign w:val="center"/>
            <w:hideMark/>
          </w:tcPr>
          <w:p w14:paraId="4D85331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68</w:t>
            </w:r>
          </w:p>
        </w:tc>
        <w:tc>
          <w:tcPr>
            <w:tcW w:w="1420" w:type="dxa"/>
            <w:noWrap/>
            <w:vAlign w:val="center"/>
            <w:hideMark/>
          </w:tcPr>
          <w:p w14:paraId="0A05194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42</w:t>
            </w:r>
          </w:p>
        </w:tc>
        <w:tc>
          <w:tcPr>
            <w:tcW w:w="1412" w:type="dxa"/>
            <w:noWrap/>
            <w:vAlign w:val="center"/>
            <w:hideMark/>
          </w:tcPr>
          <w:p w14:paraId="00A857B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48</w:t>
            </w:r>
          </w:p>
        </w:tc>
      </w:tr>
    </w:tbl>
    <w:p w14:paraId="08EA2485" w14:textId="77777777" w:rsidR="003F2001" w:rsidRPr="003F2001" w:rsidRDefault="003F2001" w:rsidP="003F2001">
      <w:pPr>
        <w:spacing w:before="120" w:line="276" w:lineRule="auto"/>
        <w:rPr>
          <w:rFonts w:eastAsia="Times New Roman" w:cs="Times New Roman"/>
          <w:kern w:val="0"/>
          <w:szCs w:val="20"/>
          <w:lang w:bidi="en-US"/>
          <w14:ligatures w14:val="none"/>
        </w:rPr>
      </w:pPr>
      <w:r w:rsidRPr="003F2001">
        <w:rPr>
          <w:rFonts w:eastAsia="Times New Roman" w:cs="Times New Roman"/>
          <w:kern w:val="0"/>
          <w:sz w:val="16"/>
          <w:szCs w:val="16"/>
          <w:lang w:bidi="en-US"/>
          <w14:ligatures w14:val="none"/>
        </w:rPr>
        <w:t>Źródło: Opracowanie własne na podstawie danych Okręgowej Komisji Egzaminacyjnej w Krakowie.</w:t>
      </w:r>
    </w:p>
    <w:p w14:paraId="1987A98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2024 r. z egzaminu z języka polskiego (poziom podstawowy) maturzyści ze szkół ponadpodstawowych z terenu gminy uzyskali średnio 55,7% punktów możliwych do zdobycia (wobec 55,8% w powiecie opolskim i 60,3% w województwie lubelskim), z matematyki (poziom podstawowy) – 49,8% (wobec 56,5% w powiecie opolskim i 63,4% w województwie lubelskim), natomiast z języka angielskiego – 64,3% (wobec 69,9% w powiecie opolskim oraz 75,3% w województwie lubelskim). Dane dotyczące wyników egzaminu maturalnego z 2024 r. </w:t>
      </w:r>
      <w:r w:rsidRPr="003F2001">
        <w:rPr>
          <w:rFonts w:eastAsia="Times New Roman" w:cs="Times New Roman"/>
          <w:kern w:val="0"/>
          <w:szCs w:val="20"/>
          <w:lang w:bidi="en-US"/>
          <w14:ligatures w14:val="none"/>
        </w:rPr>
        <w:lastRenderedPageBreak/>
        <w:t xml:space="preserve">pozakazują, że </w:t>
      </w:r>
      <w:r w:rsidRPr="003F2001">
        <w:rPr>
          <w:rFonts w:eastAsia="Times New Roman" w:cs="Times New Roman"/>
          <w:b/>
          <w:bCs/>
          <w:color w:val="4D160F"/>
          <w:kern w:val="0"/>
          <w:szCs w:val="20"/>
          <w:lang w:bidi="en-US"/>
          <w14:ligatures w14:val="none"/>
        </w:rPr>
        <w:t>średnie wyniki uczniów z obszaru gminy były zdecydowanie niższe do średnich wyników w powiecie opolskim i regionie</w:t>
      </w:r>
      <w:r w:rsidRPr="003F2001">
        <w:rPr>
          <w:rFonts w:eastAsia="Times New Roman" w:cs="Times New Roman"/>
          <w:kern w:val="0"/>
          <w:szCs w:val="20"/>
          <w:lang w:bidi="en-US"/>
          <w14:ligatures w14:val="none"/>
        </w:rPr>
        <w:t xml:space="preserve">. </w:t>
      </w:r>
    </w:p>
    <w:p w14:paraId="047E93A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2024 r. z matematyki i języka angielskiego lepsze wyniki osiągnęli uczniowie</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Liceum Ogólnokształcącego im. Adama Mickiewicza w Opolu Lubelskim, natomiast z języka polskiego nieznacznie lepsi okazali się uczniowie Technikum w Zespole Szkół Zawodowych im. Stanisława Konarskiego w Opolu Lubelskim.</w:t>
      </w:r>
    </w:p>
    <w:p w14:paraId="06F25232" w14:textId="2F335884"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50" w:name="_Toc189166351"/>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19</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Wyniki egzaminu maturalnego w szkołach ponadpodstawowych na terenie Gminy Opole Lubelskie w 2024 r.</w:t>
      </w:r>
      <w:bookmarkEnd w:id="150"/>
    </w:p>
    <w:tbl>
      <w:tblPr>
        <w:tblStyle w:val="Tabelasiatki1jasnaakcent16"/>
        <w:tblW w:w="5000" w:type="pct"/>
        <w:tblLayout w:type="fixed"/>
        <w:tblLook w:val="04A0" w:firstRow="1" w:lastRow="0" w:firstColumn="1" w:lastColumn="0" w:noHBand="0" w:noVBand="1"/>
      </w:tblPr>
      <w:tblGrid>
        <w:gridCol w:w="2409"/>
        <w:gridCol w:w="1276"/>
        <w:gridCol w:w="895"/>
        <w:gridCol w:w="897"/>
        <w:gridCol w:w="897"/>
        <w:gridCol w:w="897"/>
        <w:gridCol w:w="897"/>
        <w:gridCol w:w="894"/>
      </w:tblGrid>
      <w:tr w:rsidR="003F2001" w:rsidRPr="003F2001" w14:paraId="0763FE09" w14:textId="77777777" w:rsidTr="00CC1974">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29" w:type="pct"/>
            <w:vMerge w:val="restart"/>
            <w:noWrap/>
            <w:vAlign w:val="center"/>
            <w:hideMark/>
          </w:tcPr>
          <w:p w14:paraId="1947FF50"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Nazwa szkoły</w:t>
            </w:r>
          </w:p>
        </w:tc>
        <w:tc>
          <w:tcPr>
            <w:tcW w:w="704" w:type="pct"/>
            <w:vMerge w:val="restart"/>
            <w:vAlign w:val="center"/>
            <w:hideMark/>
          </w:tcPr>
          <w:p w14:paraId="7A1A6DE9"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Egzamin maturalny - zdawalność (%)</w:t>
            </w:r>
          </w:p>
        </w:tc>
        <w:tc>
          <w:tcPr>
            <w:tcW w:w="989" w:type="pct"/>
            <w:gridSpan w:val="2"/>
            <w:vAlign w:val="center"/>
            <w:hideMark/>
          </w:tcPr>
          <w:p w14:paraId="62F77948"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Język polski (poziom podstawowy)</w:t>
            </w:r>
          </w:p>
        </w:tc>
        <w:tc>
          <w:tcPr>
            <w:tcW w:w="990" w:type="pct"/>
            <w:gridSpan w:val="2"/>
            <w:vAlign w:val="center"/>
            <w:hideMark/>
          </w:tcPr>
          <w:p w14:paraId="4AF49FE3"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Matematyka (poziom podstawowy) - zdawalność (%)</w:t>
            </w:r>
          </w:p>
        </w:tc>
        <w:tc>
          <w:tcPr>
            <w:tcW w:w="988" w:type="pct"/>
            <w:gridSpan w:val="2"/>
            <w:vAlign w:val="center"/>
            <w:hideMark/>
          </w:tcPr>
          <w:p w14:paraId="25A6B46A"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Język angielski (poziom podstawowy) - zdawalność (%)</w:t>
            </w:r>
          </w:p>
        </w:tc>
      </w:tr>
      <w:tr w:rsidR="003F2001" w:rsidRPr="003F2001" w14:paraId="29C03F60" w14:textId="77777777" w:rsidTr="00CC1974">
        <w:trPr>
          <w:trHeight w:val="855"/>
        </w:trPr>
        <w:tc>
          <w:tcPr>
            <w:cnfStyle w:val="001000000000" w:firstRow="0" w:lastRow="0" w:firstColumn="1" w:lastColumn="0" w:oddVBand="0" w:evenVBand="0" w:oddHBand="0" w:evenHBand="0" w:firstRowFirstColumn="0" w:firstRowLastColumn="0" w:lastRowFirstColumn="0" w:lastRowLastColumn="0"/>
            <w:tcW w:w="1329" w:type="pct"/>
            <w:vMerge/>
            <w:tcBorders>
              <w:bottom w:val="single" w:sz="12" w:space="0" w:color="EE8C69"/>
            </w:tcBorders>
            <w:noWrap/>
            <w:vAlign w:val="center"/>
            <w:hideMark/>
          </w:tcPr>
          <w:p w14:paraId="2215433D" w14:textId="77777777" w:rsidR="003F2001" w:rsidRPr="003F2001" w:rsidRDefault="003F2001" w:rsidP="003F2001">
            <w:pPr>
              <w:spacing w:after="0" w:line="240" w:lineRule="auto"/>
              <w:contextualSpacing/>
              <w:jc w:val="center"/>
              <w:rPr>
                <w:rFonts w:cs="Times New Roman"/>
                <w:sz w:val="16"/>
                <w:szCs w:val="16"/>
                <w:lang w:bidi="en-US"/>
              </w:rPr>
            </w:pPr>
          </w:p>
        </w:tc>
        <w:tc>
          <w:tcPr>
            <w:tcW w:w="704" w:type="pct"/>
            <w:vMerge/>
            <w:tcBorders>
              <w:bottom w:val="single" w:sz="12" w:space="0" w:color="EE8C69"/>
            </w:tcBorders>
            <w:vAlign w:val="center"/>
            <w:hideMark/>
          </w:tcPr>
          <w:p w14:paraId="24C135D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p>
        </w:tc>
        <w:tc>
          <w:tcPr>
            <w:tcW w:w="494" w:type="pct"/>
            <w:tcBorders>
              <w:bottom w:val="single" w:sz="12" w:space="0" w:color="EE8C69"/>
            </w:tcBorders>
            <w:vAlign w:val="center"/>
            <w:hideMark/>
          </w:tcPr>
          <w:p w14:paraId="233AE87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zdawal-</w:t>
            </w:r>
          </w:p>
          <w:p w14:paraId="25F5375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ność (%)</w:t>
            </w:r>
          </w:p>
        </w:tc>
        <w:tc>
          <w:tcPr>
            <w:tcW w:w="495" w:type="pct"/>
            <w:tcBorders>
              <w:bottom w:val="single" w:sz="12" w:space="0" w:color="EE8C69"/>
            </w:tcBorders>
            <w:vAlign w:val="center"/>
            <w:hideMark/>
          </w:tcPr>
          <w:p w14:paraId="4B59904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średni wynik (%)</w:t>
            </w:r>
          </w:p>
        </w:tc>
        <w:tc>
          <w:tcPr>
            <w:tcW w:w="495" w:type="pct"/>
            <w:tcBorders>
              <w:bottom w:val="single" w:sz="12" w:space="0" w:color="EE8C69"/>
            </w:tcBorders>
            <w:vAlign w:val="center"/>
            <w:hideMark/>
          </w:tcPr>
          <w:p w14:paraId="45FFBA3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zdawal-</w:t>
            </w:r>
          </w:p>
          <w:p w14:paraId="7E96ECE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ność (%)</w:t>
            </w:r>
          </w:p>
        </w:tc>
        <w:tc>
          <w:tcPr>
            <w:tcW w:w="495" w:type="pct"/>
            <w:tcBorders>
              <w:bottom w:val="single" w:sz="12" w:space="0" w:color="EE8C69"/>
            </w:tcBorders>
            <w:vAlign w:val="center"/>
            <w:hideMark/>
          </w:tcPr>
          <w:p w14:paraId="7F0C14F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średni wynik (%)</w:t>
            </w:r>
          </w:p>
        </w:tc>
        <w:tc>
          <w:tcPr>
            <w:tcW w:w="495" w:type="pct"/>
            <w:tcBorders>
              <w:bottom w:val="single" w:sz="12" w:space="0" w:color="EE8C69"/>
            </w:tcBorders>
            <w:vAlign w:val="center"/>
            <w:hideMark/>
          </w:tcPr>
          <w:p w14:paraId="0D8E267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zdawal-</w:t>
            </w:r>
          </w:p>
          <w:p w14:paraId="2166AD7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ność (%)</w:t>
            </w:r>
          </w:p>
        </w:tc>
        <w:tc>
          <w:tcPr>
            <w:tcW w:w="493" w:type="pct"/>
            <w:tcBorders>
              <w:bottom w:val="single" w:sz="12" w:space="0" w:color="EE8C69"/>
            </w:tcBorders>
            <w:vAlign w:val="center"/>
            <w:hideMark/>
          </w:tcPr>
          <w:p w14:paraId="7B19D9A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średni wynik (%)</w:t>
            </w:r>
          </w:p>
        </w:tc>
      </w:tr>
      <w:tr w:rsidR="003F2001" w:rsidRPr="003F2001" w14:paraId="18BFB5B5" w14:textId="77777777" w:rsidTr="00CC1974">
        <w:trPr>
          <w:trHeight w:val="300"/>
        </w:trPr>
        <w:tc>
          <w:tcPr>
            <w:cnfStyle w:val="001000000000" w:firstRow="0" w:lastRow="0" w:firstColumn="1" w:lastColumn="0" w:oddVBand="0" w:evenVBand="0" w:oddHBand="0" w:evenHBand="0" w:firstRowFirstColumn="0" w:firstRowLastColumn="0" w:lastRowFirstColumn="0" w:lastRowLastColumn="0"/>
            <w:tcW w:w="1329" w:type="pct"/>
            <w:tcBorders>
              <w:top w:val="single" w:sz="12" w:space="0" w:color="EE8C69"/>
            </w:tcBorders>
            <w:noWrap/>
            <w:hideMark/>
          </w:tcPr>
          <w:p w14:paraId="4F4C2003"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lang w:bidi="en-US"/>
              </w:rPr>
              <w:t>Liceum Ogólnokształcące im. Adama Mickiewicza w Opolu Lubelskim</w:t>
            </w:r>
          </w:p>
        </w:tc>
        <w:tc>
          <w:tcPr>
            <w:tcW w:w="704" w:type="pct"/>
            <w:tcBorders>
              <w:top w:val="single" w:sz="12" w:space="0" w:color="EE8C69"/>
            </w:tcBorders>
            <w:vAlign w:val="center"/>
            <w:hideMark/>
          </w:tcPr>
          <w:p w14:paraId="367500A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76</w:t>
            </w:r>
          </w:p>
        </w:tc>
        <w:tc>
          <w:tcPr>
            <w:tcW w:w="494" w:type="pct"/>
            <w:tcBorders>
              <w:top w:val="single" w:sz="12" w:space="0" w:color="EE8C69"/>
            </w:tcBorders>
            <w:vAlign w:val="center"/>
            <w:hideMark/>
          </w:tcPr>
          <w:p w14:paraId="41A6361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91</w:t>
            </w:r>
          </w:p>
        </w:tc>
        <w:tc>
          <w:tcPr>
            <w:tcW w:w="495" w:type="pct"/>
            <w:tcBorders>
              <w:top w:val="single" w:sz="12" w:space="0" w:color="EE8C69"/>
            </w:tcBorders>
            <w:vAlign w:val="center"/>
            <w:hideMark/>
          </w:tcPr>
          <w:p w14:paraId="207712F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55</w:t>
            </w:r>
          </w:p>
        </w:tc>
        <w:tc>
          <w:tcPr>
            <w:tcW w:w="495" w:type="pct"/>
            <w:tcBorders>
              <w:top w:val="single" w:sz="12" w:space="0" w:color="EE8C69"/>
            </w:tcBorders>
            <w:vAlign w:val="center"/>
            <w:hideMark/>
          </w:tcPr>
          <w:p w14:paraId="1320319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83</w:t>
            </w:r>
          </w:p>
        </w:tc>
        <w:tc>
          <w:tcPr>
            <w:tcW w:w="495" w:type="pct"/>
            <w:tcBorders>
              <w:top w:val="single" w:sz="12" w:space="0" w:color="EE8C69"/>
            </w:tcBorders>
            <w:noWrap/>
            <w:vAlign w:val="center"/>
            <w:hideMark/>
          </w:tcPr>
          <w:p w14:paraId="551AC10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52</w:t>
            </w:r>
          </w:p>
        </w:tc>
        <w:tc>
          <w:tcPr>
            <w:tcW w:w="495" w:type="pct"/>
            <w:tcBorders>
              <w:top w:val="single" w:sz="12" w:space="0" w:color="EE8C69"/>
            </w:tcBorders>
            <w:vAlign w:val="center"/>
            <w:hideMark/>
          </w:tcPr>
          <w:p w14:paraId="7E6CD1B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93</w:t>
            </w:r>
          </w:p>
        </w:tc>
        <w:tc>
          <w:tcPr>
            <w:tcW w:w="493" w:type="pct"/>
            <w:tcBorders>
              <w:top w:val="single" w:sz="12" w:space="0" w:color="EE8C69"/>
            </w:tcBorders>
            <w:vAlign w:val="center"/>
            <w:hideMark/>
          </w:tcPr>
          <w:p w14:paraId="2FB6F41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72</w:t>
            </w:r>
          </w:p>
        </w:tc>
      </w:tr>
      <w:tr w:rsidR="003F2001" w:rsidRPr="003F2001" w14:paraId="65212C29" w14:textId="77777777" w:rsidTr="00CC1974">
        <w:trPr>
          <w:trHeight w:val="300"/>
        </w:trPr>
        <w:tc>
          <w:tcPr>
            <w:cnfStyle w:val="001000000000" w:firstRow="0" w:lastRow="0" w:firstColumn="1" w:lastColumn="0" w:oddVBand="0" w:evenVBand="0" w:oddHBand="0" w:evenHBand="0" w:firstRowFirstColumn="0" w:firstRowLastColumn="0" w:lastRowFirstColumn="0" w:lastRowLastColumn="0"/>
            <w:tcW w:w="1329" w:type="pct"/>
            <w:noWrap/>
            <w:hideMark/>
          </w:tcPr>
          <w:p w14:paraId="0DAAAAF0"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lang w:bidi="en-US"/>
              </w:rPr>
              <w:t>Technikum w Zespole Szkół Zawodowych im. Stanisława Konarskiego w Opolu Lubelskim</w:t>
            </w:r>
          </w:p>
        </w:tc>
        <w:tc>
          <w:tcPr>
            <w:tcW w:w="704" w:type="pct"/>
            <w:vAlign w:val="center"/>
            <w:hideMark/>
          </w:tcPr>
          <w:p w14:paraId="676C65E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63</w:t>
            </w:r>
          </w:p>
        </w:tc>
        <w:tc>
          <w:tcPr>
            <w:tcW w:w="494" w:type="pct"/>
            <w:vAlign w:val="center"/>
            <w:hideMark/>
          </w:tcPr>
          <w:p w14:paraId="448ED31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96</w:t>
            </w:r>
          </w:p>
        </w:tc>
        <w:tc>
          <w:tcPr>
            <w:tcW w:w="495" w:type="pct"/>
            <w:vAlign w:val="center"/>
            <w:hideMark/>
          </w:tcPr>
          <w:p w14:paraId="3644263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56</w:t>
            </w:r>
          </w:p>
        </w:tc>
        <w:tc>
          <w:tcPr>
            <w:tcW w:w="495" w:type="pct"/>
            <w:vAlign w:val="center"/>
            <w:hideMark/>
          </w:tcPr>
          <w:p w14:paraId="6F79F8A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71</w:t>
            </w:r>
          </w:p>
        </w:tc>
        <w:tc>
          <w:tcPr>
            <w:tcW w:w="495" w:type="pct"/>
            <w:noWrap/>
            <w:vAlign w:val="center"/>
            <w:hideMark/>
          </w:tcPr>
          <w:p w14:paraId="3545B44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45</w:t>
            </w:r>
          </w:p>
        </w:tc>
        <w:tc>
          <w:tcPr>
            <w:tcW w:w="495" w:type="pct"/>
            <w:vAlign w:val="center"/>
            <w:hideMark/>
          </w:tcPr>
          <w:p w14:paraId="4E21E0E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87</w:t>
            </w:r>
          </w:p>
        </w:tc>
        <w:tc>
          <w:tcPr>
            <w:tcW w:w="493" w:type="pct"/>
            <w:vAlign w:val="center"/>
            <w:hideMark/>
          </w:tcPr>
          <w:p w14:paraId="04BD16D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51</w:t>
            </w:r>
          </w:p>
        </w:tc>
      </w:tr>
    </w:tbl>
    <w:p w14:paraId="44A811BD" w14:textId="77777777" w:rsidR="003F2001" w:rsidRPr="003F2001" w:rsidRDefault="003F2001" w:rsidP="003F2001">
      <w:pPr>
        <w:spacing w:before="120" w:line="276" w:lineRule="auto"/>
        <w:rPr>
          <w:rFonts w:eastAsia="Times New Roman" w:cs="Times New Roman"/>
          <w:kern w:val="0"/>
          <w:szCs w:val="20"/>
          <w:lang w:bidi="en-US"/>
          <w14:ligatures w14:val="none"/>
        </w:rPr>
      </w:pPr>
      <w:r w:rsidRPr="003F2001">
        <w:rPr>
          <w:rFonts w:eastAsia="Times New Roman" w:cs="Times New Roman"/>
          <w:kern w:val="0"/>
          <w:sz w:val="16"/>
          <w:szCs w:val="16"/>
          <w:lang w:bidi="en-US"/>
          <w14:ligatures w14:val="none"/>
        </w:rPr>
        <w:t>Źródło: Opracowanie własne na podstawie danych Okręgowej Komisji Egzaminacyjnej w Krakowie.</w:t>
      </w:r>
    </w:p>
    <w:p w14:paraId="7EBD4843" w14:textId="01FCE873" w:rsidR="003F2001" w:rsidRPr="003F2001" w:rsidRDefault="003F2001" w:rsidP="00941F1D">
      <w:pPr>
        <w:pStyle w:val="Nagwek2"/>
      </w:pPr>
      <w:bookmarkStart w:id="151" w:name="_Toc173435466"/>
      <w:bookmarkStart w:id="152" w:name="_Toc191908781"/>
      <w:r>
        <w:t xml:space="preserve">2.6.2 </w:t>
      </w:r>
      <w:r w:rsidRPr="003F2001">
        <w:t>Ochrona zdrowia</w:t>
      </w:r>
      <w:bookmarkEnd w:id="151"/>
      <w:bookmarkEnd w:id="152"/>
    </w:p>
    <w:p w14:paraId="3E8A32E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Podstawowa opieka zdrowotna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oraz </w:t>
      </w:r>
      <w:r w:rsidRPr="003F2001">
        <w:rPr>
          <w:rFonts w:eastAsia="Times New Roman" w:cs="Times New Roman"/>
          <w:b/>
          <w:bCs/>
          <w:color w:val="4D160F"/>
          <w:kern w:val="0"/>
          <w:szCs w:val="20"/>
          <w:lang w:bidi="en-US"/>
          <w14:ligatures w14:val="none"/>
        </w:rPr>
        <w:t>ambulatoryjna opieka specjalistyczna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stanowią ważny szczebel w systemie ochrony zdrowia – to od ich skuteczności w ogromnym stopniu zależy efektywność całego procesu leczenia pacjenta i sprawność systemu opieki medycznej. Opieka zdrowotna w Gminie Opole Lubelskie świadczona jest przez publiczną i niepubliczną służbę zdrowia w ramach kontraktów z Narodowym Funduszem Zdrowia oraz przez świadczeniodawców prywatnych. </w:t>
      </w:r>
    </w:p>
    <w:p w14:paraId="56D02F85" w14:textId="77777777" w:rsidR="003F2001" w:rsidRPr="003F2001" w:rsidRDefault="003F2001" w:rsidP="003F2001">
      <w:pPr>
        <w:spacing w:line="276" w:lineRule="auto"/>
        <w:rPr>
          <w:rFonts w:eastAsia="Times New Roman" w:cs="Times New Roman"/>
          <w:color w:val="FF0000"/>
          <w:kern w:val="0"/>
          <w:szCs w:val="20"/>
          <w:lang w:bidi="en-US"/>
          <w14:ligatures w14:val="none"/>
        </w:rPr>
      </w:pPr>
      <w:r w:rsidRPr="003F2001">
        <w:rPr>
          <w:rFonts w:eastAsia="Times New Roman" w:cs="Times New Roman"/>
          <w:kern w:val="0"/>
          <w:szCs w:val="20"/>
          <w:lang w:bidi="en-US"/>
          <w14:ligatures w14:val="none"/>
        </w:rPr>
        <w:t xml:space="preserve">W końcu 2023 r. na terenie Gminy Opole Lubelskie działalność </w:t>
      </w:r>
      <w:r w:rsidRPr="003F2001">
        <w:rPr>
          <w:rFonts w:eastAsia="Times New Roman" w:cs="Times New Roman"/>
          <w:b/>
          <w:bCs/>
          <w:color w:val="4D160F"/>
          <w:kern w:val="0"/>
          <w:szCs w:val="20"/>
          <w:lang w:bidi="en-US"/>
          <w14:ligatures w14:val="none"/>
        </w:rPr>
        <w:t>prowadziło 18 podmiotów ambulatoryjnej opieki zdrowotnej</w:t>
      </w:r>
      <w:r w:rsidRPr="003F2001">
        <w:rPr>
          <w:rFonts w:eastAsia="Times New Roman" w:cs="Times New Roman"/>
          <w:kern w:val="0"/>
          <w:szCs w:val="20"/>
          <w:lang w:bidi="en-US"/>
          <w14:ligatures w14:val="none"/>
        </w:rPr>
        <w:t xml:space="preserve">, w tym 13 przychodni (w tym 2 podległe samorządowi terytorialnemu) oraz 5 praktyk lekarskich, realizujących świadczenia finansowane ze środków publicznych. Oferta usług zdrowotnych wyraźnie koncentruje się w granicach miasta - na jego terenie znajduje się zdecydowana większość placówek ochrony zdrowia (11 przychodni i 4 praktyki lekarskie). Przychodnie świadczą szeroki katalog usług, takich jak udzielanie porad lekarskich (w tym specjalistycznych) i stomatologicznych, wykonywanie drobnych zabiegów, usług rehabilitacyjnych. Przedmiotowe placówki są dla pacjentów miejscem najczęstszego kontaktu ze służbą zdrowia, zatem niezwykle istotny jest łatwy i szybki dostęp do ich usług. Aby jednak prawidłowo ocenić skalę ich dostępności, należy odnieść liczbę przychodni do liczby ludności na danym terenie. Na 1 podmiot ambulatoryjnej opieki zdrowotnej na terenie Gminy Opole Lubelskie przypadało średnio 899 osób, wobec 1 357 osób w powiecie opolskim i 1 296 osób w województwie lubelskim. Należy jednak zauważyć, że na jedną przychodnię i praktykę w mieście przypadały 524 osoby, natomiast na obszarze wiejskim aż 2 775 osób. Wysokość przedmiotowego wskaźnika świadczy o </w:t>
      </w:r>
      <w:r w:rsidRPr="003F2001">
        <w:rPr>
          <w:rFonts w:eastAsia="Times New Roman" w:cs="Times New Roman"/>
          <w:b/>
          <w:bCs/>
          <w:color w:val="4D160F"/>
          <w:kern w:val="0"/>
          <w:szCs w:val="20"/>
          <w:lang w:bidi="en-US"/>
          <w14:ligatures w14:val="none"/>
        </w:rPr>
        <w:t>ograniczonej dostępności mieszkańców terenów wiejskich do usług opieki zdrowotnej</w:t>
      </w:r>
      <w:r w:rsidRPr="003F2001">
        <w:rPr>
          <w:rFonts w:eastAsia="Times New Roman" w:cs="Times New Roman"/>
          <w:kern w:val="0"/>
          <w:szCs w:val="20"/>
          <w:lang w:bidi="en-US"/>
          <w14:ligatures w14:val="none"/>
        </w:rPr>
        <w:t>.</w:t>
      </w:r>
    </w:p>
    <w:p w14:paraId="0BBBEC78"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2024 r. w przychodniach i praktykach udzielono 179 016 </w:t>
      </w:r>
      <w:r w:rsidRPr="003F2001">
        <w:rPr>
          <w:rFonts w:eastAsia="Times New Roman" w:cs="Times New Roman"/>
          <w:b/>
          <w:bCs/>
          <w:color w:val="4D160F"/>
          <w:kern w:val="0"/>
          <w:szCs w:val="20"/>
          <w:lang w:bidi="en-US"/>
          <w14:ligatures w14:val="none"/>
        </w:rPr>
        <w:t>porad lekarskich w ambulatoryjnej opiece zdrowotnej</w:t>
      </w:r>
      <w:r w:rsidRPr="003F2001">
        <w:rPr>
          <w:rFonts w:eastAsia="Times New Roman" w:cs="Times New Roman"/>
          <w:kern w:val="0"/>
          <w:szCs w:val="20"/>
          <w:lang w:bidi="en-US"/>
          <w14:ligatures w14:val="none"/>
        </w:rPr>
        <w:t xml:space="preserve">. Spośród porad lekarskich 51,9% (92 951) stanowiły porady udzielone w podstawowej opiece zdrowotnej, a 48,1% (86 065) – porady w opiece specjalistycznej. Na </w:t>
      </w:r>
      <w:r w:rsidRPr="003F2001">
        <w:rPr>
          <w:rFonts w:eastAsia="Times New Roman" w:cs="Times New Roman"/>
          <w:kern w:val="0"/>
          <w:szCs w:val="20"/>
          <w:lang w:bidi="en-US"/>
          <w14:ligatures w14:val="none"/>
        </w:rPr>
        <w:lastRenderedPageBreak/>
        <w:t>przestrzeni ostatnich dziesięciu lat liczba porad lekarskich udzielonych na terenie gminy zwiększyła się o 29,9% (41 223). Dane obejmujące liczbę udzielonych porad pośrednio świadczą o kondycji zdrowotnej społeczności zamieszkującej gminę. Wyraźny spadek liczby porad w roku 2020 spowodowany był pandemią COVID-19 oraz czasową samoizolacją społeczeństwa. W latach 2021-2023, wraz z poluzowaniem obostrzeń pandemicznych, liczba porad znacząco wzrosła. Zmiany liczby udzielonych porad powiązane są również powstawaniem i likwidacją placówek ochrony zdrowia.</w:t>
      </w:r>
    </w:p>
    <w:p w14:paraId="436B6154" w14:textId="7E0A91CC"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53" w:name="_Toc189166396"/>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40</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porad udzielonych w ambulatoryjnej opieki zdrowotnej na terenie Gminy Opole Lubelskie w latach 2014-2023 (szt.)</w:t>
      </w:r>
      <w:bookmarkEnd w:id="153"/>
    </w:p>
    <w:p w14:paraId="0981B40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315791DA" wp14:editId="07832CDE">
            <wp:extent cx="5760720" cy="2699385"/>
            <wp:effectExtent l="0" t="0" r="0" b="5715"/>
            <wp:docPr id="48" name="Wykres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FE42238"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7E01A89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porównaniu do pozostałych ośrodków lokalnych Opole lubelskie zajmuje drugą lokatę zarówno pod względem liczby przychodni przypadających na 10 tys. mieszkańców, jak i liczby mieszkańców przypadających na jeden podmiot ambulatoryjnej opieki zdrowotnej. Korzystniejsze wartości tych wskaźników obserwuje się jedynie w Parczewie. Na podstawie tych danych można stwierdzić, że dostępność mieszkańców gminy do podstawowych usług opieki zdrowotnej jest dobra.</w:t>
      </w:r>
    </w:p>
    <w:p w14:paraId="20AD986D" w14:textId="7F8F14D9"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54" w:name="_Toc189166352"/>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20</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Ochrona zdrowia w Gminie Opole Lubelskie oraz jednostkach porównawczych.</w:t>
      </w:r>
      <w:bookmarkEnd w:id="154"/>
    </w:p>
    <w:tbl>
      <w:tblPr>
        <w:tblStyle w:val="Tabelasiatki1jasnaakcent16"/>
        <w:tblW w:w="5000" w:type="pct"/>
        <w:tblLook w:val="04A0" w:firstRow="1" w:lastRow="0" w:firstColumn="1" w:lastColumn="0" w:noHBand="0" w:noVBand="1"/>
      </w:tblPr>
      <w:tblGrid>
        <w:gridCol w:w="2230"/>
        <w:gridCol w:w="1707"/>
        <w:gridCol w:w="1709"/>
        <w:gridCol w:w="1709"/>
        <w:gridCol w:w="1707"/>
      </w:tblGrid>
      <w:tr w:rsidR="003F2001" w:rsidRPr="003F2001" w14:paraId="404CC3E4"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0" w:type="pct"/>
            <w:vAlign w:val="center"/>
            <w:hideMark/>
          </w:tcPr>
          <w:p w14:paraId="3EBD52E8"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942" w:type="pct"/>
            <w:vAlign w:val="center"/>
            <w:hideMark/>
          </w:tcPr>
          <w:p w14:paraId="002268CD"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Przychodnie</w:t>
            </w:r>
            <w:r w:rsidRPr="003F2001">
              <w:rPr>
                <w:rFonts w:cs="Times New Roman"/>
                <w:sz w:val="16"/>
                <w:szCs w:val="16"/>
                <w:lang w:bidi="en-US"/>
              </w:rPr>
              <w:br/>
              <w:t>(szt.)</w:t>
            </w:r>
          </w:p>
        </w:tc>
        <w:tc>
          <w:tcPr>
            <w:tcW w:w="943" w:type="pct"/>
            <w:vAlign w:val="center"/>
          </w:tcPr>
          <w:p w14:paraId="431B1DC5"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Praktyki lekarskie</w:t>
            </w:r>
            <w:r w:rsidRPr="003F2001">
              <w:rPr>
                <w:rFonts w:cs="Times New Roman"/>
                <w:sz w:val="16"/>
                <w:szCs w:val="16"/>
                <w:lang w:bidi="en-US"/>
              </w:rPr>
              <w:br/>
              <w:t>(szt.)</w:t>
            </w:r>
          </w:p>
        </w:tc>
        <w:tc>
          <w:tcPr>
            <w:tcW w:w="943" w:type="pct"/>
            <w:vAlign w:val="center"/>
          </w:tcPr>
          <w:p w14:paraId="0251E93C"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Przychodnie na 10 tys. ludności</w:t>
            </w:r>
          </w:p>
          <w:p w14:paraId="1B6D5C6B"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(szt.)</w:t>
            </w:r>
          </w:p>
        </w:tc>
        <w:tc>
          <w:tcPr>
            <w:tcW w:w="942" w:type="pct"/>
            <w:vAlign w:val="center"/>
          </w:tcPr>
          <w:p w14:paraId="4D7F4280"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mieszkańcy przypadających na jeden podmiot ambulatoryjnej opieki zdrowotnej</w:t>
            </w:r>
          </w:p>
          <w:p w14:paraId="2626F9E0"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r>
      <w:tr w:rsidR="003F2001" w:rsidRPr="003F2001" w14:paraId="7D70E33A"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5C03E089"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942" w:type="pct"/>
            <w:noWrap/>
            <w:vAlign w:val="center"/>
            <w:hideMark/>
          </w:tcPr>
          <w:p w14:paraId="1BC9D86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12</w:t>
            </w:r>
          </w:p>
        </w:tc>
        <w:tc>
          <w:tcPr>
            <w:tcW w:w="943" w:type="pct"/>
            <w:vAlign w:val="center"/>
          </w:tcPr>
          <w:p w14:paraId="297F280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3</w:t>
            </w:r>
          </w:p>
        </w:tc>
        <w:tc>
          <w:tcPr>
            <w:tcW w:w="943" w:type="pct"/>
            <w:vAlign w:val="center"/>
          </w:tcPr>
          <w:p w14:paraId="0E2F7B2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8</w:t>
            </w:r>
          </w:p>
        </w:tc>
        <w:tc>
          <w:tcPr>
            <w:tcW w:w="942" w:type="pct"/>
            <w:vAlign w:val="center"/>
          </w:tcPr>
          <w:p w14:paraId="4E93214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972</w:t>
            </w:r>
          </w:p>
        </w:tc>
      </w:tr>
      <w:tr w:rsidR="003F2001" w:rsidRPr="003F2001" w14:paraId="5B5278A1"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6ECA35FB"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942" w:type="pct"/>
            <w:noWrap/>
            <w:vAlign w:val="center"/>
            <w:hideMark/>
          </w:tcPr>
          <w:p w14:paraId="5E85DF9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16</w:t>
            </w:r>
          </w:p>
        </w:tc>
        <w:tc>
          <w:tcPr>
            <w:tcW w:w="943" w:type="pct"/>
            <w:vAlign w:val="center"/>
          </w:tcPr>
          <w:p w14:paraId="50DF4BA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w:t>
            </w:r>
          </w:p>
        </w:tc>
        <w:tc>
          <w:tcPr>
            <w:tcW w:w="943" w:type="pct"/>
            <w:vAlign w:val="center"/>
          </w:tcPr>
          <w:p w14:paraId="2165BDB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7</w:t>
            </w:r>
          </w:p>
        </w:tc>
        <w:tc>
          <w:tcPr>
            <w:tcW w:w="942" w:type="pct"/>
            <w:vAlign w:val="center"/>
          </w:tcPr>
          <w:p w14:paraId="572C58A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1 243</w:t>
            </w:r>
          </w:p>
        </w:tc>
      </w:tr>
      <w:tr w:rsidR="003F2001" w:rsidRPr="003F2001" w14:paraId="1A7CD718"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30" w:type="pct"/>
            <w:shd w:val="clear" w:color="auto" w:fill="F2F2F2"/>
            <w:noWrap/>
            <w:vAlign w:val="center"/>
            <w:hideMark/>
          </w:tcPr>
          <w:p w14:paraId="05EA9088"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942" w:type="pct"/>
            <w:shd w:val="clear" w:color="auto" w:fill="F2F2F2"/>
            <w:noWrap/>
            <w:vAlign w:val="center"/>
            <w:hideMark/>
          </w:tcPr>
          <w:p w14:paraId="12B7754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13</w:t>
            </w:r>
          </w:p>
        </w:tc>
        <w:tc>
          <w:tcPr>
            <w:tcW w:w="943" w:type="pct"/>
            <w:shd w:val="clear" w:color="auto" w:fill="F2F2F2"/>
            <w:vAlign w:val="center"/>
          </w:tcPr>
          <w:p w14:paraId="231B877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5</w:t>
            </w:r>
          </w:p>
        </w:tc>
        <w:tc>
          <w:tcPr>
            <w:tcW w:w="943" w:type="pct"/>
            <w:shd w:val="clear" w:color="auto" w:fill="F2F2F2"/>
            <w:vAlign w:val="center"/>
          </w:tcPr>
          <w:p w14:paraId="7228325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8</w:t>
            </w:r>
          </w:p>
        </w:tc>
        <w:tc>
          <w:tcPr>
            <w:tcW w:w="942" w:type="pct"/>
            <w:shd w:val="clear" w:color="auto" w:fill="F2F2F2"/>
            <w:vAlign w:val="center"/>
          </w:tcPr>
          <w:p w14:paraId="0B21606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899</w:t>
            </w:r>
          </w:p>
        </w:tc>
      </w:tr>
      <w:tr w:rsidR="003F2001" w:rsidRPr="003F2001" w14:paraId="16D01609"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42546E9D"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942" w:type="pct"/>
            <w:noWrap/>
            <w:vAlign w:val="center"/>
            <w:hideMark/>
          </w:tcPr>
          <w:p w14:paraId="3C244E0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12</w:t>
            </w:r>
          </w:p>
        </w:tc>
        <w:tc>
          <w:tcPr>
            <w:tcW w:w="943" w:type="pct"/>
            <w:vAlign w:val="center"/>
          </w:tcPr>
          <w:p w14:paraId="57D2704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4</w:t>
            </w:r>
          </w:p>
        </w:tc>
        <w:tc>
          <w:tcPr>
            <w:tcW w:w="943" w:type="pct"/>
            <w:vAlign w:val="center"/>
          </w:tcPr>
          <w:p w14:paraId="3F2B53A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9</w:t>
            </w:r>
          </w:p>
        </w:tc>
        <w:tc>
          <w:tcPr>
            <w:tcW w:w="942" w:type="pct"/>
            <w:vAlign w:val="center"/>
          </w:tcPr>
          <w:p w14:paraId="7C34F60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856</w:t>
            </w:r>
          </w:p>
        </w:tc>
      </w:tr>
      <w:tr w:rsidR="003F2001" w:rsidRPr="003F2001" w14:paraId="600332C8"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30" w:type="pct"/>
            <w:noWrap/>
            <w:vAlign w:val="center"/>
            <w:hideMark/>
          </w:tcPr>
          <w:p w14:paraId="47EA0B7F"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942" w:type="pct"/>
            <w:noWrap/>
            <w:vAlign w:val="center"/>
            <w:hideMark/>
          </w:tcPr>
          <w:p w14:paraId="78C7D1C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13</w:t>
            </w:r>
          </w:p>
        </w:tc>
        <w:tc>
          <w:tcPr>
            <w:tcW w:w="943" w:type="pct"/>
            <w:vAlign w:val="center"/>
          </w:tcPr>
          <w:p w14:paraId="24C722B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w:t>
            </w:r>
          </w:p>
        </w:tc>
        <w:tc>
          <w:tcPr>
            <w:tcW w:w="943" w:type="pct"/>
            <w:vAlign w:val="center"/>
          </w:tcPr>
          <w:p w14:paraId="068CCB7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7</w:t>
            </w:r>
          </w:p>
        </w:tc>
        <w:tc>
          <w:tcPr>
            <w:tcW w:w="942" w:type="pct"/>
            <w:vAlign w:val="center"/>
          </w:tcPr>
          <w:p w14:paraId="6265373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1 367</w:t>
            </w:r>
          </w:p>
        </w:tc>
      </w:tr>
    </w:tbl>
    <w:p w14:paraId="75C016A4"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653198A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Stacjonarna opieka zdrowotna</w:t>
      </w:r>
      <w:r w:rsidRPr="003F2001">
        <w:rPr>
          <w:rFonts w:eastAsia="Times New Roman" w:cs="Times New Roman"/>
          <w:kern w:val="0"/>
          <w:szCs w:val="20"/>
          <w:lang w:bidi="en-US"/>
          <w14:ligatures w14:val="none"/>
        </w:rPr>
        <w:t xml:space="preserve"> jest formą opieki medycznej sprawowaną całodobowo w warunkach stacjonarnych w zakładach takich jak szpitale ogólne, psychiatryczne, zakłady opiekuńczo-lecznicze i pielęgnacyjno-opiekuńcze typu ogólnego i psychiatrycznego, hospicja </w:t>
      </w:r>
      <w:r w:rsidRPr="003F2001">
        <w:rPr>
          <w:rFonts w:eastAsia="Times New Roman" w:cs="Times New Roman"/>
          <w:kern w:val="0"/>
          <w:szCs w:val="20"/>
          <w:lang w:bidi="en-US"/>
          <w14:ligatures w14:val="none"/>
        </w:rPr>
        <w:lastRenderedPageBreak/>
        <w:t>stacjonarne, oddziały opieki paliatywnej, stacjonarne zakłady rehabilitacji leczniczej, zakłady lecznictwa uzdrowiskowego, ośrodki rehabilitacyjne dla uzależnionych od substancji psychoaktywnych, ośrodki MONAR, ośrodki leczenia odwykowego, a także krajowe i regionalne ośrodki psychiatrii sądowej.</w:t>
      </w:r>
    </w:p>
    <w:p w14:paraId="3ABAEB8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Opieka szpitalna Gminy Opole Lubelskie, a także całego powiatu opolskiego, oparta jest o </w:t>
      </w:r>
      <w:r w:rsidRPr="003F2001">
        <w:rPr>
          <w:rFonts w:eastAsia="Times New Roman" w:cs="Times New Roman"/>
          <w:b/>
          <w:bCs/>
          <w:color w:val="4D160F"/>
          <w:kern w:val="0"/>
          <w:szCs w:val="20"/>
          <w:lang w:bidi="en-US"/>
          <w14:ligatures w14:val="none"/>
        </w:rPr>
        <w:t>Powiatowe Centrum Zdrowia Sp. z o. o. w Opolu Lubelskim</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(powstałe w wyniku przekształcenia w 2013 roku Samodzielnego Publicznego Zakładu Opieki Zdrowotnej w Opolu Lubelskim). Powiatowe Centrum Zdrowia prowadzi działalność leczniczą poprzez wyodrębnione Zakłady Lecznicze: Szpital, Ambulatorium, Diagnostykę, Centrum Rehabilitacji, Centrum Opieki Długoterminowej oraz Centrum Psychosomatyczne. W ramach Powiatowego Centrum Zdrowia w zakresie opieki stacjonarnej funkcjonują:</w:t>
      </w:r>
    </w:p>
    <w:p w14:paraId="2FE998B8" w14:textId="77777777" w:rsidR="003F2001" w:rsidRPr="003F2001" w:rsidRDefault="003F2001">
      <w:pPr>
        <w:numPr>
          <w:ilvl w:val="0"/>
          <w:numId w:val="7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Oddział Chirurgiczny z Pododdziałem Ginekologii Operacyjnej oraz Pododdziałem Otolaryngologii i Laryngologii Onkologicznej – 32 łóżka,</w:t>
      </w:r>
    </w:p>
    <w:p w14:paraId="2F94910E" w14:textId="77777777" w:rsidR="003F2001" w:rsidRPr="003F2001" w:rsidRDefault="003F2001">
      <w:pPr>
        <w:numPr>
          <w:ilvl w:val="0"/>
          <w:numId w:val="7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Oddział Ortopedii i Traumatologii Narządu Ruchu – 18 łóżek;</w:t>
      </w:r>
    </w:p>
    <w:p w14:paraId="718D8120" w14:textId="77777777" w:rsidR="003F2001" w:rsidRPr="003F2001" w:rsidRDefault="003F2001">
      <w:pPr>
        <w:numPr>
          <w:ilvl w:val="0"/>
          <w:numId w:val="7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Oddział Chorób Wewnętrznych z Pododdziałem Kardiologii oraz Pododdziałem Endokrynologicznym – 34 łóżka;</w:t>
      </w:r>
    </w:p>
    <w:p w14:paraId="5C9FADEC" w14:textId="77777777" w:rsidR="003F2001" w:rsidRPr="003F2001" w:rsidRDefault="003F2001">
      <w:pPr>
        <w:numPr>
          <w:ilvl w:val="0"/>
          <w:numId w:val="7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Oddział Rehabilitacyjny – 25 łóżek;</w:t>
      </w:r>
    </w:p>
    <w:p w14:paraId="74E015F7" w14:textId="77777777" w:rsidR="003F2001" w:rsidRPr="003F2001" w:rsidRDefault="003F2001">
      <w:pPr>
        <w:numPr>
          <w:ilvl w:val="0"/>
          <w:numId w:val="7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Oddział Medycyny Paliatywnej – 14 łóżek;</w:t>
      </w:r>
    </w:p>
    <w:p w14:paraId="53B79FC3" w14:textId="77777777" w:rsidR="003F2001" w:rsidRPr="003F2001" w:rsidRDefault="003F2001">
      <w:pPr>
        <w:numPr>
          <w:ilvl w:val="0"/>
          <w:numId w:val="78"/>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Zakład Opiekuńczo- Leczniczy – 25 łóżek.</w:t>
      </w:r>
    </w:p>
    <w:p w14:paraId="4678DF9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Dodatkowo mieszkańcy powiatu gminy i powiatu mogą skorzystać z bogatej oferty </w:t>
      </w:r>
      <w:r w:rsidRPr="003F2001">
        <w:rPr>
          <w:rFonts w:eastAsia="Times New Roman" w:cs="Times New Roman"/>
          <w:b/>
          <w:bCs/>
          <w:color w:val="4D160F"/>
          <w:kern w:val="0"/>
          <w:szCs w:val="20"/>
          <w:lang w:bidi="en-US"/>
          <w14:ligatures w14:val="none"/>
        </w:rPr>
        <w:t>poradni specjalistycznych</w:t>
      </w:r>
      <w:r w:rsidRPr="003F2001">
        <w:rPr>
          <w:rFonts w:eastAsia="Times New Roman" w:cs="Times New Roman"/>
          <w:kern w:val="0"/>
          <w:szCs w:val="20"/>
          <w:lang w:bidi="en-US"/>
          <w14:ligatures w14:val="none"/>
        </w:rPr>
        <w:t xml:space="preserve">: chirurgicznej, położniczo-ginekologicznej, otolaryngologicznej, neurologicznej, reumatologicznej, okulistycznej, urologicznej, ortopedycznej, onkologicznej, endokrynologicznej, kardiologicznej, alergologicznej, medycyny pracy, zdrowia psychicznego, terapii uzależnienia od alkoholu i współuzależnienia. Powiatowe Centrum Zdrowia świadczy również usługi z zakresu podstawowej opieki zdrowotnej oraz badań diagnostycznych. </w:t>
      </w:r>
    </w:p>
    <w:p w14:paraId="2625B4D0"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Zgodnie z „Wojewódzkim Planem Transformacji Województwa Lubelskiego na lata 2022-2026” z epidemiologicznego punktu widzenia, </w:t>
      </w:r>
      <w:r w:rsidRPr="003F2001">
        <w:rPr>
          <w:rFonts w:eastAsia="Times New Roman" w:cs="Times New Roman"/>
          <w:b/>
          <w:bCs/>
          <w:color w:val="4D160F"/>
          <w:kern w:val="0"/>
          <w:szCs w:val="20"/>
          <w:lang w:bidi="en-US"/>
          <w14:ligatures w14:val="none"/>
        </w:rPr>
        <w:t>najistotniejszymi problemami zdrowotnymi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w województwie lubelskim są i w najbliższej przyszłości nadal będą choroby układu krążenia, a wśród nich choroba niedokrwienna serca oraz udary, a także nowotwory. Należy również zwrócić większą uwagę na takie problemy zdrowotne, jak choroba Alzheimera i inne choroby otępienne, cukrzyca i choroby nerek czy zaburzenia depresyjne, dla których w perspektywie kolejnych kilku lat prognozowany jest wyraźny wzrost wskaźników chorobowości. W związku z powyższym, zgodnie z przedmiotowym dokumentem, niezbędne jest podjęcie działań, prowadzących do:</w:t>
      </w:r>
    </w:p>
    <w:p w14:paraId="0F966210" w14:textId="77777777" w:rsidR="003F2001" w:rsidRPr="003F2001" w:rsidRDefault="003F2001">
      <w:pPr>
        <w:numPr>
          <w:ilvl w:val="0"/>
          <w:numId w:val="6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poprawy skuteczności działań z zakresu promocji zdrowia, w tym profilaktyki chorób oraz zwiększenia świadomości zdrowotnej mieszkańców regionu,</w:t>
      </w:r>
    </w:p>
    <w:p w14:paraId="173CB2C4" w14:textId="77777777" w:rsidR="003F2001" w:rsidRPr="003F2001" w:rsidRDefault="003F2001">
      <w:pPr>
        <w:numPr>
          <w:ilvl w:val="0"/>
          <w:numId w:val="6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poprawy zgłaszalności do populacyjnych programów profilaktycznych,</w:t>
      </w:r>
    </w:p>
    <w:p w14:paraId="0EA2D077" w14:textId="77777777" w:rsidR="003F2001" w:rsidRPr="003F2001" w:rsidRDefault="003F2001">
      <w:pPr>
        <w:numPr>
          <w:ilvl w:val="0"/>
          <w:numId w:val="6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zwiększenia koordynacji pomiędzy poszczególnymi zakresami świadczeń: podstawową opieką zdrowotną, ambulatoryjną opieką specjalistyczną, leczeniem szpitalnym i rehabilitacją oraz pozostałymi.</w:t>
      </w:r>
    </w:p>
    <w:p w14:paraId="17240EB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obszarze lecznictwa szpitalnego istnieje konieczność dostosowania opieki szpitalnej do potrzeb starzejącej się populacji mieszkańców województwa oraz rozwoju infrastruktury podmiotów leczniczych w zakresach takich jak: onkologia, kardiologia, kardiochirurgia, chirurgia naczyniowa, neurologia, neurochirurgia, ale również m. in. w zakresie diabetologii, nefrologii, endokrynologii, gastroenterologii, reumatologii oraz gruźlicy i chorób płuc, co potwierdza sytuacja epidemiologiczna w zakresie tych chorób oraz aktualne prognozy. Nadal odnotowuje się długi czas oczekiwania na wybrane świadczenia szpitalne, zbyt dużą liczbę hospitalizacji, niedobory kadrowe, wzrost liczby zakażeń i zgonów w wyniku zakażeń </w:t>
      </w:r>
      <w:r w:rsidRPr="003F2001">
        <w:rPr>
          <w:rFonts w:eastAsia="Times New Roman" w:cs="Times New Roman"/>
          <w:kern w:val="0"/>
          <w:szCs w:val="20"/>
          <w:lang w:bidi="en-US"/>
          <w14:ligatures w14:val="none"/>
        </w:rPr>
        <w:lastRenderedPageBreak/>
        <w:t>szpitalnych. W województwie lubelskim w obszarze opieki psychiatrycznej i leczenia uzależnień dla dorosłych oraz dzieci i młodzieży, należy podjąć działania zmierzające do zapewnienia adekwatnego do potrzeb mieszkańców dostępu do tych świadczeń zdrowotnych, z uwagi na obecne w województwie nierównomierne rozmieszczenie podmiotów funkcjonujących w tym zakresie. Ponadto prognozy epidemiologiczne zawarte w ogólnopolskiej mapie potrzeb zdrowotnych pokazują, że problemy zdrowotne w tym obszarze będą narastać w przyszłości, dlatego niezwykle ważną kwestią jest promocja zdrowia psychicznego oraz poprawa dostępności do wszystkich form opieki psychiatrycznej w regionie. Zapotrzebowanie na świadczenia rehabilitacyjne w województwie lubelskim będzie wzrastać. Konieczny jest zatem rozwój różnych form opieki rehabilitacyjnej i jej skoordynowanie z ambulatoryjnym leczeniem specjalistycznym i leczeniem szpitalnym. Z uwagi na niekorzystne prognozy epidemiologiczne dla zachorowalności na nowotwory niezbędne jest zapewnienie adekwatnego do potrzeb dostępu do świadczeń opieki paliatywnej i hospicyjnej w województwie lubelskim oraz zwiększenie finansowania tego obszaru. Ponadto należy podjąć działania zmierzające do poprawy dostępności do świadczeń udzielanych przez Nocną i Świąteczną Opiekę Zdrowotną w celu odciążenia Szpitalnych Oddziałów Ratunkowych oraz zespołów ratownictwa medycznego. Ważnym wyzwaniem na najbliższe lata jest zapewnienie dostępu do wysokiej jakości sprzętu medycznego (w tym odnowienie aktualnej bazy oraz jej poszerzenie w obszarach, które będą tego wymagały). Niezbędna będzie również poprawa warunków wykonywania świadczeń zdrowotnych poprzez modernizację infrastruktury podmiotów wykonujących działalność leczniczą</w:t>
      </w:r>
      <w:r w:rsidRPr="003F2001">
        <w:rPr>
          <w:rFonts w:eastAsia="Times New Roman" w:cs="Times New Roman"/>
          <w:kern w:val="0"/>
          <w:szCs w:val="20"/>
          <w:vertAlign w:val="superscript"/>
          <w:lang w:bidi="en-US"/>
          <w14:ligatures w14:val="none"/>
        </w:rPr>
        <w:footnoteReference w:id="8"/>
      </w:r>
      <w:r w:rsidRPr="003F2001">
        <w:rPr>
          <w:rFonts w:eastAsia="Times New Roman" w:cs="Times New Roman"/>
          <w:kern w:val="0"/>
          <w:szCs w:val="20"/>
          <w:lang w:bidi="en-US"/>
          <w14:ligatures w14:val="none"/>
        </w:rPr>
        <w:t>.</w:t>
      </w:r>
    </w:p>
    <w:p w14:paraId="5D565AA0" w14:textId="77777777" w:rsidR="003F2001" w:rsidRPr="003F2001" w:rsidRDefault="003F2001" w:rsidP="003F2001">
      <w:pPr>
        <w:spacing w:line="276" w:lineRule="auto"/>
        <w:rPr>
          <w:rFonts w:eastAsia="Times New Roman" w:cs="Times New Roman"/>
          <w:color w:val="FF0000"/>
          <w:kern w:val="0"/>
          <w:szCs w:val="20"/>
          <w:lang w:bidi="en-US"/>
          <w14:ligatures w14:val="none"/>
        </w:rPr>
      </w:pPr>
      <w:r w:rsidRPr="003F2001">
        <w:rPr>
          <w:rFonts w:eastAsia="Times New Roman" w:cs="Times New Roman"/>
          <w:kern w:val="0"/>
          <w:szCs w:val="20"/>
          <w:lang w:bidi="en-US"/>
          <w14:ligatures w14:val="none"/>
        </w:rPr>
        <w:t xml:space="preserve">Postępujący proces starzenia się populacji oraz wzrost liczby zachorowań na choroby przewlekłe prognozują wzrost popytu na świadczenia zdrowotne, a tym samym zwiększenie zapotrzebowania na personel medyczny. </w:t>
      </w:r>
      <w:r w:rsidRPr="003F2001">
        <w:rPr>
          <w:rFonts w:eastAsia="Times New Roman" w:cs="Times New Roman"/>
          <w:b/>
          <w:bCs/>
          <w:color w:val="4D160F"/>
          <w:kern w:val="0"/>
          <w:szCs w:val="20"/>
          <w:lang w:bidi="en-US"/>
          <w14:ligatures w14:val="none"/>
        </w:rPr>
        <w:t xml:space="preserve">Zasoby kadrowe </w:t>
      </w:r>
      <w:r w:rsidRPr="003F2001">
        <w:rPr>
          <w:rFonts w:eastAsia="Times New Roman" w:cs="Times New Roman"/>
          <w:kern w:val="0"/>
          <w:szCs w:val="20"/>
          <w:lang w:bidi="en-US"/>
          <w14:ligatures w14:val="none"/>
        </w:rPr>
        <w:t>są ważnym elementem stanowiącym o skuteczności funkcjonowania każdego systemu opieki zdrowotnej. Efektywne wykorzystanie kadr medycznych oraz zapewnienie odpowiedniej dostępności do personelu medycznego opartego na potrzebach mieszkańców stanowi jedno z najważniejszych wyzwań współczesnej polityki zdrowotnej. Dostępność ta zależy m.in. od rozmieszczenia przestrzennego kadry pracującej bezpośrednio z pacjentem. Według danych GUS w 2022 r. w powiecie opolskim pracowało (według podstawowego miejsca pracy) 63 lekarzy, 27 lekarzy dentystów, 196 pielęgniarek oraz 17 położnych. Powiat opolski wypada dość niekorzystanie w porównaniu do województwa lubelskiego pod względem wskaźnika prezentujących liczbę lekarzy według podstawowego miejsca pracy na 10 tys. mieszkańców. Na terenie powiatu na 10 tys. mieszkańców przypada jedynie 11 lekarzy, wobec 38 na terenie województwa (17. miejsce w regionie wśród powiatów ziemskich). Nieco lepiej prezentują się dane dotyczące liczby pielęgniarek i położnych, które przypadają na 10 tys. mieszkańców – wskaźnik ten na terenie powiatu wynosi 38, wobec 76 w województwie lubelskim (13. miejsce w regionie).</w:t>
      </w:r>
    </w:p>
    <w:p w14:paraId="54DF908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Nie należy również zapominać, że istotnym problemem zarówno w województwie lubelskim, jak i w całej w Polsce, jest rosnąca liczba lekarzy znajdujących się w wieku emerytalnym. Niedobór personelu medycznego, zarówno lekarzy jak i pielęgniarek, również w kontekście wzrostu popytu na usługi zdrowotne pod wpływem zmian demograficznych, stanowi poważne wyznanie stojące przed systemem opieki zdrowotnej.</w:t>
      </w:r>
    </w:p>
    <w:p w14:paraId="1FB8742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terenie gminy w 2023 r. funkcjonowało </w:t>
      </w:r>
      <w:r w:rsidRPr="003F2001">
        <w:rPr>
          <w:rFonts w:eastAsia="Times New Roman" w:cs="Times New Roman"/>
          <w:b/>
          <w:bCs/>
          <w:color w:val="4D160F"/>
          <w:kern w:val="0"/>
          <w:szCs w:val="20"/>
          <w:lang w:bidi="en-US"/>
          <w14:ligatures w14:val="none"/>
        </w:rPr>
        <w:t>7 ogólnodostępnych aptek</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zlokalizowanych na obszarze miasta oraz jeden punkt apteczny znajdujący się na terenie wiejskim.</w:t>
      </w:r>
    </w:p>
    <w:p w14:paraId="024D6965" w14:textId="25921197" w:rsidR="003F2001" w:rsidRPr="003F2001" w:rsidRDefault="003F2001" w:rsidP="00941F1D">
      <w:pPr>
        <w:pStyle w:val="Nagwek2"/>
      </w:pPr>
      <w:bookmarkStart w:id="155" w:name="_Toc173435467"/>
      <w:bookmarkStart w:id="156" w:name="_Toc191908782"/>
      <w:r>
        <w:lastRenderedPageBreak/>
        <w:t xml:space="preserve">2.6.3 </w:t>
      </w:r>
      <w:r w:rsidRPr="003F2001">
        <w:t>Pomoc społeczna</w:t>
      </w:r>
      <w:bookmarkEnd w:id="155"/>
      <w:bookmarkEnd w:id="156"/>
    </w:p>
    <w:p w14:paraId="6ED0FE03"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Pomoc społeczna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ma na celu umożliwienie osobom i rodzinom przezwyciężenie trudnych sytuacji życiowych, których nie są one w stanie pokonać, wykorzystując własne uprawnienia, zasoby i możliwości. Pomoc społeczna wspiera osoby i rodziny w wysiłkach zmierzających do zaspokojenia niezbędnych potrzeb i umożliwia im życie w godnych warunkach. Zgodnie z polskim prawodawstwem większość działań pomocowych umiejscowionych jest na poziomie gminy, a ośrodki pomocy społecznej i centra usług społecznych można uznać za wiodące i stanowiące podstawowe źródło wsparcia dla rodzin znajdujących się w sytuacji kryzysowej. Są instytucjami, które na poziomie lokalnym odpowiadają za koordynację działań z zakresu pomocy społecznej oraz za większość działań z zakresu polityki społecznej. Zajmują się one między innymi wypłacaniem świadczeń pieniężnych i udzielaniem wsparcia w zakresie przezwyciężania trudnej sytuacji życiowej. </w:t>
      </w:r>
    </w:p>
    <w:p w14:paraId="62ADAD6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Gminie Opole Lubelskie powyższe zadania wykonuje </w:t>
      </w:r>
      <w:r w:rsidRPr="003F2001">
        <w:rPr>
          <w:rFonts w:eastAsia="Times New Roman" w:cs="Times New Roman"/>
          <w:b/>
          <w:bCs/>
          <w:color w:val="4D160F"/>
          <w:kern w:val="0"/>
          <w:szCs w:val="20"/>
          <w:lang w:bidi="en-US"/>
          <w14:ligatures w14:val="none"/>
        </w:rPr>
        <w:t>Centrum Usług Społecznych</w:t>
      </w:r>
      <w:r w:rsidRPr="003F2001">
        <w:rPr>
          <w:rFonts w:eastAsia="Times New Roman" w:cs="Times New Roman"/>
          <w:kern w:val="0"/>
          <w:szCs w:val="20"/>
          <w:lang w:bidi="en-US"/>
          <w14:ligatures w14:val="none"/>
        </w:rPr>
        <w:t>.</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 xml:space="preserve">Centrum Usług Społecznych jako jednostka organizacyjna gminy realizuje zadania własne gminy o charakterze obowiązkowym i zlecone gminie w zakresie pomocy społecznej. Środki na realizację zadań pomocy społecznej pochodzą ze środków budżetu Gminy Opole Lubelskie i z dotacji rządowych. Jednostką realizującą zadania z zakresu pomocy społecznej oraz wspierania rodziny i systemu pieczy zastępczej na obszarze gminy jest również </w:t>
      </w:r>
      <w:r w:rsidRPr="003F2001">
        <w:rPr>
          <w:rFonts w:eastAsia="Times New Roman" w:cs="Times New Roman"/>
          <w:b/>
          <w:bCs/>
          <w:color w:val="4D160F"/>
          <w:kern w:val="0"/>
          <w:szCs w:val="20"/>
          <w:lang w:bidi="en-US"/>
          <w14:ligatures w14:val="none"/>
        </w:rPr>
        <w:t>Powiatowe Centrum Pomocy Rodzinie w Opolu Lubelskim z siedzibą w Poniatowej</w:t>
      </w:r>
      <w:r w:rsidRPr="003F2001">
        <w:rPr>
          <w:rFonts w:eastAsia="Times New Roman" w:cs="Times New Roman"/>
          <w:kern w:val="0"/>
          <w:szCs w:val="20"/>
          <w:lang w:bidi="en-US"/>
          <w14:ligatures w14:val="none"/>
        </w:rPr>
        <w:t>. W zakresie jego kompetencji znajdują się również działania z zakresu rehabilitacji zawodowej i społecznej osób niepełnosprawnych, prowadzenie specjalistycznego poradnictwa oraz prowadzenie ośrodków interwencji kryzysowej.</w:t>
      </w:r>
    </w:p>
    <w:p w14:paraId="3BE14F8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Osoby korzystające ze świadczeń pomocy społecznej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to osoby, które nie są w stanie same pokonać trudnych sytuacji życiowych, wykorzystując własne uprawnienia, zasoby i możliwości, i które korzystają ze świadczeń pomocy społecznej, takich jak:</w:t>
      </w:r>
    </w:p>
    <w:p w14:paraId="4DB5FB50" w14:textId="77777777" w:rsidR="003F2001" w:rsidRPr="003F2001" w:rsidRDefault="003F2001">
      <w:pPr>
        <w:numPr>
          <w:ilvl w:val="0"/>
          <w:numId w:val="5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świadczenia pieniężne (są to głównie zasiłki stałe, okresowe i celowe, ale także pomoc dla rodzin zastępczych i formy pomocy finansowej dla osób opuszczających rodziny zastępcze, placówki opiekuńczo–wychowawcze i inne),</w:t>
      </w:r>
    </w:p>
    <w:p w14:paraId="59770826" w14:textId="77777777" w:rsidR="003F2001" w:rsidRPr="003F2001" w:rsidRDefault="003F2001">
      <w:pPr>
        <w:numPr>
          <w:ilvl w:val="0"/>
          <w:numId w:val="59"/>
        </w:numPr>
        <w:spacing w:after="160" w:line="276" w:lineRule="auto"/>
        <w:ind w:left="426" w:hanging="284"/>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świadczenia niepieniężne (jest to pomoc w formie: schronienia, posiłku, ubrania, usług opiekuńczych, pracy socjalnej, poradnictwa specjalistycznego w szczególności prawnego, psychologicznego, pedagogicznego, a także w formie pobytu w ośrodkach wsparcia).</w:t>
      </w:r>
    </w:p>
    <w:p w14:paraId="46807CB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2022 r. ze środowiskowej pomocy społecznej skorzystało 328 gospodarstw domowych, w tym 251 gospodarstw z dochodem poniżej kryterium dochodowego. </w:t>
      </w:r>
      <w:r w:rsidRPr="003F2001">
        <w:rPr>
          <w:rFonts w:eastAsia="Times New Roman" w:cs="Times New Roman"/>
          <w:b/>
          <w:bCs/>
          <w:color w:val="4D160F"/>
          <w:kern w:val="0"/>
          <w:szCs w:val="20"/>
          <w:lang w:bidi="en-US"/>
          <w14:ligatures w14:val="none"/>
        </w:rPr>
        <w:t>Liczba beneficjentów środowiskowej pomocy społecznej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na terenie gminy w 2022 r. wyniosła 638 osób i była o 742 osoby mniejsza niż w 2013 r. (52,1%). </w:t>
      </w:r>
    </w:p>
    <w:p w14:paraId="4A3D22F7"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26733732" w14:textId="251B43C7"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57" w:name="_Toc189166397"/>
      <w:r w:rsidRPr="003F2001">
        <w:rPr>
          <w:rFonts w:eastAsia="Calibri" w:cs="Times New Roman"/>
          <w:b/>
          <w:bCs/>
          <w:color w:val="7B230B"/>
          <w:kern w:val="0"/>
          <w:sz w:val="16"/>
          <w:szCs w:val="19"/>
          <w14:ligatures w14:val="none"/>
        </w:rPr>
        <w:lastRenderedPageBreak/>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41</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beneficjentów środowiskowej pomocy społecznej na terenie Gminy Opole Lubelskie w latach 2013-2022 (osoby)</w:t>
      </w:r>
      <w:bookmarkEnd w:id="157"/>
    </w:p>
    <w:p w14:paraId="2D194E5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4E5CFDDD" wp14:editId="6083F07C">
            <wp:extent cx="5760720" cy="2699385"/>
            <wp:effectExtent l="0" t="0" r="0" b="5715"/>
            <wp:docPr id="49" name="Wykres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EDFE70E"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2EAFD070"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t>Zasięg korzystania z pomocy społecznej</w:t>
      </w:r>
      <w:r w:rsidRPr="003F2001">
        <w:rPr>
          <w:rFonts w:eastAsia="Times New Roman" w:cs="Times New Roman"/>
          <w:kern w:val="0"/>
          <w:szCs w:val="20"/>
          <w:lang w:bidi="en-US"/>
          <w14:ligatures w14:val="none"/>
        </w:rPr>
        <w:t xml:space="preserve">, czyli udział beneficjentów pomocy społecznej w ogólnej liczbie ludności na terenie gminy w latach 2013-2022 zmniejszył się o 3,8 pkt proc. i wyniósł 4,2% (wobec 3,2% w powiecie opolskim oraz 3,8% w województwie lubelskim). Wśród </w:t>
      </w:r>
      <w:r w:rsidRPr="003F2001">
        <w:rPr>
          <w:rFonts w:eastAsia="Times New Roman" w:cs="Times New Roman"/>
          <w:b/>
          <w:bCs/>
          <w:color w:val="4D160F"/>
          <w:kern w:val="0"/>
          <w:szCs w:val="20"/>
          <w:lang w:bidi="en-US"/>
          <w14:ligatures w14:val="none"/>
        </w:rPr>
        <w:t>przyczyn korzystania z pomocy społecznej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w gminie najczęściej powtarzają się następujące zjawiska: ubóstwo, bezrobocie, niepełnosprawność, długotrwała lub ciężka choroba, alkoholizm, bezradność w sprawach opiekuńczo-wychowawczych i prowadzenia gospodarstwa domowego oraz potrzeba ochrony macierzyństwa. W rodzinach występuje jednocześnie kilka powodów przyznania pomocy społecznej.</w:t>
      </w:r>
    </w:p>
    <w:p w14:paraId="29DC360D" w14:textId="77EC20BC"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58" w:name="_Toc189166398"/>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42</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rodzin oraz liczba dzieci w wieku do lat 17, na które rodzice otrzymują zasiłek rodzinny na terenie Gminy Opole Lubelskie w latach 2013-2022 (osoby)</w:t>
      </w:r>
      <w:bookmarkEnd w:id="158"/>
    </w:p>
    <w:p w14:paraId="001250A4"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40AD9FC9" wp14:editId="5FD7BA95">
            <wp:extent cx="5760720" cy="2699385"/>
            <wp:effectExtent l="0" t="0" r="0" b="5715"/>
            <wp:docPr id="50" name="Wykres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9AC54BB"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433B69C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2022 r. na terenie gminy ze </w:t>
      </w:r>
      <w:r w:rsidRPr="003F2001">
        <w:rPr>
          <w:rFonts w:eastAsia="Times New Roman" w:cs="Times New Roman"/>
          <w:b/>
          <w:bCs/>
          <w:color w:val="4D160F"/>
          <w:kern w:val="0"/>
          <w:szCs w:val="20"/>
          <w:lang w:bidi="en-US"/>
          <w14:ligatures w14:val="none"/>
        </w:rPr>
        <w:t>świadczeń rodzinnych na dzieci</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skorzystało 439 rodzin, a liczba dzieci do lat 17 na które przyznano zasiłek rodzinny wyniosła 921. </w:t>
      </w:r>
    </w:p>
    <w:p w14:paraId="595577E4"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3EE5510D"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 xml:space="preserve">Według danych GUS w ostatnim dziesięcioleciu liczba rodzin otrzymujących zasiłki na dzieci spadła o 644, co stanowi 40,5% rodzin otrzymujących takie zasiłki w roku 2013. Analogicznie w latach 2013-2022 zanotowano spadek liczby dzieci, na które rodzice otrzymują zasiłki rodzinne – na terenie gminy wskaźnik ten był mniejszy o 85,0% w stosunku do 2013 r. </w:t>
      </w:r>
    </w:p>
    <w:p w14:paraId="7E6336C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Analizując </w:t>
      </w:r>
      <w:r w:rsidRPr="003F2001">
        <w:rPr>
          <w:rFonts w:eastAsia="Times New Roman" w:cs="Times New Roman"/>
          <w:b/>
          <w:bCs/>
          <w:color w:val="4D160F"/>
          <w:kern w:val="0"/>
          <w:szCs w:val="20"/>
          <w:lang w:bidi="en-US"/>
          <w14:ligatures w14:val="none"/>
        </w:rPr>
        <w:t>udział dzieci w wieku do lat 17, na które rodzice otrzymują zasiłek rodzinny</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w ogólnej liczbie dzieci w tym wieku (tj. w populacji osób w wieku przedprodukcyjnym), należy zauważyć, że choć w ostatnim dziesięcioleciu wartość tego wskaźnika zmniejszyła się z 53,7% w 2013 r, do 31,3% , to i tak wartość wskaźnika dla gminy była wyższa od wartości dla powiatu opolskiego (30,7%) i województwa lubelskiego (21,9%).</w:t>
      </w:r>
    </w:p>
    <w:p w14:paraId="3F39BFC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porównaniu do pozostałych ośrodków lokalnych województwa lubelskiego Opole Lubelskie wyróżnia się najwyższą wartością wskaźnika dotyczącego udziału dzieci otrzymujących zasiłek rodzinny w populacji osób w wieku przedprodukcyjnym. Relatywnie wysoki jest również wskaźnik dotyczący korzystania z pomocy społecznej – wyższą wartość odnotowano jednie w Parczewie.</w:t>
      </w:r>
    </w:p>
    <w:p w14:paraId="257EC10F" w14:textId="14F6EAE8"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59" w:name="_Toc189166353"/>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21</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Pomoc społeczna w Gminie Opole Lubelskie oraz jednostkach porównawczych.</w:t>
      </w:r>
      <w:bookmarkEnd w:id="159"/>
    </w:p>
    <w:tbl>
      <w:tblPr>
        <w:tblStyle w:val="Tabelasiatki1jasnaakcent16"/>
        <w:tblW w:w="5000" w:type="pct"/>
        <w:tblLayout w:type="fixed"/>
        <w:tblLook w:val="04A0" w:firstRow="1" w:lastRow="0" w:firstColumn="1" w:lastColumn="0" w:noHBand="0" w:noVBand="1"/>
      </w:tblPr>
      <w:tblGrid>
        <w:gridCol w:w="2266"/>
        <w:gridCol w:w="1698"/>
        <w:gridCol w:w="1700"/>
        <w:gridCol w:w="1698"/>
        <w:gridCol w:w="1700"/>
      </w:tblGrid>
      <w:tr w:rsidR="003F2001" w:rsidRPr="003F2001" w14:paraId="5CB3C05D"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0AC123C9"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937" w:type="pct"/>
            <w:vAlign w:val="center"/>
            <w:hideMark/>
          </w:tcPr>
          <w:p w14:paraId="2E868680"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Beneficjenci środowiskowej pomocy społecznej</w:t>
            </w:r>
          </w:p>
          <w:p w14:paraId="79E2A3FA"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c>
          <w:tcPr>
            <w:tcW w:w="938" w:type="pct"/>
            <w:vAlign w:val="center"/>
          </w:tcPr>
          <w:p w14:paraId="06B9B8F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Zasięg korzystania ze środowiskowej pomocy społecznej</w:t>
            </w:r>
          </w:p>
          <w:p w14:paraId="1DF99B0C"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t>
            </w:r>
          </w:p>
        </w:tc>
        <w:tc>
          <w:tcPr>
            <w:tcW w:w="937" w:type="pct"/>
            <w:vAlign w:val="center"/>
          </w:tcPr>
          <w:p w14:paraId="0BBDE17F"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Dzieci w wieku do lat 17, na które rodzice otrzymują zasiłek rodzinny</w:t>
            </w:r>
          </w:p>
          <w:p w14:paraId="0E807937"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c>
          <w:tcPr>
            <w:tcW w:w="938" w:type="pct"/>
            <w:vAlign w:val="center"/>
          </w:tcPr>
          <w:p w14:paraId="71B6EFAB"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Udział dzieci w wieku do lat 17, na które rodzice otrzymują zasiłek rodzinny w ogólnej liczbie dzieci w tym wieku</w:t>
            </w:r>
          </w:p>
          <w:p w14:paraId="12157846"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t>
            </w:r>
          </w:p>
        </w:tc>
      </w:tr>
      <w:tr w:rsidR="003F2001" w:rsidRPr="003F2001" w14:paraId="4134E580"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76E78CB1"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937" w:type="pct"/>
            <w:noWrap/>
            <w:vAlign w:val="center"/>
            <w:hideMark/>
          </w:tcPr>
          <w:p w14:paraId="2C0D6B7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569</w:t>
            </w:r>
          </w:p>
        </w:tc>
        <w:tc>
          <w:tcPr>
            <w:tcW w:w="938" w:type="pct"/>
            <w:vAlign w:val="center"/>
          </w:tcPr>
          <w:p w14:paraId="19E1B11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3,8</w:t>
            </w:r>
          </w:p>
        </w:tc>
        <w:tc>
          <w:tcPr>
            <w:tcW w:w="937" w:type="pct"/>
            <w:vAlign w:val="center"/>
          </w:tcPr>
          <w:p w14:paraId="0253A3EA"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504</w:t>
            </w:r>
          </w:p>
        </w:tc>
        <w:tc>
          <w:tcPr>
            <w:tcW w:w="938" w:type="pct"/>
            <w:vAlign w:val="center"/>
          </w:tcPr>
          <w:p w14:paraId="5DC3F25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20,0</w:t>
            </w:r>
          </w:p>
        </w:tc>
      </w:tr>
      <w:tr w:rsidR="003F2001" w:rsidRPr="003F2001" w14:paraId="2CCBC62F"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5552D94"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937" w:type="pct"/>
            <w:noWrap/>
            <w:vAlign w:val="center"/>
            <w:hideMark/>
          </w:tcPr>
          <w:p w14:paraId="4FC2449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347</w:t>
            </w:r>
          </w:p>
        </w:tc>
        <w:tc>
          <w:tcPr>
            <w:tcW w:w="938" w:type="pct"/>
            <w:vAlign w:val="center"/>
          </w:tcPr>
          <w:p w14:paraId="6ACDDC5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1,5</w:t>
            </w:r>
          </w:p>
        </w:tc>
        <w:tc>
          <w:tcPr>
            <w:tcW w:w="937" w:type="pct"/>
            <w:vAlign w:val="center"/>
          </w:tcPr>
          <w:p w14:paraId="768B227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397</w:t>
            </w:r>
          </w:p>
        </w:tc>
        <w:tc>
          <w:tcPr>
            <w:tcW w:w="938" w:type="pct"/>
            <w:vAlign w:val="center"/>
          </w:tcPr>
          <w:p w14:paraId="52B60ADE"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9,2</w:t>
            </w:r>
          </w:p>
        </w:tc>
      </w:tr>
      <w:tr w:rsidR="003F2001" w:rsidRPr="003F2001" w14:paraId="3F387031"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auto" w:fill="F2F2F2"/>
            <w:noWrap/>
            <w:vAlign w:val="center"/>
            <w:hideMark/>
          </w:tcPr>
          <w:p w14:paraId="207EC341"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937" w:type="pct"/>
            <w:shd w:val="clear" w:color="auto" w:fill="F2F2F2"/>
            <w:noWrap/>
            <w:vAlign w:val="center"/>
            <w:hideMark/>
          </w:tcPr>
          <w:p w14:paraId="3A1567B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683</w:t>
            </w:r>
          </w:p>
        </w:tc>
        <w:tc>
          <w:tcPr>
            <w:tcW w:w="938" w:type="pct"/>
            <w:shd w:val="clear" w:color="auto" w:fill="F2F2F2"/>
            <w:vAlign w:val="center"/>
          </w:tcPr>
          <w:p w14:paraId="6238757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4,2</w:t>
            </w:r>
          </w:p>
        </w:tc>
        <w:tc>
          <w:tcPr>
            <w:tcW w:w="937" w:type="pct"/>
            <w:shd w:val="clear" w:color="auto" w:fill="F2F2F2"/>
            <w:vAlign w:val="center"/>
          </w:tcPr>
          <w:p w14:paraId="2AFEAFC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921</w:t>
            </w:r>
          </w:p>
        </w:tc>
        <w:tc>
          <w:tcPr>
            <w:tcW w:w="938" w:type="pct"/>
            <w:shd w:val="clear" w:color="auto" w:fill="F2F2F2"/>
            <w:vAlign w:val="center"/>
          </w:tcPr>
          <w:p w14:paraId="07AAD19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lang w:bidi="en-US"/>
              </w:rPr>
            </w:pPr>
            <w:r w:rsidRPr="003F2001">
              <w:rPr>
                <w:rFonts w:cs="Times New Roman"/>
                <w:b/>
                <w:bCs/>
                <w:sz w:val="16"/>
                <w:szCs w:val="16"/>
                <w:lang w:bidi="en-US"/>
              </w:rPr>
              <w:t>31,3</w:t>
            </w:r>
          </w:p>
        </w:tc>
      </w:tr>
      <w:tr w:rsidR="003F2001" w:rsidRPr="003F2001" w14:paraId="4364BA24"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7334E0D0"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937" w:type="pct"/>
            <w:noWrap/>
            <w:vAlign w:val="center"/>
            <w:hideMark/>
          </w:tcPr>
          <w:p w14:paraId="4EA183A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805</w:t>
            </w:r>
          </w:p>
        </w:tc>
        <w:tc>
          <w:tcPr>
            <w:tcW w:w="938" w:type="pct"/>
            <w:vAlign w:val="center"/>
          </w:tcPr>
          <w:p w14:paraId="25453DE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5,8</w:t>
            </w:r>
          </w:p>
        </w:tc>
        <w:tc>
          <w:tcPr>
            <w:tcW w:w="937" w:type="pct"/>
            <w:vAlign w:val="center"/>
          </w:tcPr>
          <w:p w14:paraId="6C65317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598</w:t>
            </w:r>
          </w:p>
        </w:tc>
        <w:tc>
          <w:tcPr>
            <w:tcW w:w="938" w:type="pct"/>
            <w:vAlign w:val="center"/>
          </w:tcPr>
          <w:p w14:paraId="0126AA6D"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23,9</w:t>
            </w:r>
          </w:p>
        </w:tc>
      </w:tr>
      <w:tr w:rsidR="003F2001" w:rsidRPr="003F2001" w14:paraId="185861BA"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A45C6CE"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937" w:type="pct"/>
            <w:noWrap/>
            <w:vAlign w:val="center"/>
            <w:hideMark/>
          </w:tcPr>
          <w:p w14:paraId="31E895F8"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569</w:t>
            </w:r>
          </w:p>
        </w:tc>
        <w:tc>
          <w:tcPr>
            <w:tcW w:w="938" w:type="pct"/>
            <w:vAlign w:val="center"/>
          </w:tcPr>
          <w:p w14:paraId="42CE095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2,9</w:t>
            </w:r>
          </w:p>
        </w:tc>
        <w:tc>
          <w:tcPr>
            <w:tcW w:w="937" w:type="pct"/>
            <w:vAlign w:val="center"/>
          </w:tcPr>
          <w:p w14:paraId="7549E616"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704</w:t>
            </w:r>
          </w:p>
        </w:tc>
        <w:tc>
          <w:tcPr>
            <w:tcW w:w="938" w:type="pct"/>
            <w:vAlign w:val="center"/>
          </w:tcPr>
          <w:p w14:paraId="2F0CC7C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19,3</w:t>
            </w:r>
          </w:p>
        </w:tc>
      </w:tr>
    </w:tbl>
    <w:p w14:paraId="11A9E6E7"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3E0BE69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Inne podmioty z terenu Gminy Opole Lubelskie realizujące działania w zakresie pomocy społecznej i aktywizacji zawodowej osób z zaburzeniami psychicznymi, ich rodziny i bliskich to: </w:t>
      </w:r>
    </w:p>
    <w:p w14:paraId="6999EAF2" w14:textId="77777777" w:rsidR="003F2001" w:rsidRPr="003F2001" w:rsidRDefault="003F2001">
      <w:pPr>
        <w:numPr>
          <w:ilvl w:val="0"/>
          <w:numId w:val="7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Powiatowy Urząd Pracy w Opolu Lubelskiem,</w:t>
      </w:r>
    </w:p>
    <w:p w14:paraId="50D739AD" w14:textId="77777777" w:rsidR="003F2001" w:rsidRPr="003F2001" w:rsidRDefault="003F2001">
      <w:pPr>
        <w:numPr>
          <w:ilvl w:val="0"/>
          <w:numId w:val="7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Poradnia Psychologiczno-Pedagogiczna w Opolu Lubelskim,</w:t>
      </w:r>
    </w:p>
    <w:p w14:paraId="6BCC9409" w14:textId="77777777" w:rsidR="003F2001" w:rsidRPr="003F2001" w:rsidRDefault="003F2001">
      <w:pPr>
        <w:numPr>
          <w:ilvl w:val="0"/>
          <w:numId w:val="79"/>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Dzienny Dom Senior +.</w:t>
      </w:r>
    </w:p>
    <w:p w14:paraId="2258169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Do zadań </w:t>
      </w:r>
      <w:r w:rsidRPr="003F2001">
        <w:rPr>
          <w:rFonts w:eastAsia="Times New Roman" w:cs="Times New Roman"/>
          <w:b/>
          <w:bCs/>
          <w:color w:val="4D160F"/>
          <w:kern w:val="0"/>
          <w:szCs w:val="20"/>
          <w:lang w:bidi="en-US"/>
          <w14:ligatures w14:val="none"/>
        </w:rPr>
        <w:t>Poradni Psychologiczno-Pedagogicznej</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należy w szczególności diagnozowanie poziomu rozwoju, potrzeb i możliwości, zaburzeń rozwojowych i zachowań dysfunkcyjnych dzieci i młodzieży, wspomaganie dzieci i młodzieży odpowiednio do ich potrzeb rozwojowych i edukacyjnych oraz możliwości psychofizycznych (w tym niepełnosprawnych, niedostosowanych społecznie lub zagrożonych niedostosowaniem społecznym, z trudnościami w uczeniu się w tym specyficznymi trudnościami w uczeniu się, z zaburzeniami komunikacji językowej, zaburzeniami w rozwoju emocjonalno-społecznym, chorobami przewlekłymi). Na terenie Poradni prowadzona jest terapia psychologiczna i pedagogiczna dzieci i młodzieży w zależności od rozpoznanych potrzeb oraz wspomaganie ich rodzin. Do zadań placówki należy także pomoc rodzicom i nauczycielom w rozpoznawaniu i rozwijaniu indywidualnych możliwości, predyspozycji i uzdolnień dzieci, młodzieży, a także podejmowanie działań z zakresu profilaktyki uzależnień i innych problemów dzieci i młodzieży, w tym udzielanie pomocy psychologiczno-pedagogicznej dzieciom i młodzieży z grup ryzyka, znajdujących się w sytuacjach kryzysowych oraz ich rodzicom i nauczycielom.</w:t>
      </w:r>
    </w:p>
    <w:p w14:paraId="2867089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4D160F"/>
          <w:kern w:val="0"/>
          <w:szCs w:val="20"/>
          <w:lang w:bidi="en-US"/>
          <w14:ligatures w14:val="none"/>
        </w:rPr>
        <w:lastRenderedPageBreak/>
        <w:t>Dzienny Dom Senior +</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to ośrodek wsparcia o zasięgu lokalnym, powołanym do świadczenia usług na rzecz osób starszych, znajdujących się w trudnej sytuacji życiowej, samotnych emerytów i rencistów, którzy ze względu na wiek, chorobę lub niepełnosprawność wymagają częściowej opieki i pomocy w zaspokajaniu niezbędnych potrzeb życiowych. Placówka tworzy 30 miejsc i funkcjonuje przez 8 godzin dziennie. Dom świadczy usługi o charakterze: socjalnym (zapewnienie ciepłych posiłków), edukacyjnym, kulturalno-oświatowym, sportowo-rekreacyjnym, aktywizacji społecznej, terapii zajęciowej, motywacyjnym do działań na rzecz samopomocy i działań wolontariackich na rzecz innych. W ramach funkcjonowania placówki seniorzy mają zapewniony transport.</w:t>
      </w:r>
    </w:p>
    <w:p w14:paraId="13C1D7C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gminie działalność prowadzą również </w:t>
      </w:r>
      <w:r w:rsidRPr="003F2001">
        <w:rPr>
          <w:rFonts w:eastAsia="Times New Roman" w:cs="Times New Roman"/>
          <w:b/>
          <w:bCs/>
          <w:color w:val="4D160F"/>
          <w:kern w:val="0"/>
          <w:szCs w:val="20"/>
          <w:lang w:bidi="en-US"/>
          <w14:ligatures w14:val="none"/>
        </w:rPr>
        <w:t>placówki wsparcia dziennego dla dzieci</w:t>
      </w:r>
      <w:r w:rsidRPr="003F2001">
        <w:rPr>
          <w:rFonts w:eastAsia="Times New Roman" w:cs="Times New Roman"/>
          <w:kern w:val="0"/>
          <w:szCs w:val="20"/>
          <w:lang w:bidi="en-US"/>
          <w14:ligatures w14:val="none"/>
        </w:rPr>
        <w:t xml:space="preserve">, tzw. świetlice środowiskowe. W Opolu Lubelskim tego typu miejsc jest 3 i mają one za zadanie pomagać w szczególności rodzinom napotykającym trudności w wypełnianiu obowiązków wychowawczych. </w:t>
      </w:r>
    </w:p>
    <w:p w14:paraId="0E80EE34" w14:textId="10ED4603" w:rsidR="003F2001" w:rsidRPr="003F2001" w:rsidRDefault="003F2001" w:rsidP="00941F1D">
      <w:pPr>
        <w:pStyle w:val="Nagwek2"/>
      </w:pPr>
      <w:bookmarkStart w:id="160" w:name="_Toc173435468"/>
      <w:bookmarkStart w:id="161" w:name="_Toc191908783"/>
      <w:r>
        <w:t xml:space="preserve">2.6.4 </w:t>
      </w:r>
      <w:r w:rsidRPr="003F2001">
        <w:t>Kultura i sport</w:t>
      </w:r>
      <w:bookmarkEnd w:id="160"/>
      <w:bookmarkEnd w:id="161"/>
    </w:p>
    <w:p w14:paraId="033EF7B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Centra kultury, domy i ośrodki kultury są instytucjami prowadzącymi wielokierunkową działalność społeczno-kulturalną, integrują poszczególne przedsięwzięcia kulturalne, a przygotowując zróżnicowane oferty skierowane do ludzi w każdym wieku, kreują postawy aktywnego uczestnictwa w życiu społeczno-kulturalnym danej społeczności. Ponadto instytucje te zapewniają, zwłaszcza dzieciom i młodzieży, atrakcyjne formy wypełnienia wolnego czasu. </w:t>
      </w:r>
    </w:p>
    <w:p w14:paraId="21B2E60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Najprężniej instytucją kultury działającą na terenie Gminy Opole Lubelskie jest </w:t>
      </w:r>
      <w:r w:rsidRPr="003F2001">
        <w:rPr>
          <w:rFonts w:eastAsia="Times New Roman" w:cs="Times New Roman"/>
          <w:b/>
          <w:bCs/>
          <w:color w:val="4D160F"/>
          <w:kern w:val="0"/>
          <w:szCs w:val="20"/>
          <w:lang w:bidi="en-US"/>
          <w14:ligatures w14:val="none"/>
        </w:rPr>
        <w:t>Opolskie Centrum Kultury</w:t>
      </w:r>
      <w:r w:rsidRPr="003F2001">
        <w:rPr>
          <w:rFonts w:eastAsia="Times New Roman" w:cs="Times New Roman"/>
          <w:kern w:val="0"/>
          <w:szCs w:val="20"/>
          <w:lang w:bidi="en-US"/>
          <w14:ligatures w14:val="none"/>
        </w:rPr>
        <w:t>, które prowadzi wielokierunkową działalność z zakresu edukacji dzieci i młodzieży oraz aktywizację różnych środowisk. Do jego głównych zadań należy:</w:t>
      </w:r>
    </w:p>
    <w:p w14:paraId="672E6DC2" w14:textId="77777777" w:rsidR="003F2001" w:rsidRPr="003F2001" w:rsidRDefault="003F2001">
      <w:pPr>
        <w:numPr>
          <w:ilvl w:val="0"/>
          <w:numId w:val="80"/>
        </w:numPr>
        <w:spacing w:after="160" w:line="276" w:lineRule="auto"/>
        <w:ind w:left="714" w:hanging="357"/>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edukacja kulturalna oraz wychowywanie poprzez sztukę; </w:t>
      </w:r>
    </w:p>
    <w:p w14:paraId="7B35A18F" w14:textId="77777777" w:rsidR="003F2001" w:rsidRPr="003F2001" w:rsidRDefault="003F2001">
      <w:pPr>
        <w:numPr>
          <w:ilvl w:val="0"/>
          <w:numId w:val="80"/>
        </w:numPr>
        <w:spacing w:after="160" w:line="276" w:lineRule="auto"/>
        <w:ind w:left="714" w:hanging="357"/>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opieka nad zabytkami; </w:t>
      </w:r>
    </w:p>
    <w:p w14:paraId="5383F557" w14:textId="77777777" w:rsidR="003F2001" w:rsidRPr="003F2001" w:rsidRDefault="003F2001">
      <w:pPr>
        <w:numPr>
          <w:ilvl w:val="0"/>
          <w:numId w:val="80"/>
        </w:numPr>
        <w:spacing w:after="160" w:line="276" w:lineRule="auto"/>
        <w:ind w:left="714" w:hanging="357"/>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stwarzanie warunków sprzyjających rozwojowi amatorskich ruchów artystycznych; </w:t>
      </w:r>
    </w:p>
    <w:p w14:paraId="0867F755" w14:textId="77777777" w:rsidR="003F2001" w:rsidRPr="003F2001" w:rsidRDefault="003F2001">
      <w:pPr>
        <w:numPr>
          <w:ilvl w:val="0"/>
          <w:numId w:val="80"/>
        </w:numPr>
        <w:spacing w:after="160" w:line="276" w:lineRule="auto"/>
        <w:ind w:left="714" w:hanging="357"/>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wzbudzanie zainteresowania wiedzą oraz sztuką; </w:t>
      </w:r>
    </w:p>
    <w:p w14:paraId="17881A80" w14:textId="77777777" w:rsidR="003F2001" w:rsidRPr="003F2001" w:rsidRDefault="003F2001">
      <w:pPr>
        <w:numPr>
          <w:ilvl w:val="0"/>
          <w:numId w:val="80"/>
        </w:numPr>
        <w:spacing w:after="160" w:line="276" w:lineRule="auto"/>
        <w:ind w:left="714" w:hanging="357"/>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stwarzanie warunków sprzyjających rozwojowi folkloru oraz ludowego i artystycznego rękodzieła; </w:t>
      </w:r>
    </w:p>
    <w:p w14:paraId="5B6D50D4" w14:textId="77777777" w:rsidR="003F2001" w:rsidRPr="003F2001" w:rsidRDefault="003F2001">
      <w:pPr>
        <w:numPr>
          <w:ilvl w:val="0"/>
          <w:numId w:val="80"/>
        </w:numPr>
        <w:spacing w:after="160" w:line="276"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poznawanie, wzbudzanie i zaspokajanie zainteresowań oraz potrzeb związanych z kulturą.</w:t>
      </w:r>
    </w:p>
    <w:p w14:paraId="0BC2B4ED"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zakres działalności Opolskiego Centrum Kultury wchodzi również organizowanie imprez i wydarzeń plenerowych i klubowych, koncertów, spotkań autorskich, obchodów rocznicowych. W budynku Opolskiego Centrum Kultury mieści się także kino, w którym można obejrzeć najnowsze produkcje, również w technologii 3D. Centrum prowadzi ponadto zajęcia stałe m.in.: zajęcia plastyczne, zajęcia wokalne, zajęcia z gry na instrumentach dętych, próby młodzieżowej orkiestry dętej, próby Chóru Cantata, spotkania Grupy Teatralnej Pokolenie, klub seniora.</w:t>
      </w:r>
    </w:p>
    <w:p w14:paraId="47A3AEC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Ważne znaczenie w kultywowaniu i popularyzacji kultury i lokalnych tradycji mają również działające na terenie gminy </w:t>
      </w:r>
      <w:r w:rsidRPr="003F2001">
        <w:rPr>
          <w:rFonts w:eastAsia="Times New Roman" w:cs="Times New Roman"/>
          <w:b/>
          <w:bCs/>
          <w:color w:val="4D160F"/>
          <w:kern w:val="0"/>
          <w:szCs w:val="20"/>
          <w:lang w:bidi="en-US"/>
          <w14:ligatures w14:val="none"/>
        </w:rPr>
        <w:t>zespoły śpiewacze</w:t>
      </w:r>
      <w:r w:rsidRPr="003F2001">
        <w:rPr>
          <w:rFonts w:eastAsia="Times New Roman" w:cs="Times New Roman"/>
          <w:kern w:val="0"/>
          <w:szCs w:val="20"/>
          <w:lang w:bidi="en-US"/>
          <w14:ligatures w14:val="none"/>
        </w:rPr>
        <w:t xml:space="preserve">. Szczególną rolę odgrywa zespół ludowo - obrzędowy „Kalina”, który działa w Pusznie Godowskim od blisko 90 lat. Członkowie zespołu kultywują autentyczne tradycje, zwyczaje i obrzędy puszniowskiej społeczności – „Dożynki”, „Herody", „Gody Pusznowskie", „Jasełka". Wizytówką terenu jest także Dziecięcy Zespół Tańca Ludowego „Powiśloki” działający przy Zespole Szkół nr 2 w Opolu Lubelskim, uświetniający swoimi występami lokalne wydarzenia. Głównym celem działalności zespołu jest zaznajomienie dzieci i młodzieży z kulturą tańca oraz uwrażliwienie jej na piękno muzyki, słowa, </w:t>
      </w:r>
      <w:r w:rsidRPr="003F2001">
        <w:rPr>
          <w:rFonts w:eastAsia="Times New Roman" w:cs="Times New Roman"/>
          <w:kern w:val="0"/>
          <w:szCs w:val="20"/>
          <w:lang w:bidi="en-US"/>
          <w14:ligatures w14:val="none"/>
        </w:rPr>
        <w:lastRenderedPageBreak/>
        <w:t>ruchu i gestu. Uczęszczając na zajęcia zespołu folklorystycznego, dzieci i młodzież poznają kulturę narodową, urok ludowych melodii, piękno tańców i urodę strojów. Kultywowanie tradycji przyczynia się do zrozumienia własnego dziedzictwa. Repertuar zespołu bazuje na folklorze Powiśla Lubelskiego, Krzczonowskim, Łowickim, Rzeszowskim, Kurpiowskim, Śląskim, a także na polskich tańcach narodowych.</w:t>
      </w:r>
    </w:p>
    <w:p w14:paraId="6D7406F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 gminie organizowane są również wydarzenia cykliczne, w tym znanym w całym regionie Jarmark Opolski. Wydarzenie, które odbywa się w sezonie letnim ma charakter promocyjno-kulturalny, kultywujący tradycje handlowe, rzemieślnicze oraz owocowe Opola Lubelskiego. W gminie organizowane jest również wydarzenie „Szanty i Ryby”. Jest to impreza tematyczna poświęcona muzyce szantowej, żeglarstwu i wszystkiemu co związane jest z wodą i wypoczynkiem. Pierwsza edycja imprezy odbyła się w 2012 r. z inicjatywy Miejsko-Gminnego Ośrodka Kultury, Gminy Opole Lubelskie, Lokalnej Grupy Działania „Owocowy Szlak” i gospodarstwa rybnego „Pstrąg Pustelnia”. Celem imprezy jest, poza propagowaniem muzyki żeglarskiej, integracja społeczności gminy, wspólne grillowanie, bądź ognisko przy akompaniamencie gwiazd sceny szantowej.</w:t>
      </w:r>
    </w:p>
    <w:p w14:paraId="173C1E4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2023 r. Opolskie Centrum Kultury zorganizowało </w:t>
      </w:r>
      <w:r w:rsidRPr="003F2001">
        <w:rPr>
          <w:rFonts w:eastAsia="Times New Roman" w:cs="Times New Roman"/>
          <w:b/>
          <w:bCs/>
          <w:color w:val="4D160F"/>
          <w:kern w:val="0"/>
          <w:szCs w:val="20"/>
          <w:lang w:bidi="en-US"/>
          <w14:ligatures w14:val="none"/>
        </w:rPr>
        <w:t>92 imprezy</w:t>
      </w:r>
      <w:r w:rsidRPr="003F2001">
        <w:rPr>
          <w:rFonts w:eastAsia="Times New Roman" w:cs="Times New Roman"/>
          <w:kern w:val="0"/>
          <w:szCs w:val="20"/>
          <w:lang w:bidi="en-US"/>
          <w14:ligatures w14:val="none"/>
        </w:rPr>
        <w:t xml:space="preserve">, w których wzięło udział łącznie </w:t>
      </w:r>
      <w:r w:rsidRPr="003F2001">
        <w:rPr>
          <w:rFonts w:eastAsia="Times New Roman" w:cs="Times New Roman"/>
          <w:b/>
          <w:bCs/>
          <w:color w:val="4D160F"/>
          <w:kern w:val="0"/>
          <w:szCs w:val="20"/>
          <w:lang w:bidi="en-US"/>
          <w14:ligatures w14:val="none"/>
        </w:rPr>
        <w:t>22 010 uczestników</w:t>
      </w:r>
      <w:r w:rsidRPr="003F2001">
        <w:rPr>
          <w:rFonts w:eastAsia="Times New Roman" w:cs="Times New Roman"/>
          <w:kern w:val="0"/>
          <w:szCs w:val="20"/>
          <w:lang w:bidi="en-US"/>
          <w14:ligatures w14:val="none"/>
        </w:rPr>
        <w:t xml:space="preserve">. Najczęściej organizowane był koncerty, warsztaty, konkursy, prelekcje, spotkania. Należy przy tym zaznaczyć, że w ostatnim dziesięcioleciu zdecydowanie wzrosła zarówno liczba organizowanych imprez, jak też osób w nich uczestniczących. Spadek liczby organizowanych wydarzeń i ich uczestników w latach 2020-2021 spowodowany był pandemią COVID-19 oraz wprowadzonymi ograniczeniami związanymi z sytuacją epidemiologiczną. </w:t>
      </w:r>
    </w:p>
    <w:p w14:paraId="78635174" w14:textId="3A02C718"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62" w:name="_Toc189166399"/>
      <w:r w:rsidRPr="003F2001">
        <w:rPr>
          <w:rFonts w:eastAsia="Calibri" w:cs="Times New Roman"/>
          <w:b/>
          <w:bCs/>
          <w:color w:val="7B230B"/>
          <w:kern w:val="0"/>
          <w:sz w:val="16"/>
          <w:szCs w:val="19"/>
          <w14:ligatures w14:val="none"/>
        </w:rPr>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43</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imprez organizowanych przez ośrodek kultury oraz osób w nich uczestniczących na terenie Gminy Opole Lubelskie w latach 2014-2023 (szt., osoby)</w:t>
      </w:r>
      <w:bookmarkEnd w:id="162"/>
    </w:p>
    <w:p w14:paraId="1538B50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721DDACA" wp14:editId="7E5F7077">
            <wp:extent cx="5760720" cy="2699385"/>
            <wp:effectExtent l="0" t="0" r="0" b="5715"/>
            <wp:docPr id="15" name="Wykres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FC573F-0B60-4ADD-9C77-E043A7628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B864209"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28A0215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Jednostkami realizującymi zadania z zakresu kultury są również </w:t>
      </w:r>
      <w:r w:rsidRPr="003F2001">
        <w:rPr>
          <w:rFonts w:eastAsia="Times New Roman" w:cs="Times New Roman"/>
          <w:b/>
          <w:bCs/>
          <w:color w:val="4D160F"/>
          <w:kern w:val="0"/>
          <w:szCs w:val="20"/>
          <w:lang w:bidi="en-US"/>
          <w14:ligatures w14:val="none"/>
        </w:rPr>
        <w:t>biblioteki publiczne</w:t>
      </w:r>
      <w:r w:rsidRPr="003F2001">
        <w:rPr>
          <w:rFonts w:eastAsia="Times New Roman" w:cs="Times New Roman"/>
          <w:kern w:val="0"/>
          <w:szCs w:val="20"/>
          <w:lang w:bidi="en-US"/>
          <w14:ligatures w14:val="none"/>
        </w:rPr>
        <w:t>, których na terenie Gminy Opole Lubelskie w 2023 r. funkcjonowało dwie: Miejsko-Gminna Biblioteka Publiczna w Opolu Lubelskim oraz Powiatowa Biblioteka Publiczna w Opolu Lubelskim.</w:t>
      </w:r>
    </w:p>
    <w:p w14:paraId="222C1126"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0F9AB307" w14:textId="116B7EB7"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63" w:name="_Toc189166400"/>
      <w:r w:rsidRPr="003F2001">
        <w:rPr>
          <w:rFonts w:eastAsia="Calibri" w:cs="Times New Roman"/>
          <w:b/>
          <w:bCs/>
          <w:color w:val="7B230B"/>
          <w:kern w:val="0"/>
          <w:sz w:val="16"/>
          <w:szCs w:val="19"/>
          <w14:ligatures w14:val="none"/>
        </w:rPr>
        <w:lastRenderedPageBreak/>
        <w:t xml:space="preserve">Wykres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Wykres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44</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Liczba czytelników bibliotek na terenie Gminy Opole Lubelskie w latach 2014-2023 (osoby)</w:t>
      </w:r>
      <w:bookmarkEnd w:id="163"/>
    </w:p>
    <w:p w14:paraId="3CD2CD50"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2E6A7374" wp14:editId="44DBE41C">
            <wp:extent cx="5760720" cy="2699385"/>
            <wp:effectExtent l="0" t="0" r="0" b="5715"/>
            <wp:docPr id="16" name="Wykres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E1B519F"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79173F9D"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Biblioteki publiczne dysponowały księgozbiorem składającym się z 56 483 woluminów. W placówkach bibliotecznych w 2023 r. było zarejestrowanych </w:t>
      </w:r>
      <w:r w:rsidRPr="003F2001">
        <w:rPr>
          <w:rFonts w:eastAsia="Times New Roman" w:cs="Times New Roman"/>
          <w:b/>
          <w:bCs/>
          <w:color w:val="4D160F"/>
          <w:kern w:val="0"/>
          <w:szCs w:val="20"/>
          <w:lang w:bidi="en-US"/>
          <w14:ligatures w14:val="none"/>
        </w:rPr>
        <w:t>1 443 czytelników</w:t>
      </w:r>
      <w:r w:rsidRPr="003F2001">
        <w:rPr>
          <w:rFonts w:eastAsia="Times New Roman" w:cs="Times New Roman"/>
          <w:kern w:val="0"/>
          <w:szCs w:val="20"/>
          <w:lang w:bidi="en-US"/>
          <w14:ligatures w14:val="none"/>
        </w:rPr>
        <w:t xml:space="preserve">, przy czym w latach 2014-2023 liczba czytelników spadła o 593 osoby (29,1%). Pomimo opisanego spadku czytelników, w 2023 r. czytelnictwo, mierzone </w:t>
      </w:r>
      <w:r w:rsidRPr="003F2001">
        <w:rPr>
          <w:rFonts w:eastAsia="Times New Roman" w:cs="Times New Roman"/>
          <w:b/>
          <w:bCs/>
          <w:color w:val="4D160F"/>
          <w:kern w:val="0"/>
          <w:szCs w:val="20"/>
          <w:lang w:bidi="en-US"/>
          <w14:ligatures w14:val="none"/>
        </w:rPr>
        <w:t>liczbą wypożyczeń księgozbioru na 1 czytelnika w woluminach</w:t>
      </w:r>
      <w:r w:rsidRPr="003F2001">
        <w:rPr>
          <w:rFonts w:eastAsia="Times New Roman" w:cs="Times New Roman"/>
          <w:kern w:val="0"/>
          <w:szCs w:val="20"/>
          <w:lang w:bidi="en-US"/>
          <w14:ligatures w14:val="none"/>
        </w:rPr>
        <w:t>, na terenie Gminy Opole Lubelskie osiągnęło wartość 19,9 i było na wyższym poziomie niż wartość ww. wskaźnika dla powiatu opolskiego (18,0 wypożyczeń książek na czytelnika), a także dla całego województwa lubelskiego (18,3). Warto natomiast podkreślić, że znaczący wzrost czytelnictwa nastąpił dopiero w roku 2023 – w poprzednich latach analizowanego okresu liczba wypożyczeń księgozbioru na jednego czytelnika znacząco odbiegała od średnich dla powiatu i województwa.</w:t>
      </w:r>
    </w:p>
    <w:p w14:paraId="0BF057C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Opole Lubelskie, na tle pozostałych ośrodków lokalnych województwa lubelskiego, wyróżnia się wysokim wskaźnikiem dotyczącym liczby uczestników imprez organizowanych przez instytucje kultury. Niekorzystnie prezentują się natomiast dane dotyczące czytelnictwa mierzonego liczbą czytelników bibliotek publicznych na 1 000 ludności – niższy wskaźnik wystąpił tylko w Parczewie oraz liczbą wypożyczeń księgozbioru na 1 czytelnika – niższe wartości wskaźnika odnotowano w Łęcznej i Parczewie. </w:t>
      </w:r>
    </w:p>
    <w:p w14:paraId="1E6557B9" w14:textId="5EA50161" w:rsidR="003F2001" w:rsidRPr="003F2001" w:rsidRDefault="003F2001" w:rsidP="003F2001">
      <w:pPr>
        <w:spacing w:before="120" w:line="240" w:lineRule="auto"/>
        <w:rPr>
          <w:rFonts w:eastAsia="Calibri" w:cs="Times New Roman"/>
          <w:b/>
          <w:bCs/>
          <w:color w:val="7B230B"/>
          <w:kern w:val="0"/>
          <w:sz w:val="16"/>
          <w:szCs w:val="19"/>
          <w14:ligatures w14:val="none"/>
        </w:rPr>
      </w:pPr>
      <w:bookmarkStart w:id="164" w:name="_Toc189166354"/>
      <w:r w:rsidRPr="003F2001">
        <w:rPr>
          <w:rFonts w:eastAsia="Calibri" w:cs="Times New Roman"/>
          <w:b/>
          <w:bCs/>
          <w:color w:val="7B230B"/>
          <w:kern w:val="0"/>
          <w:sz w:val="16"/>
          <w:szCs w:val="19"/>
          <w14:ligatures w14:val="none"/>
        </w:rPr>
        <w:t xml:space="preserve">Tabela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Tabela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22</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Działalność kulturalna w Gminie Opole Lubelskie oraz jednostkach porównawczych.</w:t>
      </w:r>
      <w:bookmarkEnd w:id="164"/>
    </w:p>
    <w:tbl>
      <w:tblPr>
        <w:tblStyle w:val="Tabelasiatki1jasnaakcent16"/>
        <w:tblW w:w="5000" w:type="pct"/>
        <w:tblLayout w:type="fixed"/>
        <w:tblLook w:val="04A0" w:firstRow="1" w:lastRow="0" w:firstColumn="1" w:lastColumn="0" w:noHBand="0" w:noVBand="1"/>
      </w:tblPr>
      <w:tblGrid>
        <w:gridCol w:w="2266"/>
        <w:gridCol w:w="1698"/>
        <w:gridCol w:w="1700"/>
        <w:gridCol w:w="1698"/>
        <w:gridCol w:w="1700"/>
      </w:tblGrid>
      <w:tr w:rsidR="003F2001" w:rsidRPr="003F2001" w14:paraId="0D1973DD" w14:textId="77777777" w:rsidTr="00CC19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0E31E8A" w14:textId="77777777" w:rsidR="003F2001" w:rsidRPr="003F2001" w:rsidRDefault="003F2001" w:rsidP="003F2001">
            <w:pPr>
              <w:spacing w:after="0" w:line="240" w:lineRule="auto"/>
              <w:contextualSpacing/>
              <w:jc w:val="center"/>
              <w:rPr>
                <w:rFonts w:cs="Times New Roman"/>
                <w:sz w:val="16"/>
                <w:szCs w:val="16"/>
                <w:lang w:bidi="en-US"/>
              </w:rPr>
            </w:pPr>
            <w:r w:rsidRPr="003F2001">
              <w:rPr>
                <w:rFonts w:cs="Times New Roman"/>
                <w:sz w:val="16"/>
                <w:szCs w:val="16"/>
                <w:lang w:bidi="en-US"/>
              </w:rPr>
              <w:t>Ośrodek lokalny</w:t>
            </w:r>
          </w:p>
        </w:tc>
        <w:tc>
          <w:tcPr>
            <w:tcW w:w="937" w:type="pct"/>
            <w:vAlign w:val="center"/>
            <w:hideMark/>
          </w:tcPr>
          <w:p w14:paraId="14174ECE"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osób na placówkę (centrum kultury, dom kultury, ośrodek kultury, klub, świetlica)</w:t>
            </w:r>
          </w:p>
          <w:p w14:paraId="5D36F0ED"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c>
          <w:tcPr>
            <w:tcW w:w="938" w:type="pct"/>
            <w:vAlign w:val="center"/>
          </w:tcPr>
          <w:p w14:paraId="1FC5A7DD"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Liczba uczestników imprez na 1000 ludności</w:t>
            </w:r>
          </w:p>
          <w:p w14:paraId="7CC5951C"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c>
          <w:tcPr>
            <w:tcW w:w="937" w:type="pct"/>
            <w:vAlign w:val="center"/>
          </w:tcPr>
          <w:p w14:paraId="42F64C7B"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Czytelnicy bibliotek publicznych na 1000 ludności</w:t>
            </w:r>
          </w:p>
          <w:p w14:paraId="7DE0E784"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(osoby)</w:t>
            </w:r>
          </w:p>
        </w:tc>
        <w:tc>
          <w:tcPr>
            <w:tcW w:w="938" w:type="pct"/>
            <w:vAlign w:val="center"/>
          </w:tcPr>
          <w:p w14:paraId="381EB52E" w14:textId="77777777" w:rsidR="003F2001" w:rsidRPr="003F2001" w:rsidRDefault="003F2001" w:rsidP="003F20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bidi="en-US"/>
              </w:rPr>
            </w:pPr>
            <w:r w:rsidRPr="003F2001">
              <w:rPr>
                <w:rFonts w:cs="Times New Roman"/>
                <w:sz w:val="16"/>
                <w:szCs w:val="16"/>
                <w:lang w:bidi="en-US"/>
              </w:rPr>
              <w:t>Wypożyczenia księgozbioru na 1 czytelnika (woluminy)</w:t>
            </w:r>
          </w:p>
        </w:tc>
      </w:tr>
      <w:tr w:rsidR="003F2001" w:rsidRPr="003F2001" w14:paraId="4A8EF512"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47EAA12"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Janów Lubelski</w:t>
            </w:r>
          </w:p>
        </w:tc>
        <w:tc>
          <w:tcPr>
            <w:tcW w:w="937" w:type="pct"/>
            <w:noWrap/>
            <w:vAlign w:val="center"/>
            <w:hideMark/>
          </w:tcPr>
          <w:p w14:paraId="2A4F44A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14 576</w:t>
            </w:r>
          </w:p>
        </w:tc>
        <w:tc>
          <w:tcPr>
            <w:tcW w:w="938" w:type="pct"/>
            <w:vAlign w:val="center"/>
          </w:tcPr>
          <w:p w14:paraId="3E0901B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669,3</w:t>
            </w:r>
          </w:p>
        </w:tc>
        <w:tc>
          <w:tcPr>
            <w:tcW w:w="937" w:type="pct"/>
            <w:vAlign w:val="center"/>
          </w:tcPr>
          <w:p w14:paraId="7A93EE3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115</w:t>
            </w:r>
          </w:p>
        </w:tc>
        <w:tc>
          <w:tcPr>
            <w:tcW w:w="938" w:type="pct"/>
            <w:vAlign w:val="center"/>
          </w:tcPr>
          <w:p w14:paraId="1827D12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22,9</w:t>
            </w:r>
          </w:p>
        </w:tc>
      </w:tr>
      <w:tr w:rsidR="003F2001" w:rsidRPr="003F2001" w14:paraId="6D41B100"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695C86B5"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Łęczna</w:t>
            </w:r>
          </w:p>
        </w:tc>
        <w:tc>
          <w:tcPr>
            <w:tcW w:w="937" w:type="pct"/>
            <w:noWrap/>
            <w:vAlign w:val="center"/>
            <w:hideMark/>
          </w:tcPr>
          <w:p w14:paraId="1DA8BF6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22 368</w:t>
            </w:r>
          </w:p>
        </w:tc>
        <w:tc>
          <w:tcPr>
            <w:tcW w:w="938" w:type="pct"/>
            <w:vAlign w:val="center"/>
          </w:tcPr>
          <w:p w14:paraId="6DC45AC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586,0</w:t>
            </w:r>
          </w:p>
        </w:tc>
        <w:tc>
          <w:tcPr>
            <w:tcW w:w="937" w:type="pct"/>
            <w:vAlign w:val="center"/>
          </w:tcPr>
          <w:p w14:paraId="20DAE473"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275</w:t>
            </w:r>
          </w:p>
        </w:tc>
        <w:tc>
          <w:tcPr>
            <w:tcW w:w="938" w:type="pct"/>
            <w:vAlign w:val="center"/>
          </w:tcPr>
          <w:p w14:paraId="087AE221"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14,3</w:t>
            </w:r>
          </w:p>
        </w:tc>
      </w:tr>
      <w:tr w:rsidR="003F2001" w:rsidRPr="003F2001" w14:paraId="4B9E646D" w14:textId="77777777" w:rsidTr="003F2001">
        <w:trPr>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auto" w:fill="F2F2F2"/>
            <w:noWrap/>
            <w:vAlign w:val="center"/>
            <w:hideMark/>
          </w:tcPr>
          <w:p w14:paraId="0C3042DE"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Opole Lubelskie</w:t>
            </w:r>
          </w:p>
        </w:tc>
        <w:tc>
          <w:tcPr>
            <w:tcW w:w="937" w:type="pct"/>
            <w:shd w:val="clear" w:color="auto" w:fill="F2F2F2"/>
            <w:noWrap/>
            <w:vAlign w:val="center"/>
            <w:hideMark/>
          </w:tcPr>
          <w:p w14:paraId="3281E77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16 189</w:t>
            </w:r>
          </w:p>
        </w:tc>
        <w:tc>
          <w:tcPr>
            <w:tcW w:w="938" w:type="pct"/>
            <w:shd w:val="clear" w:color="auto" w:fill="F2F2F2"/>
            <w:vAlign w:val="center"/>
          </w:tcPr>
          <w:p w14:paraId="3C9A59A9"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1 351,1</w:t>
            </w:r>
          </w:p>
        </w:tc>
        <w:tc>
          <w:tcPr>
            <w:tcW w:w="937" w:type="pct"/>
            <w:shd w:val="clear" w:color="auto" w:fill="F2F2F2"/>
            <w:vAlign w:val="center"/>
          </w:tcPr>
          <w:p w14:paraId="086E8B87"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89</w:t>
            </w:r>
          </w:p>
        </w:tc>
        <w:tc>
          <w:tcPr>
            <w:tcW w:w="938" w:type="pct"/>
            <w:shd w:val="clear" w:color="auto" w:fill="F2F2F2"/>
            <w:vAlign w:val="center"/>
          </w:tcPr>
          <w:p w14:paraId="13EB796F"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3F2001">
              <w:rPr>
                <w:rFonts w:cs="Times New Roman"/>
                <w:b/>
                <w:bCs/>
                <w:sz w:val="16"/>
                <w:szCs w:val="16"/>
              </w:rPr>
              <w:t>19,9</w:t>
            </w:r>
          </w:p>
        </w:tc>
      </w:tr>
      <w:tr w:rsidR="003F2001" w:rsidRPr="003F2001" w14:paraId="51489B17"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67F7FEB"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Parczew</w:t>
            </w:r>
          </w:p>
        </w:tc>
        <w:tc>
          <w:tcPr>
            <w:tcW w:w="937" w:type="pct"/>
            <w:noWrap/>
            <w:vAlign w:val="center"/>
            <w:hideMark/>
          </w:tcPr>
          <w:p w14:paraId="345B177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13 702</w:t>
            </w:r>
          </w:p>
        </w:tc>
        <w:tc>
          <w:tcPr>
            <w:tcW w:w="938" w:type="pct"/>
            <w:vAlign w:val="center"/>
          </w:tcPr>
          <w:p w14:paraId="259EFEF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2 804,8</w:t>
            </w:r>
          </w:p>
        </w:tc>
        <w:tc>
          <w:tcPr>
            <w:tcW w:w="937" w:type="pct"/>
            <w:vAlign w:val="center"/>
          </w:tcPr>
          <w:p w14:paraId="5FA79342"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65</w:t>
            </w:r>
          </w:p>
        </w:tc>
        <w:tc>
          <w:tcPr>
            <w:tcW w:w="938" w:type="pct"/>
            <w:vAlign w:val="center"/>
          </w:tcPr>
          <w:p w14:paraId="3AC922CB"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17,9</w:t>
            </w:r>
          </w:p>
        </w:tc>
      </w:tr>
      <w:tr w:rsidR="003F2001" w:rsidRPr="003F2001" w14:paraId="35A85493" w14:textId="77777777" w:rsidTr="00CC1974">
        <w:trPr>
          <w:trHeight w:val="340"/>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697296EC" w14:textId="77777777" w:rsidR="003F2001" w:rsidRPr="003F2001" w:rsidRDefault="003F2001" w:rsidP="003F2001">
            <w:pPr>
              <w:spacing w:after="0" w:line="240" w:lineRule="auto"/>
              <w:contextualSpacing/>
              <w:jc w:val="left"/>
              <w:rPr>
                <w:rFonts w:cs="Times New Roman"/>
                <w:sz w:val="16"/>
                <w:szCs w:val="16"/>
                <w:lang w:bidi="en-US"/>
              </w:rPr>
            </w:pPr>
            <w:r w:rsidRPr="003F2001">
              <w:rPr>
                <w:rFonts w:cs="Times New Roman"/>
                <w:sz w:val="16"/>
                <w:szCs w:val="16"/>
              </w:rPr>
              <w:t>Gmina Ryki</w:t>
            </w:r>
          </w:p>
        </w:tc>
        <w:tc>
          <w:tcPr>
            <w:tcW w:w="937" w:type="pct"/>
            <w:noWrap/>
            <w:vAlign w:val="center"/>
            <w:hideMark/>
          </w:tcPr>
          <w:p w14:paraId="6C14C635"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19 139</w:t>
            </w:r>
          </w:p>
        </w:tc>
        <w:tc>
          <w:tcPr>
            <w:tcW w:w="938" w:type="pct"/>
            <w:vAlign w:val="center"/>
          </w:tcPr>
          <w:p w14:paraId="7404BD5C"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574,7</w:t>
            </w:r>
          </w:p>
        </w:tc>
        <w:tc>
          <w:tcPr>
            <w:tcW w:w="937" w:type="pct"/>
            <w:vAlign w:val="center"/>
          </w:tcPr>
          <w:p w14:paraId="74E17804"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111</w:t>
            </w:r>
          </w:p>
        </w:tc>
        <w:tc>
          <w:tcPr>
            <w:tcW w:w="938" w:type="pct"/>
            <w:vAlign w:val="center"/>
          </w:tcPr>
          <w:p w14:paraId="08C62C90" w14:textId="77777777" w:rsidR="003F2001" w:rsidRPr="003F2001" w:rsidRDefault="003F2001" w:rsidP="003F20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F2001">
              <w:rPr>
                <w:rFonts w:cs="Times New Roman"/>
                <w:sz w:val="16"/>
                <w:szCs w:val="16"/>
              </w:rPr>
              <w:t>24,1</w:t>
            </w:r>
          </w:p>
        </w:tc>
      </w:tr>
    </w:tbl>
    <w:p w14:paraId="15C15117"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34508FF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 xml:space="preserve">Na terenie gminy działalność prowadzi </w:t>
      </w:r>
      <w:r w:rsidRPr="003F2001">
        <w:rPr>
          <w:rFonts w:eastAsia="Times New Roman" w:cs="Times New Roman"/>
          <w:b/>
          <w:bCs/>
          <w:color w:val="4D160F"/>
          <w:kern w:val="0"/>
          <w:szCs w:val="20"/>
          <w:lang w:bidi="en-US"/>
          <w14:ligatures w14:val="none"/>
        </w:rPr>
        <w:t>Muzeum Regionalne w Kluczkowicach</w:t>
      </w:r>
      <w:r w:rsidRPr="003F2001">
        <w:rPr>
          <w:rFonts w:eastAsia="Times New Roman" w:cs="Times New Roman"/>
          <w:b/>
          <w:bCs/>
          <w:kern w:val="0"/>
          <w:szCs w:val="20"/>
          <w:lang w:bidi="en-US"/>
          <w14:ligatures w14:val="none"/>
        </w:rPr>
        <w:t xml:space="preserve">. </w:t>
      </w:r>
      <w:r w:rsidRPr="003F2001">
        <w:rPr>
          <w:rFonts w:eastAsia="Times New Roman" w:cs="Times New Roman"/>
          <w:kern w:val="0"/>
          <w:szCs w:val="20"/>
          <w:lang w:bidi="en-US"/>
          <w14:ligatures w14:val="none"/>
        </w:rPr>
        <w:t>Do statutowej działalności muzeum należy:</w:t>
      </w:r>
    </w:p>
    <w:p w14:paraId="11B08BF8" w14:textId="77777777" w:rsidR="003F2001" w:rsidRPr="003F2001" w:rsidRDefault="003F2001">
      <w:pPr>
        <w:numPr>
          <w:ilvl w:val="0"/>
          <w:numId w:val="8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gromadzenie zabytków i materiałów dokumentalnych w zakresie archeologii, historii, etnografii, sztuki i historii kolejnictwa wąskotorowego regionu opolskiego drogą, zakupów, darowizn i zapisów oraz depozytów, a także w wyniku własnych badań terenowych,</w:t>
      </w:r>
    </w:p>
    <w:p w14:paraId="3CF65F44" w14:textId="77777777" w:rsidR="003F2001" w:rsidRPr="003F2001" w:rsidRDefault="003F2001">
      <w:pPr>
        <w:numPr>
          <w:ilvl w:val="0"/>
          <w:numId w:val="8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inwentaryzowanie, katalogowanie i naukowe opracowywanie zgromadzonych w nim muzealiów i materiałów dokumentalnych,</w:t>
      </w:r>
    </w:p>
    <w:p w14:paraId="52B19A0E" w14:textId="77777777" w:rsidR="003F2001" w:rsidRPr="003F2001" w:rsidRDefault="003F2001">
      <w:pPr>
        <w:numPr>
          <w:ilvl w:val="0"/>
          <w:numId w:val="8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przechowywanie zgromadzonych zabytków w warunkach zapewniających im właściwy stan zachowania i bezpieczeństwo oraz magazynowanie ich w sposób dostępny do badań naukowych,</w:t>
      </w:r>
    </w:p>
    <w:p w14:paraId="026FE993" w14:textId="77777777" w:rsidR="003F2001" w:rsidRPr="003F2001" w:rsidRDefault="003F2001">
      <w:pPr>
        <w:numPr>
          <w:ilvl w:val="0"/>
          <w:numId w:val="8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zabezpieczanie i konserwacja dokumentów,</w:t>
      </w:r>
    </w:p>
    <w:p w14:paraId="1A6061C1" w14:textId="77777777" w:rsidR="003F2001" w:rsidRPr="003F2001" w:rsidRDefault="003F2001">
      <w:pPr>
        <w:numPr>
          <w:ilvl w:val="0"/>
          <w:numId w:val="8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organizowanie wystaw stałych i czasowych,</w:t>
      </w:r>
    </w:p>
    <w:p w14:paraId="7E92E92D" w14:textId="77777777" w:rsidR="003F2001" w:rsidRPr="003F2001" w:rsidRDefault="003F2001">
      <w:pPr>
        <w:numPr>
          <w:ilvl w:val="0"/>
          <w:numId w:val="8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prowadzenie działalności edukacyjnej oraz udostępnianie zbiorów do celów naukowych i oświatowych,</w:t>
      </w:r>
    </w:p>
    <w:p w14:paraId="65085FCD" w14:textId="77777777" w:rsidR="003F2001" w:rsidRPr="003F2001" w:rsidRDefault="003F2001">
      <w:pPr>
        <w:numPr>
          <w:ilvl w:val="0"/>
          <w:numId w:val="8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współpracę z muzeami krajowymi i zagranicznymi,</w:t>
      </w:r>
    </w:p>
    <w:p w14:paraId="0D503070" w14:textId="77777777" w:rsidR="003F2001" w:rsidRPr="003F2001" w:rsidRDefault="003F2001">
      <w:pPr>
        <w:numPr>
          <w:ilvl w:val="0"/>
          <w:numId w:val="81"/>
        </w:numPr>
        <w:spacing w:after="160" w:line="276" w:lineRule="auto"/>
        <w:ind w:left="426" w:hanging="284"/>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publikowanie katalogów, przewodników a także wydawnictw popularno-naukowych z zakresu swojej działalności.</w:t>
      </w:r>
    </w:p>
    <w:p w14:paraId="585F00E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Zgodnie z „Raportem o stanie Powiatu Opolskiego za 2023 r.” w 2023 r. Muzeum Regionalne w Kluczkowicach zorganizowało </w:t>
      </w:r>
      <w:r w:rsidRPr="003F2001">
        <w:rPr>
          <w:rFonts w:eastAsia="Times New Roman" w:cs="Times New Roman"/>
          <w:b/>
          <w:bCs/>
          <w:color w:val="4D160F"/>
          <w:kern w:val="0"/>
          <w:szCs w:val="20"/>
          <w:lang w:bidi="en-US"/>
          <w14:ligatures w14:val="none"/>
        </w:rPr>
        <w:t xml:space="preserve">10 wystaw </w:t>
      </w:r>
      <w:r w:rsidRPr="003F2001">
        <w:rPr>
          <w:rFonts w:eastAsia="Times New Roman" w:cs="Times New Roman"/>
          <w:kern w:val="0"/>
          <w:szCs w:val="20"/>
          <w:lang w:bidi="en-US"/>
          <w14:ligatures w14:val="none"/>
        </w:rPr>
        <w:t xml:space="preserve">(7 z ekspozycjami stałymi oraz 3 czasowe), a z jego oferty skorzystały </w:t>
      </w:r>
      <w:r w:rsidRPr="003F2001">
        <w:rPr>
          <w:rFonts w:eastAsia="Times New Roman" w:cs="Times New Roman"/>
          <w:b/>
          <w:bCs/>
          <w:color w:val="4D160F"/>
          <w:kern w:val="0"/>
          <w:szCs w:val="20"/>
          <w:lang w:bidi="en-US"/>
          <w14:ligatures w14:val="none"/>
        </w:rPr>
        <w:t>1 364 osoby</w:t>
      </w:r>
      <w:r w:rsidRPr="003F2001">
        <w:rPr>
          <w:rFonts w:eastAsia="Times New Roman" w:cs="Times New Roman"/>
          <w:b/>
          <w:bCs/>
          <w:kern w:val="0"/>
          <w:szCs w:val="20"/>
          <w:lang w:bidi="en-US"/>
          <w14:ligatures w14:val="none"/>
        </w:rPr>
        <w:t>.</w:t>
      </w:r>
    </w:p>
    <w:p w14:paraId="4FB3151B" w14:textId="77777777" w:rsidR="003F2001" w:rsidRPr="003F2001" w:rsidRDefault="003F2001" w:rsidP="003F2001">
      <w:pPr>
        <w:tabs>
          <w:tab w:val="left" w:pos="5387"/>
        </w:tabs>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Według danych GUS w Gminie Opole Lubelskie w 2022 r. działalność prowadziło </w:t>
      </w:r>
      <w:r w:rsidRPr="003F2001">
        <w:rPr>
          <w:rFonts w:eastAsia="Times New Roman" w:cs="Times New Roman"/>
          <w:b/>
          <w:bCs/>
          <w:color w:val="4D160F"/>
          <w:kern w:val="0"/>
          <w:szCs w:val="20"/>
          <w:lang w:bidi="en-US"/>
          <w14:ligatures w14:val="none"/>
        </w:rPr>
        <w:t>6 klubów sportowych</w:t>
      </w:r>
      <w:r w:rsidRPr="003F2001">
        <w:rPr>
          <w:rFonts w:eastAsia="Times New Roman" w:cs="Times New Roman"/>
          <w:kern w:val="0"/>
          <w:szCs w:val="20"/>
          <w:lang w:bidi="en-US"/>
          <w14:ligatures w14:val="none"/>
        </w:rPr>
        <w:t xml:space="preserve">, które zrzeszały 219 członków. Do najchętniej uprawianych dyscyplin, oprócz piłki nożnej należą: tenis stołowy, pływanie, lekkoatletyka. Warto podkreślić, że gmina posiada nowoczesną bazę sportowo-rekreacyjną, w postaci ogólnodostępnej infrastruktury sportowej dającej możliwość aktywnego spędzania wolnego czasu. Stanowi to ważny element profilaktyki zdrowotnej oraz umożliwia współzawodnictwo sportowe. </w:t>
      </w:r>
      <w:r w:rsidRPr="003F2001">
        <w:rPr>
          <w:rFonts w:eastAsia="Times New Roman" w:cs="Times New Roman"/>
          <w:b/>
          <w:bCs/>
          <w:color w:val="4D160F"/>
          <w:kern w:val="0"/>
          <w:szCs w:val="20"/>
          <w:lang w:bidi="en-US"/>
          <w14:ligatures w14:val="none"/>
        </w:rPr>
        <w:t>Baza sportowa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obejmuje następujące obiekty:</w:t>
      </w:r>
    </w:p>
    <w:p w14:paraId="243D8F91" w14:textId="77777777" w:rsidR="003F2001" w:rsidRPr="003F2001" w:rsidRDefault="003F2001">
      <w:pPr>
        <w:numPr>
          <w:ilvl w:val="0"/>
          <w:numId w:val="82"/>
        </w:numPr>
        <w:tabs>
          <w:tab w:val="left" w:pos="5387"/>
        </w:tabs>
        <w:spacing w:after="160" w:line="276" w:lineRule="auto"/>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Stadion Miejski im. Mariana Drańskiego przy ul. Kolejowej 17, </w:t>
      </w:r>
    </w:p>
    <w:p w14:paraId="68B97096" w14:textId="77777777" w:rsidR="003F2001" w:rsidRPr="003F2001" w:rsidRDefault="003F2001">
      <w:pPr>
        <w:numPr>
          <w:ilvl w:val="0"/>
          <w:numId w:val="82"/>
        </w:numPr>
        <w:tabs>
          <w:tab w:val="left" w:pos="5387"/>
        </w:tabs>
        <w:spacing w:after="160" w:line="276" w:lineRule="auto"/>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kąpielisko miejskie przy ul. Rybackiej wyposażone w łódki, kajaki i rowery wodne,</w:t>
      </w:r>
    </w:p>
    <w:p w14:paraId="2D210C33" w14:textId="77777777" w:rsidR="003F2001" w:rsidRPr="003F2001" w:rsidRDefault="003F2001">
      <w:pPr>
        <w:numPr>
          <w:ilvl w:val="0"/>
          <w:numId w:val="82"/>
        </w:numPr>
        <w:tabs>
          <w:tab w:val="left" w:pos="5387"/>
        </w:tabs>
        <w:spacing w:after="160" w:line="276" w:lineRule="auto"/>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lodowisko z funkcją kortu tenisowego wraz z zadaszeniem i budynkiem obsługowym przy ul. Fabrycznej,</w:t>
      </w:r>
    </w:p>
    <w:p w14:paraId="67DDD4F8" w14:textId="77777777" w:rsidR="003F2001" w:rsidRPr="003F2001" w:rsidRDefault="003F2001">
      <w:pPr>
        <w:numPr>
          <w:ilvl w:val="0"/>
          <w:numId w:val="82"/>
        </w:numPr>
        <w:tabs>
          <w:tab w:val="left" w:pos="5387"/>
        </w:tabs>
        <w:spacing w:after="160" w:line="276" w:lineRule="auto"/>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boisko ze sztuczna nawierzchnią do gry w piłkę nożną przy ul. Lipowej,</w:t>
      </w:r>
    </w:p>
    <w:p w14:paraId="44402322" w14:textId="77777777" w:rsidR="003F2001" w:rsidRPr="003F2001" w:rsidRDefault="003F2001">
      <w:pPr>
        <w:numPr>
          <w:ilvl w:val="0"/>
          <w:numId w:val="82"/>
        </w:numPr>
        <w:tabs>
          <w:tab w:val="left" w:pos="5387"/>
        </w:tabs>
        <w:spacing w:after="160" w:line="276" w:lineRule="auto"/>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boisko wielofunkcyjne (boisko do piłki nożnej i koszykówki) przy ul. Fabrycznej,</w:t>
      </w:r>
    </w:p>
    <w:p w14:paraId="6B909E8C" w14:textId="77777777" w:rsidR="003F2001" w:rsidRPr="003F2001" w:rsidRDefault="003F2001">
      <w:pPr>
        <w:numPr>
          <w:ilvl w:val="0"/>
          <w:numId w:val="82"/>
        </w:numPr>
        <w:tabs>
          <w:tab w:val="left" w:pos="5387"/>
        </w:tabs>
        <w:spacing w:after="160" w:line="276" w:lineRule="auto"/>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otwarta strefa sportu i rekreacji przy Szkole Podstawowej nr 1, w skład której wchodzi: boisko do piłki nożnej, ręcznej, koszykówki, siatkówki plażowej, kort tenisowy, bieżnia, miasteczko ruchu drogowego, skatepark,</w:t>
      </w:r>
    </w:p>
    <w:p w14:paraId="261F60D7" w14:textId="77777777" w:rsidR="003F2001" w:rsidRPr="003F2001" w:rsidRDefault="003F2001">
      <w:pPr>
        <w:numPr>
          <w:ilvl w:val="0"/>
          <w:numId w:val="82"/>
        </w:numPr>
        <w:tabs>
          <w:tab w:val="left" w:pos="5387"/>
        </w:tabs>
        <w:spacing w:after="160" w:line="276" w:lineRule="auto"/>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hala sportowa zlokalizowana przy Zespole Szkół Zawodowych im. Stanisława Konarskiego,</w:t>
      </w:r>
    </w:p>
    <w:p w14:paraId="1CD2D4E0" w14:textId="77777777" w:rsidR="003F2001" w:rsidRPr="003F2001" w:rsidRDefault="003F2001">
      <w:pPr>
        <w:numPr>
          <w:ilvl w:val="0"/>
          <w:numId w:val="82"/>
        </w:numPr>
        <w:tabs>
          <w:tab w:val="left" w:pos="5387"/>
        </w:tabs>
        <w:spacing w:after="160" w:line="276" w:lineRule="auto"/>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hala i boisko szkolne przy Szkole Podstawowej w Kluczkowicach,</w:t>
      </w:r>
    </w:p>
    <w:p w14:paraId="5F3D54C3" w14:textId="77777777" w:rsidR="003F2001" w:rsidRPr="003F2001" w:rsidRDefault="003F2001">
      <w:pPr>
        <w:numPr>
          <w:ilvl w:val="0"/>
          <w:numId w:val="82"/>
        </w:numPr>
        <w:tabs>
          <w:tab w:val="left" w:pos="5387"/>
        </w:tabs>
        <w:spacing w:after="160" w:line="276" w:lineRule="auto"/>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sala sportowa w Szkole Podstawowej w Skokowie,</w:t>
      </w:r>
    </w:p>
    <w:p w14:paraId="4EE9B04E" w14:textId="77777777" w:rsidR="003F2001" w:rsidRPr="003F2001" w:rsidRDefault="003F2001">
      <w:pPr>
        <w:numPr>
          <w:ilvl w:val="0"/>
          <w:numId w:val="82"/>
        </w:numPr>
        <w:tabs>
          <w:tab w:val="left" w:pos="5387"/>
        </w:tabs>
        <w:spacing w:after="160" w:line="276" w:lineRule="auto"/>
        <w:contextualSpacing/>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pumptruck w Parku Miejskim w Opolu Lubelskim.</w:t>
      </w:r>
    </w:p>
    <w:p w14:paraId="761D76A6" w14:textId="31E995C1" w:rsidR="003F2001" w:rsidRPr="003F2001" w:rsidRDefault="003F2001" w:rsidP="00676C2A">
      <w:pPr>
        <w:pStyle w:val="Nagwek2"/>
      </w:pPr>
      <w:bookmarkStart w:id="165" w:name="_Toc173435469"/>
      <w:bookmarkStart w:id="166" w:name="_Toc191908784"/>
      <w:r>
        <w:t xml:space="preserve">2.6.5 </w:t>
      </w:r>
      <w:r w:rsidRPr="003F2001">
        <w:t>Bezpieczeństwo publiczne</w:t>
      </w:r>
      <w:bookmarkEnd w:id="165"/>
      <w:bookmarkEnd w:id="166"/>
    </w:p>
    <w:p w14:paraId="635DC81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Poczucie bezpieczeństwa jest jedną z podstawowych potrzeb każdego człowieka i decyduje o funkcjonowaniu społeczności. Jednym z zadań realizowanych przez jednostki samorządu terytorialnego jest zapewnienie porządku publicznego i bezpieczeństwa przeciwpożarowego. </w:t>
      </w:r>
    </w:p>
    <w:p w14:paraId="1FD2426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lastRenderedPageBreak/>
        <w:t xml:space="preserve">Główne zadania zakresu ochrony przeciwpożarowej realizowano poprzez działalność </w:t>
      </w:r>
      <w:r w:rsidRPr="003F2001">
        <w:rPr>
          <w:rFonts w:eastAsia="Times New Roman" w:cs="Times New Roman"/>
          <w:b/>
          <w:bCs/>
          <w:color w:val="4D160F"/>
          <w:kern w:val="0"/>
          <w:szCs w:val="20"/>
          <w:lang w:bidi="en-US"/>
          <w14:ligatures w14:val="none"/>
        </w:rPr>
        <w:t>Ochotniczych Straży Pożarnych</w:t>
      </w:r>
      <w:r w:rsidRPr="003F2001">
        <w:rPr>
          <w:rFonts w:eastAsia="Times New Roman" w:cs="Times New Roman"/>
          <w:kern w:val="0"/>
          <w:szCs w:val="20"/>
          <w:lang w:bidi="en-US"/>
          <w14:ligatures w14:val="none"/>
        </w:rPr>
        <w:t>. W 2023 r. na terenie gminy funkcjonowało 13 jednostek OSP typu „S” (posiadających samochody), z czego 3 jednostki (OSP Opole Lubelskie, OSP Puszno Godowskie, OSP Wrzelowiec) włączone do Krajowego Systemu Ratowniczo-Gaśniczego. Jednostki OSP na swym wyposażeniu posiadają 22 samochody pożarnicze, łodzie, agregaty prądotwórcze, system selektywnego alarmowania do zdarzeń. Aktualne wyposażenie spełnia niezbędne wymagania i zabezpiecza potrzeby gminy.</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Dzięki odpowiedniemu wyposażeniu jednostek OSP możliwe jest podejmowanie działań ratowniczych w zakresie: ratownictwa technicznego, ratownictwa powodziowego, ratownictwa medycznego, ratownictwa wysokościowego, poszukiwawczo-ratowniczym.</w:t>
      </w:r>
    </w:p>
    <w:p w14:paraId="604AECD1"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2023 r. na obszarze gminy miało miejsce </w:t>
      </w:r>
      <w:r w:rsidRPr="003F2001">
        <w:rPr>
          <w:rFonts w:eastAsia="Times New Roman" w:cs="Times New Roman"/>
          <w:b/>
          <w:bCs/>
          <w:color w:val="4D160F"/>
          <w:kern w:val="0"/>
          <w:szCs w:val="20"/>
          <w:lang w:bidi="en-US"/>
          <w14:ligatures w14:val="none"/>
        </w:rPr>
        <w:t>225 zdarzeń</w:t>
      </w:r>
      <w:r w:rsidRPr="003F2001">
        <w:rPr>
          <w:rFonts w:eastAsia="Times New Roman" w:cs="Times New Roman"/>
          <w:kern w:val="0"/>
          <w:szCs w:val="20"/>
          <w:lang w:bidi="en-US"/>
          <w14:ligatures w14:val="none"/>
        </w:rPr>
        <w:t>, w tym 61 pożarów, 166 miejscowych zagrożeń, 9 fałszywych alarmów oraz 19 zabezpieczeń rejonu operacyjnego.</w:t>
      </w:r>
    </w:p>
    <w:p w14:paraId="356C07FC"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Jednostki OSP również wykazują się dużą aktywnością podczas działań wspomagających organizację imprez kulturalnych czy inicjatyw lokalnej społeczności.</w:t>
      </w:r>
    </w:p>
    <w:p w14:paraId="0C7B2445" w14:textId="32F1C292" w:rsidR="003F2001" w:rsidRPr="003F2001" w:rsidRDefault="003F2001" w:rsidP="00676C2A">
      <w:pPr>
        <w:pStyle w:val="Nagwek2"/>
      </w:pPr>
      <w:bookmarkStart w:id="167" w:name="_Toc173435470"/>
      <w:bookmarkStart w:id="168" w:name="_Toc191908785"/>
      <w:r>
        <w:t xml:space="preserve">2.6.6 </w:t>
      </w:r>
      <w:r w:rsidRPr="003F2001">
        <w:t>Podsumowanie i wnioski</w:t>
      </w:r>
      <w:bookmarkEnd w:id="167"/>
      <w:bookmarkEnd w:id="168"/>
    </w:p>
    <w:p w14:paraId="6B2B16BF"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Na terenie gminy funkcjonuje Żłobek Miejski, który powstał dzięki dotacji z Programu „Maluch +” Ministerstwa Rodziny, Pracy i Polityki Społecznej na rzecz rozwoju instytucji opieki nad dziećmi w wieku do lat 3. Początkowo w placówce funkcjonowały dwie grupy, liczące maksymalnie po 24 podopiecznych. W 2022 r. uruchomione zostały nowe, dodatkowe oddziały dla dzieci poniżej 3 roku życia, a liczba miejsc w żłobku zwiększyła się do 72. Żłobek Miejski w Opolu Lubelskim prowadzi działalność opiekuńczą, wychowawczą i edukacyjną dla dzieci do lat 3 z terenu gminy Opole Lubelskie. Dzieci mają możliwość uczestniczenia w różnorodnych zajęciach dodatkowych, takich jak zajęcia muzyczne, plastyczne czy sensoryczne, które rozbudzają ich kreatywność i rozwijają umiejętności manualne.  Warto jednak zaznaczyć, że zgodnie z danymi GUS odsetek dzieci do lat 3 objętych opieką żłobkową na terenie gminy wynosi jedynie 21,1%.</w:t>
      </w:r>
    </w:p>
    <w:p w14:paraId="6F14999E"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W 2023 r. na terenie Gminy Opole Lubelskie funkcjonowało 11 ośrodków wychowania przedszkolnego (przedszkoli, punktów przedszkolnych i oddziałów przedszkolnych w szkołach podstawowych), w tym 5 na obszarze miasta oraz 6 na terenie wiejskim gminy. W roku szkolnym 2022/2023 w ramach systemu oświaty wychowaniem przedszkolnym objętych zostało 634 dzieci w wieku od 3 do 6 lat. </w:t>
      </w:r>
    </w:p>
    <w:p w14:paraId="04562289"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W latach 2013-2022 na analizowanym terenie zaobserwowano znaczący wzrost dostępności wychowania przedszkolnego – w 2022 r. odsetek dzieci w wieku 3-6 lat objętych edukacją przedszkolną na terenie gminy wyniósł 98,2% (w 2013 r. wynosił on jedynie 68,6%), wobec 85,6% w powiecie opolskim oraz 91,7% w województwie lubelskim. Należy jednak zauważyć, że odsetek dzieci uczęszczających do przedszkola w mieście oraz na terenie wiejskim gminy był bardzo zróżnicowany – wychowaniem przedszkolnym w miejscowościach wiejskich objętych było 55,9% dzieci, natomiast w mieście wskaźnik ten od kilku lat przekracza 100% i w 2022 r. osiągnął wartość 150,7%. Oznacza to, że do przedszkoli w mieście uczęszczają również dzieci mieszkające na terenach wiejskich. </w:t>
      </w:r>
    </w:p>
    <w:p w14:paraId="7777970A"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 2022 r. na terenie Gminy Opole Lubelskie funkcjonowało 7 szkół podstawowych, w tym 6 szkół prowadzonych przez samorząd gminny oraz 1 szkoła prowadzona przez stowarzyszenie, do których uczęszczało łącznie 1 316 uczniów. Analizując rozkład terytorialny szkół należy zauważyć, że na terenie miasta działały 2 szkoły podstawowe, natomiast na terenie wiejskim gminy – 5.</w:t>
      </w:r>
    </w:p>
    <w:p w14:paraId="41EA6074"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Współczynnik skolaryzacji brutto, obliczony dla szkół podstawowych na terenie gminy, był zdecydowanie wyższy na obszarze miasta i w 2022 r, wyniósł 131,7%. Wysoka wartość </w:t>
      </w:r>
      <w:r w:rsidRPr="003F2001">
        <w:rPr>
          <w:rFonts w:eastAsia="Times New Roman" w:cs="Times New Roman"/>
          <w:color w:val="4D160F"/>
          <w:kern w:val="0"/>
          <w:szCs w:val="20"/>
          <w:lang w:bidi="en-US"/>
          <w14:ligatures w14:val="none"/>
        </w:rPr>
        <w:lastRenderedPageBreak/>
        <w:t>współczynnika w mieście, w powiązaniu z jego niską wartością w na terenie wiejskim gminy (67,3%) jest spowodowana dowożeniem części uczniów z obszarów wiejskich do szkół w mieście. Jednakże w ostatnich dwóch latach (2021-2022) można również zauważyć tendencję spadkową tego wskaźnika w mieście oraz nieznaczny wzrost wskaźnika na obszarze wiejskim, co może świadczyć o stopniowym zwiększaniu atrakcyjności szkół położonych na obszarze wiejskim gminy dla jego mieszkańców.</w:t>
      </w:r>
    </w:p>
    <w:p w14:paraId="57832BDD"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Gmina Opole Lubelskie posiada zróżnicowaną ofertę szkół ponadpodstawowych – kształcenie na poziomie ponadpodstawowym jest oferowane w 2 placówkach oświatowych: Liceum Ogólnokształcącym im. Adama Mickiewicza oraz Zespole Szkół Zawodowych im. Stanisława Konarskiego.</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W 2022 r. do szkół ponadpodstawowych w Opolu Lubelskim uczęszczało łącznie 718 uczniów. W roku szkolnym 2022/2023 wśród szkół ponadpodstawowych dla młodzieży największą liczbę uczniów skupiały technika, do których uczęszczało 355 uczniów oraz liceum ogólnokształcące dla młodzieży, w którym uczyło się 235 uczniów. W branżowej szkole I stopnia uczyło się 89, natomiast w liceum dla dorosłych kształciło się 39 osób.</w:t>
      </w:r>
    </w:p>
    <w:p w14:paraId="5E36A270"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Oferowane przez instytucje edukacyjne ścieżki i możliwości uczenia się mają wpływ na szanse zatrudnienia, możliwości rozpoczęcia aktywności zawodowej, a kształtowanie zmian systemu edukacji i kierunków kształcenia powinno brać pod uwagę zachodzące zmiany popytu na pracę, w szczególności w zakresie poszukiwanych kompetencji i kwalifikacji. Należy zauważyć, że profile szkół ponadpodstawowych odpowiadają nie tylko lokalnym uwarunkowaniom i specyfice obszaru, ale także wydają się być konkurencyjne na regionalnym rynku edukacyjnym. Ze względu na specyfikę gospodarczą, szkolnictwo zawodowe na analizowanym obszarze powinno bazować na zawodach związanych z ogrodnictwem i przetwórstwem rolnym.</w:t>
      </w:r>
    </w:p>
    <w:p w14:paraId="710284C4"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 końcu 2023 r. na terenie Gminy Opole Lubelskie działalność prowadziło 18 podmiotów ambulatoryjnej opieki zdrowotnej, w tym 13 przychodni (w tym 2 podległe samorządowi terytorialnemu) oraz 5 praktyk lekarskich, realizujących świadczenia finansowane ze środków publicznych. Oferta usług zdrowotnych wyraźnie koncentruje się w granicach miasta - na jego terenie znajduje się zdecydowana większość placówek ochrony zdrowia (11 przychodni i 4 praktyki lekarskie). Na 1 podmiot ambulatoryjnej opieki zdrowotnej na terenie Gminy Opole Lubelskie przypadało średnio 899 osób, wobec 1 357 osób w powiecie opolskim i 1 296 osób w województwie lubelskim. Należy jednak zauważyć, że na jedną przychodnię i praktykę w mieście przypadały 524 osoby, natomiast na obszarze wiejskim aż 2 775 osób. Wysokość przedmiotowego wskaźnika świadczy o ograniczonej dostępności mieszkańców terenów wiejskich do usług opieki zdrowotnej.</w:t>
      </w:r>
    </w:p>
    <w:p w14:paraId="08AC4A7E"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Opieka szpitalna Gminy Opole Lubelskie, a także całego powiatu opolskiego, oparta jest o Powiatowe Centrum Zdrowia Sp. z o. o. w Opolu Lubelskim. Powiatowe Centrum Zdrowia prowadzi działalność leczniczą poprzez wyodrębnione Zakłady Lecznicze: Szpital, Ambulatorium, Diagnostykę, Centrum Rehabilitacji, Centrum Opieki Długoterminowej oraz Centrum Psychosomatyczne. W ramach Powiatowego Centrum Zdrowia w zakresie opieki stacjonarnej funkcjonują: Oddział Chirurgiczny z Pododdziałem Ginekologii Operacyjnej oraz Pododdziałem Otolaryngologii i Laryngologii Onkologicznej, Oddział Ortopedii i Traumatologii Narządu Ruchu, Oddział Chorób Wewnętrznych z Pododdziałem Kardiologii oraz Pododdziałem, Oddział Rehabilitacyjny, Oddział Medycyny Paliatywnej oraz Zakład Opiekuńczo-Leczniczy. Powiatowe Centrum Zdrowia świadczy również usługi z zakresu podstawowej i specjalistycznej opieki zdrowotnej oraz badań diagnostycznych. </w:t>
      </w:r>
    </w:p>
    <w:p w14:paraId="54B27DD8"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Postępujący proces starzenia się populacji oraz wzrost liczby zachorowań na choroby przewlekłe prognozują wzrost popytu na świadczenia zdrowotne, a tym samym </w:t>
      </w:r>
      <w:r w:rsidRPr="003F2001">
        <w:rPr>
          <w:rFonts w:eastAsia="Times New Roman" w:cs="Times New Roman"/>
          <w:color w:val="4D160F"/>
          <w:kern w:val="0"/>
          <w:szCs w:val="20"/>
          <w:lang w:bidi="en-US"/>
          <w14:ligatures w14:val="none"/>
        </w:rPr>
        <w:lastRenderedPageBreak/>
        <w:t>zwiększenie zapotrzebowania na personel medyczny. Powiat opolski wypada dość niekorzystanie w porównaniu do województwa lubelskiego pod względem wskaźnika prezentujących liczbę lekarzy według podstawowego miejsca pracy na 10 tys. mieszkańców. Na terenie powiatu na 10 tys. mieszkańców przypada jedynie 11 lekarzy, wobec 38 na terenie województwa (17. miejsce w regionie wśród powiatów ziemskich). Nieco lepiej prezentują się dane dotyczące liczby pielęgniarek i położnych, które przypadają na 10 tys. mieszkańców – wskaźnik ten na terenie powiatu wynosi 38, wobec 76 w województwie lubelskim (13. miejsce w regionie). Niedobór personelu medycznego, zarówno lekarzy jak i pielęgniarek, w kontekście wzrostu popytu na usługi zdrowotne pod wpływem zmian demograficznych, stanowi poważne wyznanie stojące przed systemem opieki zdrowotnej.</w:t>
      </w:r>
    </w:p>
    <w:p w14:paraId="5E92988A"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 Gminie Opole Lubelskie zadania z zakresu pomocy społecznej wykonują Centrum Usług Społecznych oraz Powiatowe Centrum Pomocy Rodzinie w Opolu Lubelskim z siedzibą w Poniatowej. Inne podmioty z terenu Gminy Opole Lubelskie realizujące działania w zakresie pomocy społecznej i aktywizacji zawodowej osób z zaburzeniami psychicznymi, ich rodziny i bliskich to: Powiatowy Urząd Pracy w Opolu Lubelskiem, Poradnia Psychologiczno-Pedagogiczna w Opolu Lubelskim oraz Dzienny Dom Senior +.</w:t>
      </w:r>
    </w:p>
    <w:p w14:paraId="38F2D481"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 2022 r. ze środowiskowej pomocy społecznej skorzystało 328 gospodarstw domowych, w tym 251 gospodarstw z dochodem poniżej kryterium dochodowego. Liczba beneficjentów środowiskowej pomocy społecznej na terenie gminy w 2022 r. wyniosła 638 osób i była o 742 osoby mniejsza niż w 2013 r. (52,1%).  Zasięg korzystania z pomocy społecznej, czyli udział beneficjentów pomocy społecznej w ogólnej liczbie ludności na terenie gminy w latach 2013-2022 zmniejszył się o 3,8 pkt proc. i wyniósł 4,2% (wobec 3,2% w powiecie opolskim oraz 3,8% w województwie lubelskim). Wśród przyczyn korzystania z pomocy społecznej w gminie najczęściej powtarzają się następujące zjawiska: ubóstwo, bezrobocie, niepełnosprawność, długotrwała lub ciężka choroba, alkoholizm, bezradność w sprawach opiekuńczo-wychowawczych i prowadzenia gospodarstwa domowego oraz potrzeba ochrony macierzyństwa. W rodzinach występuje jednocześnie kilka powodów przyznania pomocy społecznej.</w:t>
      </w:r>
    </w:p>
    <w:p w14:paraId="56CF21B1"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W 2022 r. na terenie gminy ze świadczeń rodzinnych na dzieci skorzystało 439 rodzin, a liczba dzieci do lat 17 na które przyznano zasiłek rodzinny wyniosła 921. Analizując udział dzieci w wieku do lat 17, na które rodzice otrzymują zasiłek rodzinny w ogólnej liczbie dzieci w tym wieku (tj. w populacji osób w wieku przedprodukcyjnym), należy zauważyć, że choć w ostatnim dziesięcioleciu wartość tego wskaźnika zmniejszyła się z 53,7% w 2013 r, do 31,3% , to i tak wartość wskaźnika dla gminy była wyższa od wartości dla powiatu opolskiego (30,7%) i województwa lubelskiego (21,9%).</w:t>
      </w:r>
    </w:p>
    <w:p w14:paraId="634C726B"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Najprężniej instytucją kultury działającą na terenie Gminy Opole Lubelskie jest Opolskie Centrum Kultury, które prowadzi wielokierunkową działalność z zakresu edukacji dzieci i młodzieży oraz aktywizację różnych środowisk. W 2023 r. Opolskie Centrum Kultury zorganizowało 92 imprezy, w których wzięło udział łącznie 22 010 uczestników. Najczęściej organizowane był koncerty, warsztaty, konkursy, prelekcje, spotkania. Należy przy tym zaznaczyć, że w ostatnim dziesięcioleciu zdecydowanie wzrosła zarówno liczba organizowanych imprez, jak też osób w nich uczestniczących.</w:t>
      </w:r>
    </w:p>
    <w:p w14:paraId="06CE5B06"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 xml:space="preserve">Jednostkami realizującymi zadania z zakresu kultury są również biblioteki publiczne, których na terenie Gminy Opole Lubelskie w 2023 r. funkcjonowało dwie: Miejsko-Gminna Biblioteka Publiczna w Opolu Lubelskim oraz Powiatowa Biblioteka Publiczna w Opolu Lubelskim. W placówkach bibliotecznych w 2023 r. było zarejestrowanych 1 443 czytelników, przy czym w latach 2014-2023 liczba czytelników spadła o 593 osoby (29,1%). Pomimo opisanego spadku czytelników, w 2023 r. czytelnictwo, mierzone liczbą </w:t>
      </w:r>
      <w:r w:rsidRPr="003F2001">
        <w:rPr>
          <w:rFonts w:eastAsia="Times New Roman" w:cs="Times New Roman"/>
          <w:color w:val="4D160F"/>
          <w:kern w:val="0"/>
          <w:szCs w:val="20"/>
          <w:lang w:bidi="en-US"/>
          <w14:ligatures w14:val="none"/>
        </w:rPr>
        <w:lastRenderedPageBreak/>
        <w:t>wypożyczeń księgozbioru na 1 czytelnika w woluminach, na terenie Gminy Opole Lubelskie osiągnęło wartość 19,9 i było na wyższym poziomie niż wartość ww. wskaźnika dla powiatu opolskiego (18,0 wypożyczeń książek na czytelnika), a także dla całego województwa lubelskiego (18,3). Warto natomiast podkreślić, że znaczący wzrost czytelnictwa nastąpił dopiero w roku 2023 – w poprzednich latach analizowanego okresu liczba wypożyczeń księgozbioru na jednego czytelnika znacząco odbiegała od średnich dla powiatu i województwa.</w:t>
      </w:r>
    </w:p>
    <w:p w14:paraId="3586BB17"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Na terenie gminy działalność prowadzi Muzeum Regionalne w Kluczkowicach. w 2023 r. muzeum zorganizowało 10 wystaw (7 z ekspozycjami stałymi oraz 3 czasowe), a z jego oferty skorzystały 1 364 osoby.</w:t>
      </w:r>
    </w:p>
    <w:p w14:paraId="0CC426E4" w14:textId="77777777" w:rsidR="003F2001" w:rsidRPr="003F2001" w:rsidRDefault="003F2001">
      <w:pPr>
        <w:numPr>
          <w:ilvl w:val="0"/>
          <w:numId w:val="65"/>
        </w:numPr>
        <w:spacing w:after="160" w:line="276" w:lineRule="auto"/>
        <w:ind w:left="426" w:hanging="284"/>
        <w:contextualSpacing/>
        <w:jc w:val="left"/>
        <w:rPr>
          <w:rFonts w:eastAsia="Times New Roman" w:cs="Times New Roman"/>
          <w:color w:val="4D160F"/>
          <w:kern w:val="0"/>
          <w:szCs w:val="20"/>
          <w:lang w:bidi="en-US"/>
          <w14:ligatures w14:val="none"/>
        </w:rPr>
      </w:pPr>
      <w:r w:rsidRPr="003F2001">
        <w:rPr>
          <w:rFonts w:eastAsia="Times New Roman" w:cs="Times New Roman"/>
          <w:color w:val="4D160F"/>
          <w:kern w:val="0"/>
          <w:szCs w:val="20"/>
          <w:lang w:bidi="en-US"/>
          <w14:ligatures w14:val="none"/>
        </w:rPr>
        <w:t>Główne zadania zakresu ochrony przeciwpożarowej realizowano poprzez działalność Ochotniczych Straży Pożarnych. W 2023 r. na terenie gminy funkcjonowało 13 jednostek OSP typu „S” (posiadających samochody), z czego 3 jednostki (OSP Opole Lubelskie, OSP Puszno Godowskie, OSP Wrzelowiec) włączone do Krajowego Systemu Ratowniczo-Gaśniczego. Jednostki OSP na swym wyposażeniu posiadają 22 samochody pożarnicze, łodzie, agregaty prądotwórcze, system selektywnego alarmowania do zdarzeń. Aktualne wyposażenie spełnia niezbędne wymagania i zabezpiecza potrzeby gminy.</w:t>
      </w:r>
      <w:r w:rsidRPr="003F2001">
        <w:rPr>
          <w:rFonts w:ascii="Calibri" w:eastAsia="Calibri" w:hAnsi="Calibri" w:cs="Times New Roman"/>
          <w:color w:val="4D160F"/>
          <w:sz w:val="22"/>
        </w:rPr>
        <w:t xml:space="preserve"> </w:t>
      </w:r>
      <w:r w:rsidRPr="003F2001">
        <w:rPr>
          <w:rFonts w:eastAsia="Times New Roman" w:cs="Times New Roman"/>
          <w:color w:val="4D160F"/>
          <w:kern w:val="0"/>
          <w:szCs w:val="20"/>
          <w:lang w:bidi="en-US"/>
          <w14:ligatures w14:val="none"/>
        </w:rPr>
        <w:t>Jednostki OSP również wykazują się dużą aktywnością podczas działań wspomagających organizację imprez kulturalnych czy inicjatyw lokalnej społeczności.</w:t>
      </w:r>
    </w:p>
    <w:p w14:paraId="5C14C1E2" w14:textId="77777777" w:rsidR="003F2001" w:rsidRPr="003F2001" w:rsidRDefault="003F2001" w:rsidP="003F2001">
      <w:pPr>
        <w:spacing w:line="276" w:lineRule="auto"/>
        <w:contextualSpacing/>
        <w:rPr>
          <w:rFonts w:eastAsia="Times New Roman" w:cs="Times New Roman"/>
          <w:color w:val="FF0000"/>
          <w:kern w:val="0"/>
          <w:szCs w:val="20"/>
          <w:lang w:bidi="en-US"/>
          <w14:ligatures w14:val="none"/>
        </w:rPr>
      </w:pPr>
    </w:p>
    <w:p w14:paraId="235ED8C4" w14:textId="77777777" w:rsidR="003F2001" w:rsidRPr="003F2001" w:rsidRDefault="003F2001" w:rsidP="003F2001">
      <w:pPr>
        <w:spacing w:after="160" w:line="259" w:lineRule="auto"/>
        <w:jc w:val="left"/>
        <w:rPr>
          <w:rFonts w:eastAsia="Times New Roman" w:cs="Times New Roman"/>
          <w:color w:val="FF0000"/>
          <w:kern w:val="0"/>
          <w:szCs w:val="20"/>
          <w:lang w:bidi="en-US"/>
          <w14:ligatures w14:val="none"/>
        </w:rPr>
      </w:pPr>
      <w:r w:rsidRPr="003F2001">
        <w:rPr>
          <w:rFonts w:eastAsia="Times New Roman" w:cs="Times New Roman"/>
          <w:color w:val="FF0000"/>
          <w:kern w:val="0"/>
          <w:szCs w:val="20"/>
          <w:lang w:bidi="en-US"/>
          <w14:ligatures w14:val="none"/>
        </w:rPr>
        <w:br w:type="page"/>
      </w:r>
    </w:p>
    <w:p w14:paraId="2B55C386" w14:textId="1EEAD2A7" w:rsidR="003F2001" w:rsidRPr="003F2001" w:rsidRDefault="003F2001" w:rsidP="00E521DC">
      <w:pPr>
        <w:pStyle w:val="Nagwek1"/>
      </w:pPr>
      <w:bookmarkStart w:id="169" w:name="_Toc173435471"/>
      <w:bookmarkStart w:id="170" w:name="_Toc191908786"/>
      <w:r>
        <w:lastRenderedPageBreak/>
        <w:t xml:space="preserve">2.7 </w:t>
      </w:r>
      <w:r w:rsidRPr="003F2001">
        <w:t>Jakość zarządzania i sytuacja finansowa</w:t>
      </w:r>
      <w:bookmarkEnd w:id="169"/>
      <w:bookmarkEnd w:id="170"/>
    </w:p>
    <w:p w14:paraId="143AA6A7" w14:textId="77927ADE" w:rsidR="003F2001" w:rsidRPr="003F2001" w:rsidRDefault="003F2001" w:rsidP="00941F1D">
      <w:pPr>
        <w:pStyle w:val="Nagwek2"/>
      </w:pPr>
      <w:bookmarkStart w:id="171" w:name="_Toc173435472"/>
      <w:bookmarkStart w:id="172" w:name="_Toc191908787"/>
      <w:r>
        <w:t xml:space="preserve">2.7.1 </w:t>
      </w:r>
      <w:r w:rsidRPr="003F2001">
        <w:t>Struktura budżetu Gminy</w:t>
      </w:r>
      <w:bookmarkEnd w:id="171"/>
      <w:bookmarkEnd w:id="172"/>
    </w:p>
    <w:p w14:paraId="29180646"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Wielkość dochodów oraz struktura wydatków gminy świadczy o zdolności jednostki do inwestowania. W 2023 r. </w:t>
      </w:r>
      <w:r w:rsidRPr="003F2001">
        <w:rPr>
          <w:rFonts w:eastAsia="Times New Roman" w:cs="Times New Roman"/>
          <w:b/>
          <w:bCs/>
          <w:color w:val="69230B"/>
          <w:kern w:val="0"/>
          <w:szCs w:val="20"/>
          <w:lang w:bidi="en-US"/>
          <w14:ligatures w14:val="none"/>
        </w:rPr>
        <w:t>dochody</w:t>
      </w:r>
      <w:r w:rsidRPr="003F2001">
        <w:rPr>
          <w:rFonts w:eastAsia="Times New Roman" w:cs="Times New Roman"/>
          <w:kern w:val="0"/>
          <w:szCs w:val="20"/>
          <w:lang w:bidi="en-US"/>
          <w14:ligatures w14:val="none"/>
        </w:rPr>
        <w:t xml:space="preserve"> Gminy Opole Lubelskie wyniosły 96 769 813,38 zł, a </w:t>
      </w:r>
      <w:r w:rsidRPr="003F2001">
        <w:rPr>
          <w:rFonts w:eastAsia="Times New Roman" w:cs="Times New Roman"/>
          <w:b/>
          <w:bCs/>
          <w:color w:val="69230B"/>
          <w:kern w:val="0"/>
          <w:szCs w:val="20"/>
          <w:lang w:bidi="en-US"/>
          <w14:ligatures w14:val="none"/>
        </w:rPr>
        <w:t>wydatki</w:t>
      </w:r>
      <w:r w:rsidRPr="003F2001">
        <w:rPr>
          <w:rFonts w:eastAsia="Times New Roman" w:cs="Times New Roman"/>
          <w:kern w:val="0"/>
          <w:szCs w:val="20"/>
          <w:lang w:bidi="en-US"/>
          <w14:ligatures w14:val="none"/>
        </w:rPr>
        <w:t xml:space="preserve"> osiągnęły kwotę 98 163 108,10 zł. Należy również zauważyć, że w latach 2014-2020 dochody i wydatki gminy wykazywały trend wzrostowy, natomiast w następnych latach utrzymywały się na dość stałym poziomie.</w:t>
      </w:r>
    </w:p>
    <w:p w14:paraId="19B56859"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 ocenie potencjału dochodowego gmin z punktu widzenia możliwości finansowania ich zadań inwestycyjnych szczególnie przydatna jest kategoria nadwyżki lub deficytu operacyjnego. </w:t>
      </w:r>
      <w:r w:rsidRPr="003F2001">
        <w:rPr>
          <w:rFonts w:eastAsia="Times New Roman" w:cs="Times New Roman"/>
          <w:b/>
          <w:bCs/>
          <w:color w:val="4D160F"/>
          <w:kern w:val="0"/>
          <w:szCs w:val="20"/>
          <w:lang w:bidi="en-US"/>
          <w14:ligatures w14:val="none"/>
        </w:rPr>
        <w:t>Wynik operacyjny</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określa poziom dochodów bieżących pozostających do dyspozycji samorządów po sfinansowaniu obligatoryjnych wydatków bieżących wraz z kosztami obsługi zadłużenia. Dodatni wynik bieżący (nadwyżka operacyjna) daje jednostce samorządu terytorialnego możliwość realizacji nowych przedsięwzięć majątkowych, zarówno bezpośrednio, przeznaczając tę kwotę na inwestycje lub pośrednio, spłacając wcześniej zaciągnięte zobowiązania na cele inwestycyjne. Ujemny wynik bieżący (deficyt operacyjny) oznacza, że bieżące wydatki jednostki samorządu terytorialnego przekraczają poziom jej dochodów bieżących. W roku 2023 wynik finansowy gminy był ujemny i jednostka wygenerowała stratę w wysokości</w:t>
      </w:r>
      <w:r w:rsidRPr="003F2001">
        <w:rPr>
          <w:rFonts w:eastAsia="Times New Roman" w:cs="Times New Roman"/>
          <w:b/>
          <w:bCs/>
          <w:color w:val="69230B"/>
          <w:kern w:val="0"/>
          <w:szCs w:val="20"/>
          <w:lang w:bidi="en-US"/>
          <w14:ligatures w14:val="none"/>
        </w:rPr>
        <w:t xml:space="preserve"> </w:t>
      </w:r>
      <w:r w:rsidRPr="003F2001">
        <w:rPr>
          <w:rFonts w:eastAsia="Times New Roman" w:cs="Times New Roman"/>
          <w:kern w:val="0"/>
          <w:szCs w:val="20"/>
          <w:lang w:bidi="en-US"/>
          <w14:ligatures w14:val="none"/>
        </w:rPr>
        <w:t>1 393 294,72 zł. Analiza danych statystycznych GUS wskazuje, że w latach 2014-2023 saldo budżetu bieżącego zazwyczaj przyjmowało wartości ujemne (jedynie w 2016 i 2020 r. w Gminie Opole Lubelskie odnotowano dodatni wynik operacyjny), co oznacza, że wydatki bieżące jednostki nie znajdowały pełnego pokrycia w dochodach bieżących.</w:t>
      </w:r>
    </w:p>
    <w:p w14:paraId="5F70EBA8" w14:textId="6F6F584C" w:rsidR="003F2001" w:rsidRPr="003F2001" w:rsidRDefault="003F2001" w:rsidP="003F2001">
      <w:pPr>
        <w:spacing w:before="120" w:line="240" w:lineRule="auto"/>
        <w:rPr>
          <w:rFonts w:eastAsia="Times New Roman" w:cs="Times New Roman"/>
          <w:b/>
          <w:bCs/>
          <w:color w:val="69230B"/>
          <w:kern w:val="0"/>
          <w:sz w:val="16"/>
          <w:szCs w:val="18"/>
          <w:lang w:bidi="en-US"/>
          <w14:ligatures w14:val="none"/>
        </w:rPr>
      </w:pPr>
      <w:bookmarkStart w:id="173" w:name="_Toc189166401"/>
      <w:r w:rsidRPr="003F2001">
        <w:rPr>
          <w:rFonts w:eastAsia="Times New Roman" w:cs="Times New Roman"/>
          <w:b/>
          <w:bCs/>
          <w:color w:val="69230B"/>
          <w:kern w:val="0"/>
          <w:sz w:val="16"/>
          <w:szCs w:val="18"/>
          <w:lang w:bidi="en-US"/>
          <w14:ligatures w14:val="none"/>
        </w:rPr>
        <w:t xml:space="preserve">Wykres </w:t>
      </w:r>
      <w:r w:rsidRPr="003F2001">
        <w:rPr>
          <w:rFonts w:eastAsia="Times New Roman" w:cs="Times New Roman"/>
          <w:b/>
          <w:bCs/>
          <w:color w:val="69230B"/>
          <w:kern w:val="0"/>
          <w:sz w:val="16"/>
          <w:szCs w:val="18"/>
          <w:lang w:bidi="en-US"/>
          <w14:ligatures w14:val="none"/>
        </w:rPr>
        <w:fldChar w:fldCharType="begin"/>
      </w:r>
      <w:r w:rsidRPr="003F2001">
        <w:rPr>
          <w:rFonts w:eastAsia="Times New Roman" w:cs="Times New Roman"/>
          <w:b/>
          <w:bCs/>
          <w:color w:val="69230B"/>
          <w:kern w:val="0"/>
          <w:sz w:val="16"/>
          <w:szCs w:val="18"/>
          <w:lang w:bidi="en-US"/>
          <w14:ligatures w14:val="none"/>
        </w:rPr>
        <w:instrText xml:space="preserve"> SEQ Wykres \* ARABIC </w:instrText>
      </w:r>
      <w:r w:rsidRPr="003F2001">
        <w:rPr>
          <w:rFonts w:eastAsia="Times New Roman" w:cs="Times New Roman"/>
          <w:b/>
          <w:bCs/>
          <w:color w:val="69230B"/>
          <w:kern w:val="0"/>
          <w:sz w:val="16"/>
          <w:szCs w:val="18"/>
          <w:lang w:bidi="en-US"/>
          <w14:ligatures w14:val="none"/>
        </w:rPr>
        <w:fldChar w:fldCharType="separate"/>
      </w:r>
      <w:r w:rsidR="008E0CB6">
        <w:rPr>
          <w:rFonts w:eastAsia="Times New Roman" w:cs="Times New Roman"/>
          <w:b/>
          <w:bCs/>
          <w:noProof/>
          <w:color w:val="69230B"/>
          <w:kern w:val="0"/>
          <w:sz w:val="16"/>
          <w:szCs w:val="18"/>
          <w:lang w:bidi="en-US"/>
          <w14:ligatures w14:val="none"/>
        </w:rPr>
        <w:t>45</w:t>
      </w:r>
      <w:r w:rsidRPr="003F2001">
        <w:rPr>
          <w:rFonts w:eastAsia="Times New Roman" w:cs="Times New Roman"/>
          <w:b/>
          <w:bCs/>
          <w:noProof/>
          <w:color w:val="69230B"/>
          <w:kern w:val="0"/>
          <w:sz w:val="16"/>
          <w:szCs w:val="18"/>
          <w:lang w:bidi="en-US"/>
          <w14:ligatures w14:val="none"/>
        </w:rPr>
        <w:fldChar w:fldCharType="end"/>
      </w:r>
      <w:r w:rsidRPr="003F2001">
        <w:rPr>
          <w:rFonts w:eastAsia="Times New Roman" w:cs="Times New Roman"/>
          <w:b/>
          <w:bCs/>
          <w:noProof/>
          <w:color w:val="69230B"/>
          <w:kern w:val="0"/>
          <w:sz w:val="16"/>
          <w:szCs w:val="18"/>
          <w:lang w:bidi="en-US"/>
          <w14:ligatures w14:val="none"/>
        </w:rPr>
        <w:t>.</w:t>
      </w:r>
      <w:r w:rsidRPr="003F2001">
        <w:rPr>
          <w:rFonts w:eastAsia="Times New Roman" w:cs="Times New Roman"/>
          <w:b/>
          <w:bCs/>
          <w:color w:val="69230B"/>
          <w:kern w:val="0"/>
          <w:sz w:val="16"/>
          <w:szCs w:val="18"/>
          <w:lang w:bidi="en-US"/>
          <w14:ligatures w14:val="none"/>
        </w:rPr>
        <w:t xml:space="preserve"> Wykonanie budżetu Gminy Opole Lubelskie w latach 2014-2023 (mln zł)</w:t>
      </w:r>
      <w:bookmarkEnd w:id="173"/>
      <w:r w:rsidRPr="003F2001">
        <w:rPr>
          <w:rFonts w:eastAsia="Times New Roman" w:cs="Times New Roman"/>
          <w:b/>
          <w:bCs/>
          <w:color w:val="69230B"/>
          <w:kern w:val="0"/>
          <w:sz w:val="16"/>
          <w:szCs w:val="18"/>
          <w:lang w:bidi="en-US"/>
          <w14:ligatures w14:val="none"/>
        </w:rPr>
        <w:t xml:space="preserve"> </w:t>
      </w:r>
    </w:p>
    <w:p w14:paraId="0A0D7742"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42CADE23" wp14:editId="7BB8C7FE">
            <wp:extent cx="5760720" cy="2699385"/>
            <wp:effectExtent l="0" t="0" r="0" b="5715"/>
            <wp:docPr id="35" name="Wykres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1A4CFAE"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6AC02298" w14:textId="77777777" w:rsidR="003F2001" w:rsidRPr="003F2001" w:rsidRDefault="003F2001" w:rsidP="003F2001">
      <w:pPr>
        <w:spacing w:line="276" w:lineRule="auto"/>
        <w:rPr>
          <w:rFonts w:eastAsia="Times New Roman" w:cs="Times New Roman"/>
          <w:b/>
          <w:bCs/>
          <w:color w:val="69230B"/>
          <w:kern w:val="0"/>
          <w:sz w:val="16"/>
          <w:szCs w:val="18"/>
          <w:lang w:bidi="en-US"/>
          <w14:ligatures w14:val="none"/>
        </w:rPr>
      </w:pPr>
      <w:r w:rsidRPr="003F2001">
        <w:rPr>
          <w:rFonts w:eastAsia="Times New Roman" w:cs="Times New Roman"/>
          <w:kern w:val="0"/>
          <w:szCs w:val="20"/>
          <w:lang w:bidi="en-US"/>
          <w14:ligatures w14:val="none"/>
        </w:rPr>
        <w:t xml:space="preserve">W ciągu ostatnich 10 lat można zaobserwować systematyczny </w:t>
      </w:r>
      <w:r w:rsidRPr="003F2001">
        <w:rPr>
          <w:rFonts w:eastAsia="Times New Roman" w:cs="Times New Roman"/>
          <w:b/>
          <w:bCs/>
          <w:color w:val="69230B"/>
          <w:kern w:val="0"/>
          <w:szCs w:val="20"/>
          <w:lang w:bidi="en-US"/>
          <w14:ligatures w14:val="none"/>
        </w:rPr>
        <w:t>wzrost dochodów</w:t>
      </w:r>
      <w:r w:rsidRPr="003F2001">
        <w:rPr>
          <w:rFonts w:eastAsia="Times New Roman" w:cs="Times New Roman"/>
          <w:color w:val="69230B"/>
          <w:kern w:val="0"/>
          <w:szCs w:val="20"/>
          <w:lang w:bidi="en-US"/>
          <w14:ligatures w14:val="none"/>
        </w:rPr>
        <w:t xml:space="preserve"> </w:t>
      </w:r>
      <w:r w:rsidRPr="003F2001">
        <w:rPr>
          <w:rFonts w:eastAsia="Times New Roman" w:cs="Times New Roman"/>
          <w:kern w:val="0"/>
          <w:szCs w:val="20"/>
          <w:lang w:bidi="en-US"/>
          <w14:ligatures w14:val="none"/>
        </w:rPr>
        <w:t>gminy. W odniesieniu do roku 2013 dochody wzrosły o 94,3% (46 955 496,03 zł).</w:t>
      </w:r>
      <w:r w:rsidRPr="003F2001">
        <w:rPr>
          <w:rFonts w:eastAsia="Times New Roman" w:cs="Times New Roman"/>
          <w:b/>
          <w:bCs/>
          <w:color w:val="69230B"/>
          <w:kern w:val="0"/>
          <w:sz w:val="16"/>
          <w:szCs w:val="18"/>
          <w:lang w:bidi="en-US"/>
          <w14:ligatures w14:val="none"/>
        </w:rPr>
        <w:t xml:space="preserve"> </w:t>
      </w:r>
    </w:p>
    <w:p w14:paraId="67FC1FF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b/>
          <w:bCs/>
          <w:color w:val="69230B"/>
          <w:kern w:val="0"/>
          <w:szCs w:val="20"/>
          <w:lang w:bidi="en-US"/>
          <w14:ligatures w14:val="none"/>
        </w:rPr>
        <w:t>Struktura dochodów samorządu</w:t>
      </w:r>
      <w:r w:rsidRPr="003F2001">
        <w:rPr>
          <w:rFonts w:eastAsia="Times New Roman" w:cs="Times New Roman"/>
          <w:kern w:val="0"/>
          <w:szCs w:val="20"/>
          <w:lang w:bidi="en-US"/>
          <w14:ligatures w14:val="none"/>
        </w:rPr>
        <w:t xml:space="preserve">, a szczególnie wysoki udział dochodów własnych w dochodach ogółem, świadczy o zamożności jednostki samorządu terytorialnego, a także o dużej samodzielności finansowej i niezależności od transferów z budżetu państwa. Dochody własne stanowią bowiem wpływy z podatków, opłat, sprzedaży mienia komunalnego czy </w:t>
      </w:r>
      <w:r w:rsidRPr="003F2001">
        <w:rPr>
          <w:rFonts w:eastAsia="Times New Roman" w:cs="Times New Roman"/>
          <w:kern w:val="0"/>
          <w:szCs w:val="20"/>
          <w:lang w:bidi="en-US"/>
          <w14:ligatures w14:val="none"/>
        </w:rPr>
        <w:lastRenderedPageBreak/>
        <w:t>dzierżawy (tzw. dochody własne podstawowe), a także wpływy z tytułu udziału w podatkach od osób fizycznych (PIT) i prawnych (CIT), stanowiących dochody budżetu państwa. W Gminie Opole Lubelskie w 2023 r. najwyższy udział w dochodach ogółem miały subwencje - 37,5% (36 287 646,80 zł), następnie dotacje - 31,8% (30 771 750,86 zł), zaś najmniejszy dochody własne - 30,7% (29 710 415,72 zł).</w:t>
      </w:r>
      <w:r w:rsidRPr="003F2001">
        <w:rPr>
          <w:rFonts w:ascii="Calibri" w:eastAsia="Calibri" w:hAnsi="Calibri" w:cs="Times New Roman"/>
          <w:sz w:val="22"/>
        </w:rPr>
        <w:t xml:space="preserve"> </w:t>
      </w:r>
      <w:r w:rsidRPr="003F2001">
        <w:rPr>
          <w:rFonts w:eastAsia="Times New Roman" w:cs="Times New Roman"/>
          <w:kern w:val="0"/>
          <w:szCs w:val="20"/>
          <w:lang w:bidi="en-US"/>
          <w14:ligatures w14:val="none"/>
        </w:rPr>
        <w:t>Analiza struktury dochodów gminy w latach 2014-2023 wskazuje na pogarszającą się – od 2021 r. – sytuację finansową jednostki. W roku tym, po wcześniejszym okresie wzrostu udziału dochodów własnych, nastąpił znaczący ich spadek.</w:t>
      </w:r>
    </w:p>
    <w:p w14:paraId="4E64605D" w14:textId="4CF2BC03" w:rsidR="003F2001" w:rsidRPr="003F2001" w:rsidRDefault="003F2001" w:rsidP="003F2001">
      <w:pPr>
        <w:spacing w:before="120" w:line="240" w:lineRule="auto"/>
        <w:rPr>
          <w:rFonts w:eastAsia="Times New Roman" w:cs="Times New Roman"/>
          <w:b/>
          <w:bCs/>
          <w:color w:val="69230B"/>
          <w:kern w:val="0"/>
          <w:sz w:val="16"/>
          <w:szCs w:val="18"/>
          <w:lang w:bidi="en-US"/>
          <w14:ligatures w14:val="none"/>
        </w:rPr>
      </w:pPr>
      <w:bookmarkStart w:id="174" w:name="_Toc189166402"/>
      <w:r w:rsidRPr="003F2001">
        <w:rPr>
          <w:rFonts w:eastAsia="Times New Roman" w:cs="Times New Roman"/>
          <w:b/>
          <w:bCs/>
          <w:color w:val="69230B"/>
          <w:kern w:val="0"/>
          <w:sz w:val="16"/>
          <w:szCs w:val="18"/>
          <w:lang w:bidi="en-US"/>
          <w14:ligatures w14:val="none"/>
        </w:rPr>
        <w:t xml:space="preserve">Wykres </w:t>
      </w:r>
      <w:r w:rsidRPr="003F2001">
        <w:rPr>
          <w:rFonts w:eastAsia="Times New Roman" w:cs="Times New Roman"/>
          <w:b/>
          <w:bCs/>
          <w:color w:val="69230B"/>
          <w:kern w:val="0"/>
          <w:sz w:val="16"/>
          <w:szCs w:val="18"/>
          <w:lang w:bidi="en-US"/>
          <w14:ligatures w14:val="none"/>
        </w:rPr>
        <w:fldChar w:fldCharType="begin"/>
      </w:r>
      <w:r w:rsidRPr="003F2001">
        <w:rPr>
          <w:rFonts w:eastAsia="Times New Roman" w:cs="Times New Roman"/>
          <w:b/>
          <w:bCs/>
          <w:color w:val="69230B"/>
          <w:kern w:val="0"/>
          <w:sz w:val="16"/>
          <w:szCs w:val="18"/>
          <w:lang w:bidi="en-US"/>
          <w14:ligatures w14:val="none"/>
        </w:rPr>
        <w:instrText xml:space="preserve"> SEQ Wykres \* ARABIC </w:instrText>
      </w:r>
      <w:r w:rsidRPr="003F2001">
        <w:rPr>
          <w:rFonts w:eastAsia="Times New Roman" w:cs="Times New Roman"/>
          <w:b/>
          <w:bCs/>
          <w:color w:val="69230B"/>
          <w:kern w:val="0"/>
          <w:sz w:val="16"/>
          <w:szCs w:val="18"/>
          <w:lang w:bidi="en-US"/>
          <w14:ligatures w14:val="none"/>
        </w:rPr>
        <w:fldChar w:fldCharType="separate"/>
      </w:r>
      <w:r w:rsidR="008E0CB6">
        <w:rPr>
          <w:rFonts w:eastAsia="Times New Roman" w:cs="Times New Roman"/>
          <w:b/>
          <w:bCs/>
          <w:noProof/>
          <w:color w:val="69230B"/>
          <w:kern w:val="0"/>
          <w:sz w:val="16"/>
          <w:szCs w:val="18"/>
          <w:lang w:bidi="en-US"/>
          <w14:ligatures w14:val="none"/>
        </w:rPr>
        <w:t>46</w:t>
      </w:r>
      <w:r w:rsidRPr="003F2001">
        <w:rPr>
          <w:rFonts w:eastAsia="Times New Roman" w:cs="Times New Roman"/>
          <w:b/>
          <w:bCs/>
          <w:noProof/>
          <w:color w:val="69230B"/>
          <w:kern w:val="0"/>
          <w:sz w:val="16"/>
          <w:szCs w:val="18"/>
          <w:lang w:bidi="en-US"/>
          <w14:ligatures w14:val="none"/>
        </w:rPr>
        <w:fldChar w:fldCharType="end"/>
      </w:r>
      <w:r w:rsidRPr="003F2001">
        <w:rPr>
          <w:rFonts w:eastAsia="Times New Roman" w:cs="Times New Roman"/>
          <w:b/>
          <w:bCs/>
          <w:noProof/>
          <w:color w:val="69230B"/>
          <w:kern w:val="0"/>
          <w:sz w:val="16"/>
          <w:szCs w:val="18"/>
          <w:lang w:bidi="en-US"/>
          <w14:ligatures w14:val="none"/>
        </w:rPr>
        <w:t>.</w:t>
      </w:r>
      <w:r w:rsidRPr="003F2001">
        <w:rPr>
          <w:rFonts w:eastAsia="Times New Roman" w:cs="Times New Roman"/>
          <w:b/>
          <w:bCs/>
          <w:color w:val="69230B"/>
          <w:kern w:val="0"/>
          <w:sz w:val="16"/>
          <w:szCs w:val="18"/>
          <w:lang w:bidi="en-US"/>
          <w14:ligatures w14:val="none"/>
        </w:rPr>
        <w:t xml:space="preserve"> Struktura dochodów Gminy Opole Lubelskie w latach 2014 - 2023 (%)</w:t>
      </w:r>
      <w:bookmarkEnd w:id="174"/>
      <w:r w:rsidRPr="003F2001">
        <w:rPr>
          <w:rFonts w:eastAsia="Times New Roman" w:cs="Times New Roman"/>
          <w:b/>
          <w:bCs/>
          <w:color w:val="69230B"/>
          <w:kern w:val="0"/>
          <w:sz w:val="16"/>
          <w:szCs w:val="18"/>
          <w:lang w:bidi="en-US"/>
          <w14:ligatures w14:val="none"/>
        </w:rPr>
        <w:t xml:space="preserve"> </w:t>
      </w:r>
    </w:p>
    <w:p w14:paraId="7BD1AABF"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7ADD4EF6" wp14:editId="172B1E98">
            <wp:extent cx="5760720" cy="2699385"/>
            <wp:effectExtent l="0" t="0" r="0" b="5715"/>
            <wp:docPr id="36" name="Wykres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5904EDC"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7C2E0FE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Według danych GUS </w:t>
      </w:r>
      <w:r w:rsidRPr="003F2001">
        <w:rPr>
          <w:rFonts w:eastAsia="Times New Roman" w:cs="Times New Roman"/>
          <w:b/>
          <w:bCs/>
          <w:color w:val="4D160F"/>
          <w:kern w:val="0"/>
          <w:szCs w:val="20"/>
          <w:lang w:bidi="en-US"/>
          <w14:ligatures w14:val="none"/>
        </w:rPr>
        <w:t>średni dochód w przeliczeniu na 1 mieszkańca</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gminy wyniósł 5 940,44 zł i był nieznacznie niższy od średniego dochodu na 1 mieszkańca gmin powiatu opolskiego (5 966,76 zł) oraz od średniego dochodu na 1 mieszkańca województwa lubelskiego w gminach bez miast na prawach powiatu. Trend dotyczący dochodów własnych gminy przypadających na 1 mieszkańca w latach 2014-2020 kształtował się pozytywnie – w okresie tym obserwowano stały wzrost tego wskaźnika. Natomiast w latach 2021-2023 odnotowano tendencję spadkową – średni dochód per capita zmiesza się rok do roku o 1-2%. </w:t>
      </w:r>
    </w:p>
    <w:p w14:paraId="0E261EA4" w14:textId="77777777" w:rsidR="003F2001" w:rsidRPr="003F2001" w:rsidRDefault="003F2001" w:rsidP="003F2001">
      <w:pPr>
        <w:spacing w:after="160" w:line="259"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br w:type="page"/>
      </w:r>
    </w:p>
    <w:p w14:paraId="677232BF" w14:textId="4726D908" w:rsidR="003F2001" w:rsidRPr="003F2001" w:rsidRDefault="003F2001" w:rsidP="003F2001">
      <w:pPr>
        <w:spacing w:before="120" w:line="240" w:lineRule="auto"/>
        <w:rPr>
          <w:rFonts w:eastAsia="Times New Roman" w:cs="Times New Roman"/>
          <w:b/>
          <w:bCs/>
          <w:color w:val="69230B"/>
          <w:kern w:val="0"/>
          <w:sz w:val="16"/>
          <w:szCs w:val="18"/>
          <w:lang w:bidi="en-US"/>
          <w14:ligatures w14:val="none"/>
        </w:rPr>
      </w:pPr>
      <w:bookmarkStart w:id="175" w:name="_Toc189166403"/>
      <w:r w:rsidRPr="003F2001">
        <w:rPr>
          <w:rFonts w:eastAsia="Times New Roman" w:cs="Times New Roman"/>
          <w:b/>
          <w:bCs/>
          <w:color w:val="69230B"/>
          <w:kern w:val="0"/>
          <w:sz w:val="16"/>
          <w:szCs w:val="18"/>
          <w:lang w:bidi="en-US"/>
          <w14:ligatures w14:val="none"/>
        </w:rPr>
        <w:lastRenderedPageBreak/>
        <w:t xml:space="preserve">Wykres </w:t>
      </w:r>
      <w:r w:rsidRPr="003F2001">
        <w:rPr>
          <w:rFonts w:eastAsia="Times New Roman" w:cs="Times New Roman"/>
          <w:b/>
          <w:bCs/>
          <w:color w:val="69230B"/>
          <w:kern w:val="0"/>
          <w:sz w:val="16"/>
          <w:szCs w:val="18"/>
          <w:lang w:bidi="en-US"/>
          <w14:ligatures w14:val="none"/>
        </w:rPr>
        <w:fldChar w:fldCharType="begin"/>
      </w:r>
      <w:r w:rsidRPr="003F2001">
        <w:rPr>
          <w:rFonts w:eastAsia="Times New Roman" w:cs="Times New Roman"/>
          <w:b/>
          <w:bCs/>
          <w:color w:val="69230B"/>
          <w:kern w:val="0"/>
          <w:sz w:val="16"/>
          <w:szCs w:val="18"/>
          <w:lang w:bidi="en-US"/>
          <w14:ligatures w14:val="none"/>
        </w:rPr>
        <w:instrText xml:space="preserve"> SEQ Wykres \* ARABIC </w:instrText>
      </w:r>
      <w:r w:rsidRPr="003F2001">
        <w:rPr>
          <w:rFonts w:eastAsia="Times New Roman" w:cs="Times New Roman"/>
          <w:b/>
          <w:bCs/>
          <w:color w:val="69230B"/>
          <w:kern w:val="0"/>
          <w:sz w:val="16"/>
          <w:szCs w:val="18"/>
          <w:lang w:bidi="en-US"/>
          <w14:ligatures w14:val="none"/>
        </w:rPr>
        <w:fldChar w:fldCharType="separate"/>
      </w:r>
      <w:r w:rsidR="008E0CB6">
        <w:rPr>
          <w:rFonts w:eastAsia="Times New Roman" w:cs="Times New Roman"/>
          <w:b/>
          <w:bCs/>
          <w:noProof/>
          <w:color w:val="69230B"/>
          <w:kern w:val="0"/>
          <w:sz w:val="16"/>
          <w:szCs w:val="18"/>
          <w:lang w:bidi="en-US"/>
          <w14:ligatures w14:val="none"/>
        </w:rPr>
        <w:t>47</w:t>
      </w:r>
      <w:r w:rsidRPr="003F2001">
        <w:rPr>
          <w:rFonts w:eastAsia="Times New Roman" w:cs="Times New Roman"/>
          <w:b/>
          <w:bCs/>
          <w:noProof/>
          <w:color w:val="69230B"/>
          <w:kern w:val="0"/>
          <w:sz w:val="16"/>
          <w:szCs w:val="18"/>
          <w:lang w:bidi="en-US"/>
          <w14:ligatures w14:val="none"/>
        </w:rPr>
        <w:fldChar w:fldCharType="end"/>
      </w:r>
      <w:r w:rsidRPr="003F2001">
        <w:rPr>
          <w:rFonts w:eastAsia="Times New Roman" w:cs="Times New Roman"/>
          <w:b/>
          <w:bCs/>
          <w:noProof/>
          <w:color w:val="69230B"/>
          <w:kern w:val="0"/>
          <w:sz w:val="16"/>
          <w:szCs w:val="18"/>
          <w:lang w:bidi="en-US"/>
          <w14:ligatures w14:val="none"/>
        </w:rPr>
        <w:t>.</w:t>
      </w:r>
      <w:r w:rsidRPr="003F2001">
        <w:rPr>
          <w:rFonts w:eastAsia="Times New Roman" w:cs="Times New Roman"/>
          <w:b/>
          <w:bCs/>
          <w:color w:val="69230B"/>
          <w:kern w:val="0"/>
          <w:sz w:val="16"/>
          <w:szCs w:val="18"/>
          <w:lang w:bidi="en-US"/>
          <w14:ligatures w14:val="none"/>
        </w:rPr>
        <w:t xml:space="preserve"> Średni dochód na 1 mieszkańca Gminy Opole Lubelskie w latach 2014 - 2023 (zł)</w:t>
      </w:r>
      <w:bookmarkEnd w:id="175"/>
      <w:r w:rsidRPr="003F2001">
        <w:rPr>
          <w:rFonts w:eastAsia="Times New Roman" w:cs="Times New Roman"/>
          <w:b/>
          <w:bCs/>
          <w:color w:val="69230B"/>
          <w:kern w:val="0"/>
          <w:sz w:val="16"/>
          <w:szCs w:val="18"/>
          <w:lang w:bidi="en-US"/>
          <w14:ligatures w14:val="none"/>
        </w:rPr>
        <w:t xml:space="preserve"> </w:t>
      </w:r>
    </w:p>
    <w:p w14:paraId="2311B9EE"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6C415DFF" wp14:editId="22BFE2FE">
            <wp:extent cx="5759450" cy="2699385"/>
            <wp:effectExtent l="0" t="0" r="0" b="5715"/>
            <wp:docPr id="38" name="Wykres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B6CBA5-1C94-4676-95E3-C81F9DE75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16B28E"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53CCDC48" w14:textId="77777777" w:rsidR="003F2001" w:rsidRPr="003F2001" w:rsidRDefault="003F2001" w:rsidP="003F2001">
      <w:pPr>
        <w:spacing w:line="276" w:lineRule="auto"/>
        <w:rPr>
          <w:rFonts w:eastAsia="Times New Roman" w:cs="Times New Roman"/>
          <w:color w:val="FF0000"/>
          <w:kern w:val="0"/>
          <w:szCs w:val="20"/>
          <w:lang w:bidi="en-US"/>
          <w14:ligatures w14:val="none"/>
        </w:rPr>
      </w:pPr>
      <w:r w:rsidRPr="003F2001">
        <w:rPr>
          <w:rFonts w:eastAsia="Times New Roman" w:cs="Times New Roman"/>
          <w:kern w:val="0"/>
          <w:szCs w:val="20"/>
          <w:lang w:bidi="en-US"/>
          <w14:ligatures w14:val="none"/>
        </w:rPr>
        <w:t xml:space="preserve">W 2023 r. – w porównaniu do roku 2014 r. – </w:t>
      </w:r>
      <w:r w:rsidRPr="003F2001">
        <w:rPr>
          <w:rFonts w:eastAsia="Times New Roman" w:cs="Times New Roman"/>
          <w:b/>
          <w:bCs/>
          <w:color w:val="4D160F"/>
          <w:kern w:val="0"/>
          <w:szCs w:val="20"/>
          <w:lang w:bidi="en-US"/>
          <w14:ligatures w14:val="none"/>
        </w:rPr>
        <w:t>wydatki ogółem</w:t>
      </w:r>
      <w:r w:rsidRPr="003F2001">
        <w:rPr>
          <w:rFonts w:eastAsia="Times New Roman" w:cs="Times New Roman"/>
          <w:color w:val="4D160F"/>
          <w:kern w:val="0"/>
          <w:szCs w:val="20"/>
          <w:lang w:bidi="en-US"/>
          <w14:ligatures w14:val="none"/>
        </w:rPr>
        <w:t xml:space="preserve"> </w:t>
      </w:r>
      <w:r w:rsidRPr="003F2001">
        <w:rPr>
          <w:rFonts w:eastAsia="Times New Roman" w:cs="Times New Roman"/>
          <w:kern w:val="0"/>
          <w:szCs w:val="20"/>
          <w:lang w:bidi="en-US"/>
          <w14:ligatures w14:val="none"/>
        </w:rPr>
        <w:t xml:space="preserve">gmin partnerskich zwiększyły się o 48 189 475,81 zł (96,4%). W </w:t>
      </w:r>
      <w:r w:rsidRPr="003F2001">
        <w:rPr>
          <w:rFonts w:eastAsia="Times New Roman" w:cs="Times New Roman"/>
          <w:b/>
          <w:bCs/>
          <w:color w:val="4D160F"/>
          <w:kern w:val="0"/>
          <w:szCs w:val="20"/>
          <w:lang w:bidi="en-US"/>
          <w14:ligatures w14:val="none"/>
        </w:rPr>
        <w:t>strukturze wydatków</w:t>
      </w:r>
      <w:r w:rsidRPr="003F2001">
        <w:rPr>
          <w:rFonts w:eastAsia="Times New Roman" w:cs="Times New Roman"/>
          <w:kern w:val="0"/>
          <w:szCs w:val="20"/>
          <w:lang w:bidi="en-US"/>
          <w14:ligatures w14:val="none"/>
        </w:rPr>
        <w:t xml:space="preserve"> gminy w 2023 r. wydatki bieżące wyniosły 79 577 354,15 zł (81,1%), zaś wydatki majątkowe inwestycyjne 18 585 753,95 zł (18,9%). </w:t>
      </w:r>
    </w:p>
    <w:p w14:paraId="752BA92B" w14:textId="00522468" w:rsidR="003F2001" w:rsidRPr="003F2001" w:rsidRDefault="003F2001" w:rsidP="003F2001">
      <w:pPr>
        <w:spacing w:before="120" w:line="240" w:lineRule="auto"/>
        <w:rPr>
          <w:rFonts w:eastAsia="Times New Roman" w:cs="Times New Roman"/>
          <w:b/>
          <w:bCs/>
          <w:color w:val="69230B"/>
          <w:kern w:val="0"/>
          <w:sz w:val="16"/>
          <w:szCs w:val="18"/>
          <w:lang w:bidi="en-US"/>
          <w14:ligatures w14:val="none"/>
        </w:rPr>
      </w:pPr>
      <w:bookmarkStart w:id="176" w:name="_Toc189166404"/>
      <w:r w:rsidRPr="003F2001">
        <w:rPr>
          <w:rFonts w:eastAsia="Times New Roman" w:cs="Times New Roman"/>
          <w:b/>
          <w:bCs/>
          <w:color w:val="69230B"/>
          <w:kern w:val="0"/>
          <w:sz w:val="16"/>
          <w:szCs w:val="18"/>
          <w:lang w:bidi="en-US"/>
          <w14:ligatures w14:val="none"/>
        </w:rPr>
        <w:t xml:space="preserve">Wykres </w:t>
      </w:r>
      <w:r w:rsidRPr="003F2001">
        <w:rPr>
          <w:rFonts w:eastAsia="Times New Roman" w:cs="Times New Roman"/>
          <w:b/>
          <w:bCs/>
          <w:color w:val="69230B"/>
          <w:kern w:val="0"/>
          <w:sz w:val="16"/>
          <w:szCs w:val="18"/>
          <w:lang w:bidi="en-US"/>
          <w14:ligatures w14:val="none"/>
        </w:rPr>
        <w:fldChar w:fldCharType="begin"/>
      </w:r>
      <w:r w:rsidRPr="003F2001">
        <w:rPr>
          <w:rFonts w:eastAsia="Times New Roman" w:cs="Times New Roman"/>
          <w:b/>
          <w:bCs/>
          <w:color w:val="69230B"/>
          <w:kern w:val="0"/>
          <w:sz w:val="16"/>
          <w:szCs w:val="18"/>
          <w:lang w:bidi="en-US"/>
          <w14:ligatures w14:val="none"/>
        </w:rPr>
        <w:instrText xml:space="preserve"> SEQ Wykres \* ARABIC </w:instrText>
      </w:r>
      <w:r w:rsidRPr="003F2001">
        <w:rPr>
          <w:rFonts w:eastAsia="Times New Roman" w:cs="Times New Roman"/>
          <w:b/>
          <w:bCs/>
          <w:color w:val="69230B"/>
          <w:kern w:val="0"/>
          <w:sz w:val="16"/>
          <w:szCs w:val="18"/>
          <w:lang w:bidi="en-US"/>
          <w14:ligatures w14:val="none"/>
        </w:rPr>
        <w:fldChar w:fldCharType="separate"/>
      </w:r>
      <w:r w:rsidR="008E0CB6">
        <w:rPr>
          <w:rFonts w:eastAsia="Times New Roman" w:cs="Times New Roman"/>
          <w:b/>
          <w:bCs/>
          <w:noProof/>
          <w:color w:val="69230B"/>
          <w:kern w:val="0"/>
          <w:sz w:val="16"/>
          <w:szCs w:val="18"/>
          <w:lang w:bidi="en-US"/>
          <w14:ligatures w14:val="none"/>
        </w:rPr>
        <w:t>48</w:t>
      </w:r>
      <w:r w:rsidRPr="003F2001">
        <w:rPr>
          <w:rFonts w:eastAsia="Times New Roman" w:cs="Times New Roman"/>
          <w:b/>
          <w:bCs/>
          <w:noProof/>
          <w:color w:val="69230B"/>
          <w:kern w:val="0"/>
          <w:sz w:val="16"/>
          <w:szCs w:val="18"/>
          <w:lang w:bidi="en-US"/>
          <w14:ligatures w14:val="none"/>
        </w:rPr>
        <w:fldChar w:fldCharType="end"/>
      </w:r>
      <w:r w:rsidRPr="003F2001">
        <w:rPr>
          <w:rFonts w:eastAsia="Times New Roman" w:cs="Times New Roman"/>
          <w:b/>
          <w:bCs/>
          <w:noProof/>
          <w:color w:val="69230B"/>
          <w:kern w:val="0"/>
          <w:sz w:val="16"/>
          <w:szCs w:val="18"/>
          <w:lang w:bidi="en-US"/>
          <w14:ligatures w14:val="none"/>
        </w:rPr>
        <w:t>.</w:t>
      </w:r>
      <w:r w:rsidRPr="003F2001">
        <w:rPr>
          <w:rFonts w:eastAsia="Times New Roman" w:cs="Times New Roman"/>
          <w:b/>
          <w:bCs/>
          <w:color w:val="69230B"/>
          <w:kern w:val="0"/>
          <w:sz w:val="16"/>
          <w:szCs w:val="18"/>
          <w:lang w:bidi="en-US"/>
          <w14:ligatures w14:val="none"/>
        </w:rPr>
        <w:t xml:space="preserve"> Struktura wydatków Gminy Opole Lubelskie w latach 2014 - 2023 (%)</w:t>
      </w:r>
      <w:bookmarkEnd w:id="176"/>
      <w:r w:rsidRPr="003F2001">
        <w:rPr>
          <w:rFonts w:eastAsia="Times New Roman" w:cs="Times New Roman"/>
          <w:b/>
          <w:bCs/>
          <w:color w:val="69230B"/>
          <w:kern w:val="0"/>
          <w:sz w:val="16"/>
          <w:szCs w:val="18"/>
          <w:lang w:bidi="en-US"/>
          <w14:ligatures w14:val="none"/>
        </w:rPr>
        <w:t xml:space="preserve"> </w:t>
      </w:r>
    </w:p>
    <w:p w14:paraId="2705CFDB"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ascii="Calibri" w:eastAsia="Calibri" w:hAnsi="Calibri" w:cs="Times New Roman"/>
          <w:noProof/>
          <w:sz w:val="22"/>
          <w:lang w:eastAsia="pl-PL"/>
        </w:rPr>
        <w:drawing>
          <wp:inline distT="0" distB="0" distL="0" distR="0" wp14:anchorId="3673FEB8" wp14:editId="1AFFA785">
            <wp:extent cx="5760720" cy="2699385"/>
            <wp:effectExtent l="0" t="0" r="0" b="5715"/>
            <wp:docPr id="39" name="Wykres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DDD86C-B23C-4DEF-A283-184FF2308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503DA81"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Źródło: Opracowanie własne na podstawie danych BDL GUS.</w:t>
      </w:r>
    </w:p>
    <w:p w14:paraId="1FE24774" w14:textId="21C38644" w:rsidR="003F2001" w:rsidRPr="003F2001" w:rsidRDefault="003F2001" w:rsidP="00941F1D">
      <w:pPr>
        <w:pStyle w:val="Nagwek2"/>
      </w:pPr>
      <w:bookmarkStart w:id="177" w:name="_Toc173435473"/>
      <w:bookmarkStart w:id="178" w:name="_Toc191908788"/>
      <w:r>
        <w:t xml:space="preserve">2.7.2 </w:t>
      </w:r>
      <w:r w:rsidRPr="003F2001">
        <w:t>Projekty współfinansowane ze środków Unii Europejskiej</w:t>
      </w:r>
      <w:bookmarkEnd w:id="177"/>
      <w:bookmarkEnd w:id="178"/>
    </w:p>
    <w:p w14:paraId="46DBF6A5"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Gmina Opole Lubelskie aktywnie korzysta ze środków pochodzących z Funduszy Europejskich. Gmina w perspektywie finansowej 2014-2020 realizowała projekty w ramach </w:t>
      </w:r>
      <w:r w:rsidRPr="003F2001">
        <w:rPr>
          <w:rFonts w:eastAsia="Times New Roman" w:cs="Times New Roman"/>
          <w:b/>
          <w:bCs/>
          <w:color w:val="69230B"/>
          <w:kern w:val="0"/>
          <w:szCs w:val="20"/>
          <w:lang w:bidi="en-US"/>
          <w14:ligatures w14:val="none"/>
        </w:rPr>
        <w:t xml:space="preserve">Regionalnego Programu Operacyjnego Województwa Lubelskiego na lata 2014-2020, </w:t>
      </w:r>
      <w:r w:rsidRPr="003F2001">
        <w:rPr>
          <w:rFonts w:eastAsia="Times New Roman" w:cs="Times New Roman"/>
          <w:kern w:val="0"/>
          <w:szCs w:val="20"/>
          <w:lang w:bidi="en-US"/>
          <w14:ligatures w14:val="none"/>
        </w:rPr>
        <w:t xml:space="preserve">a także programów krajowych: Programu Operacyjnego Infrastruktura i Środowisko 2014-2020, Programu Operacyjnego Polska Cyfrowa na lata 2014-2020, Programu Operacyjnego Wiedza Edukacja Rozwój, Programu Rozwoju Obszarów Wiejskich na lata 2014-2020 oraz Programu Operacyjnego Rybactwo i Morze na lata 2014-2020. W ramach ww. programów gmina – jako </w:t>
      </w:r>
      <w:r w:rsidRPr="003F2001">
        <w:rPr>
          <w:rFonts w:eastAsia="Times New Roman" w:cs="Times New Roman"/>
          <w:kern w:val="0"/>
          <w:szCs w:val="20"/>
          <w:lang w:bidi="en-US"/>
          <w14:ligatures w14:val="none"/>
        </w:rPr>
        <w:lastRenderedPageBreak/>
        <w:t xml:space="preserve">beneficjent wiodący lub grantobiorca – zrealizowała </w:t>
      </w:r>
      <w:r w:rsidRPr="003F2001">
        <w:rPr>
          <w:rFonts w:eastAsia="Times New Roman" w:cs="Times New Roman"/>
          <w:b/>
          <w:bCs/>
          <w:color w:val="69230B"/>
          <w:kern w:val="0"/>
          <w:szCs w:val="20"/>
          <w:lang w:bidi="en-US"/>
          <w14:ligatures w14:val="none"/>
        </w:rPr>
        <w:t>16 projektów</w:t>
      </w:r>
      <w:r w:rsidRPr="003F2001">
        <w:rPr>
          <w:rFonts w:eastAsia="Times New Roman" w:cs="Times New Roman"/>
          <w:color w:val="69230B"/>
          <w:kern w:val="0"/>
          <w:szCs w:val="20"/>
          <w:lang w:bidi="en-US"/>
          <w14:ligatures w14:val="none"/>
        </w:rPr>
        <w:t xml:space="preserve"> </w:t>
      </w:r>
      <w:r w:rsidRPr="003F2001">
        <w:rPr>
          <w:rFonts w:eastAsia="Times New Roman" w:cs="Times New Roman"/>
          <w:kern w:val="0"/>
          <w:szCs w:val="20"/>
          <w:lang w:bidi="en-US"/>
          <w14:ligatures w14:val="none"/>
        </w:rPr>
        <w:t xml:space="preserve">o łącznej wartości ogółem wynoszącej 53 044 515,97 zł i otrzymała </w:t>
      </w:r>
      <w:r w:rsidRPr="003F2001">
        <w:rPr>
          <w:rFonts w:eastAsia="Times New Roman" w:cs="Times New Roman"/>
          <w:b/>
          <w:bCs/>
          <w:color w:val="69230B"/>
          <w:kern w:val="0"/>
          <w:szCs w:val="20"/>
          <w:lang w:bidi="en-US"/>
          <w14:ligatures w14:val="none"/>
        </w:rPr>
        <w:t>31 409 364,65 zł</w:t>
      </w:r>
      <w:r w:rsidRPr="003F2001">
        <w:rPr>
          <w:rFonts w:eastAsia="Times New Roman" w:cs="Times New Roman"/>
          <w:color w:val="69230B"/>
          <w:kern w:val="0"/>
          <w:szCs w:val="20"/>
          <w:lang w:bidi="en-US"/>
          <w14:ligatures w14:val="none"/>
        </w:rPr>
        <w:t xml:space="preserve"> </w:t>
      </w:r>
      <w:r w:rsidRPr="003F2001">
        <w:rPr>
          <w:rFonts w:eastAsia="Times New Roman" w:cs="Times New Roman"/>
          <w:kern w:val="0"/>
          <w:szCs w:val="20"/>
          <w:lang w:bidi="en-US"/>
          <w14:ligatures w14:val="none"/>
        </w:rPr>
        <w:t>dofinansowania z Unii Europejskiej.</w:t>
      </w:r>
    </w:p>
    <w:p w14:paraId="7F91F90B" w14:textId="2E86DE1D" w:rsidR="003F2001" w:rsidRPr="003F2001" w:rsidRDefault="003F2001" w:rsidP="003F2001">
      <w:pPr>
        <w:spacing w:before="120" w:line="240" w:lineRule="auto"/>
        <w:rPr>
          <w:rFonts w:eastAsia="Times New Roman" w:cs="Times New Roman"/>
          <w:b/>
          <w:bCs/>
          <w:color w:val="69230B"/>
          <w:kern w:val="0"/>
          <w:sz w:val="16"/>
          <w:szCs w:val="18"/>
          <w:lang w:bidi="en-US"/>
          <w14:ligatures w14:val="none"/>
        </w:rPr>
      </w:pPr>
      <w:bookmarkStart w:id="179" w:name="_Toc189166355"/>
      <w:r w:rsidRPr="003F2001">
        <w:rPr>
          <w:rFonts w:eastAsia="Times New Roman" w:cs="Times New Roman"/>
          <w:b/>
          <w:bCs/>
          <w:color w:val="69230B"/>
          <w:kern w:val="0"/>
          <w:sz w:val="16"/>
          <w:szCs w:val="18"/>
          <w:lang w:bidi="en-US"/>
          <w14:ligatures w14:val="none"/>
        </w:rPr>
        <w:t xml:space="preserve">Tabela </w:t>
      </w:r>
      <w:r w:rsidRPr="003F2001">
        <w:rPr>
          <w:rFonts w:eastAsia="Times New Roman" w:cs="Times New Roman"/>
          <w:b/>
          <w:bCs/>
          <w:color w:val="69230B"/>
          <w:kern w:val="0"/>
          <w:sz w:val="16"/>
          <w:szCs w:val="18"/>
          <w:lang w:bidi="en-US"/>
          <w14:ligatures w14:val="none"/>
        </w:rPr>
        <w:fldChar w:fldCharType="begin"/>
      </w:r>
      <w:r w:rsidRPr="003F2001">
        <w:rPr>
          <w:rFonts w:eastAsia="Times New Roman" w:cs="Times New Roman"/>
          <w:b/>
          <w:bCs/>
          <w:color w:val="69230B"/>
          <w:kern w:val="0"/>
          <w:sz w:val="16"/>
          <w:szCs w:val="18"/>
          <w:lang w:bidi="en-US"/>
          <w14:ligatures w14:val="none"/>
        </w:rPr>
        <w:instrText xml:space="preserve"> SEQ Tabela \* ARABIC </w:instrText>
      </w:r>
      <w:r w:rsidRPr="003F2001">
        <w:rPr>
          <w:rFonts w:eastAsia="Times New Roman" w:cs="Times New Roman"/>
          <w:b/>
          <w:bCs/>
          <w:color w:val="69230B"/>
          <w:kern w:val="0"/>
          <w:sz w:val="16"/>
          <w:szCs w:val="18"/>
          <w:lang w:bidi="en-US"/>
          <w14:ligatures w14:val="none"/>
        </w:rPr>
        <w:fldChar w:fldCharType="separate"/>
      </w:r>
      <w:r w:rsidR="008E0CB6">
        <w:rPr>
          <w:rFonts w:eastAsia="Times New Roman" w:cs="Times New Roman"/>
          <w:b/>
          <w:bCs/>
          <w:noProof/>
          <w:color w:val="69230B"/>
          <w:kern w:val="0"/>
          <w:sz w:val="16"/>
          <w:szCs w:val="18"/>
          <w:lang w:bidi="en-US"/>
          <w14:ligatures w14:val="none"/>
        </w:rPr>
        <w:t>23</w:t>
      </w:r>
      <w:r w:rsidRPr="003F2001">
        <w:rPr>
          <w:rFonts w:eastAsia="Times New Roman" w:cs="Times New Roman"/>
          <w:b/>
          <w:bCs/>
          <w:noProof/>
          <w:color w:val="69230B"/>
          <w:kern w:val="0"/>
          <w:sz w:val="16"/>
          <w:szCs w:val="18"/>
          <w:lang w:bidi="en-US"/>
          <w14:ligatures w14:val="none"/>
        </w:rPr>
        <w:fldChar w:fldCharType="end"/>
      </w:r>
      <w:r w:rsidRPr="003F2001">
        <w:rPr>
          <w:rFonts w:eastAsia="Times New Roman" w:cs="Times New Roman"/>
          <w:b/>
          <w:bCs/>
          <w:color w:val="69230B"/>
          <w:kern w:val="0"/>
          <w:sz w:val="16"/>
          <w:szCs w:val="18"/>
          <w:lang w:bidi="en-US"/>
          <w14:ligatures w14:val="none"/>
        </w:rPr>
        <w:t>. Projekty realizowane w ramach Regionalnego Programu Operacyjnego Województwa Lubelskiego oraz programów krajowych na lata 2014-2020 przez Gminę Opole Lubelskie</w:t>
      </w:r>
      <w:bookmarkEnd w:id="179"/>
    </w:p>
    <w:tbl>
      <w:tblPr>
        <w:tblStyle w:val="Tabelasiatki1jasnaakcent17"/>
        <w:tblW w:w="5000" w:type="pct"/>
        <w:tblLayout w:type="fixed"/>
        <w:tblLook w:val="04A0" w:firstRow="1" w:lastRow="0" w:firstColumn="1" w:lastColumn="0" w:noHBand="0" w:noVBand="1"/>
      </w:tblPr>
      <w:tblGrid>
        <w:gridCol w:w="2264"/>
        <w:gridCol w:w="3969"/>
        <w:gridCol w:w="1417"/>
        <w:gridCol w:w="1412"/>
      </w:tblGrid>
      <w:tr w:rsidR="003F2001" w:rsidRPr="003F2001" w14:paraId="3503554A" w14:textId="77777777" w:rsidTr="00CC197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9" w:type="pct"/>
            <w:noWrap/>
            <w:vAlign w:val="center"/>
            <w:hideMark/>
          </w:tcPr>
          <w:p w14:paraId="1E0C2AC9" w14:textId="77777777" w:rsidR="003F2001" w:rsidRPr="003F2001" w:rsidRDefault="003F2001" w:rsidP="003F2001">
            <w:pPr>
              <w:spacing w:before="40" w:after="40" w:line="240" w:lineRule="auto"/>
              <w:jc w:val="center"/>
              <w:rPr>
                <w:rFonts w:cs="Calibri"/>
                <w:sz w:val="16"/>
                <w:szCs w:val="16"/>
                <w:lang w:eastAsia="pl-PL"/>
              </w:rPr>
            </w:pPr>
            <w:r w:rsidRPr="003F2001">
              <w:rPr>
                <w:rFonts w:cs="Calibri"/>
                <w:sz w:val="16"/>
                <w:szCs w:val="16"/>
                <w:lang w:eastAsia="pl-PL"/>
              </w:rPr>
              <w:t>Program</w:t>
            </w:r>
          </w:p>
        </w:tc>
        <w:tc>
          <w:tcPr>
            <w:tcW w:w="2190" w:type="pct"/>
            <w:noWrap/>
            <w:vAlign w:val="center"/>
            <w:hideMark/>
          </w:tcPr>
          <w:p w14:paraId="53D22A60" w14:textId="77777777" w:rsidR="003F2001" w:rsidRPr="003F2001" w:rsidRDefault="003F2001" w:rsidP="003F200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Tytuł projektu</w:t>
            </w:r>
          </w:p>
        </w:tc>
        <w:tc>
          <w:tcPr>
            <w:tcW w:w="782" w:type="pct"/>
            <w:noWrap/>
            <w:vAlign w:val="center"/>
            <w:hideMark/>
          </w:tcPr>
          <w:p w14:paraId="40B0780C" w14:textId="77777777" w:rsidR="003F2001" w:rsidRPr="003F2001" w:rsidRDefault="003F2001" w:rsidP="003F200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Wartość ogółem (zł)</w:t>
            </w:r>
          </w:p>
        </w:tc>
        <w:tc>
          <w:tcPr>
            <w:tcW w:w="779" w:type="pct"/>
            <w:noWrap/>
            <w:vAlign w:val="center"/>
            <w:hideMark/>
          </w:tcPr>
          <w:p w14:paraId="4CFA2FA9" w14:textId="77777777" w:rsidR="003F2001" w:rsidRPr="003F2001" w:rsidRDefault="003F2001" w:rsidP="003F200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Wkład UE (zł)</w:t>
            </w:r>
          </w:p>
        </w:tc>
      </w:tr>
      <w:tr w:rsidR="003F2001" w:rsidRPr="003F2001" w14:paraId="3194CD22"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hideMark/>
          </w:tcPr>
          <w:p w14:paraId="5BEBCB20"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Program Operacyjny Infrastruktura i Środowisko 2014-2020</w:t>
            </w:r>
          </w:p>
        </w:tc>
        <w:tc>
          <w:tcPr>
            <w:tcW w:w="2190" w:type="pct"/>
            <w:noWrap/>
            <w:vAlign w:val="center"/>
            <w:hideMark/>
          </w:tcPr>
          <w:p w14:paraId="7FDC8342"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Budowa sieci kanalizacji sanitarnej w gminie Opole Lubelskie – etap I</w:t>
            </w:r>
          </w:p>
        </w:tc>
        <w:tc>
          <w:tcPr>
            <w:tcW w:w="782" w:type="pct"/>
            <w:noWrap/>
            <w:vAlign w:val="center"/>
          </w:tcPr>
          <w:p w14:paraId="49A465C0"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2 394 622,26 </w:t>
            </w:r>
          </w:p>
        </w:tc>
        <w:tc>
          <w:tcPr>
            <w:tcW w:w="779" w:type="pct"/>
            <w:noWrap/>
            <w:vAlign w:val="center"/>
          </w:tcPr>
          <w:p w14:paraId="42E04A72"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1 240 117,60 </w:t>
            </w:r>
          </w:p>
        </w:tc>
      </w:tr>
      <w:tr w:rsidR="003F2001" w:rsidRPr="003F2001" w14:paraId="3B030A54"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hideMark/>
          </w:tcPr>
          <w:p w14:paraId="348E6366"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hideMark/>
          </w:tcPr>
          <w:p w14:paraId="558815EC"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Budowa sieci kanalizacji sanitarnej w gminie Opole Lubelskie – etap II</w:t>
            </w:r>
          </w:p>
        </w:tc>
        <w:tc>
          <w:tcPr>
            <w:tcW w:w="782" w:type="pct"/>
            <w:noWrap/>
            <w:vAlign w:val="center"/>
          </w:tcPr>
          <w:p w14:paraId="60BDDEB7"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6 414 567,05 </w:t>
            </w:r>
          </w:p>
        </w:tc>
        <w:tc>
          <w:tcPr>
            <w:tcW w:w="779" w:type="pct"/>
            <w:noWrap/>
            <w:vAlign w:val="center"/>
          </w:tcPr>
          <w:p w14:paraId="6F160678"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3 124 788,71 </w:t>
            </w:r>
          </w:p>
        </w:tc>
      </w:tr>
      <w:tr w:rsidR="003F2001" w:rsidRPr="003F2001" w14:paraId="220B5D76"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hideMark/>
          </w:tcPr>
          <w:p w14:paraId="7EAFFF2B"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Program Operacyjny Wiedza Edukacja Rozwój</w:t>
            </w:r>
          </w:p>
        </w:tc>
        <w:tc>
          <w:tcPr>
            <w:tcW w:w="2190" w:type="pct"/>
            <w:noWrap/>
            <w:vAlign w:val="center"/>
            <w:hideMark/>
          </w:tcPr>
          <w:p w14:paraId="40DD1FD7"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Nowy model organizacyjny Ośrodka Pomocy Społecznej w Opolu Lubelskim</w:t>
            </w:r>
          </w:p>
        </w:tc>
        <w:tc>
          <w:tcPr>
            <w:tcW w:w="782" w:type="pct"/>
            <w:noWrap/>
            <w:vAlign w:val="center"/>
          </w:tcPr>
          <w:p w14:paraId="7E1B4176"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293 775,00 </w:t>
            </w:r>
          </w:p>
        </w:tc>
        <w:tc>
          <w:tcPr>
            <w:tcW w:w="779" w:type="pct"/>
            <w:noWrap/>
            <w:vAlign w:val="center"/>
          </w:tcPr>
          <w:p w14:paraId="76AB3B35"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247 593,57 </w:t>
            </w:r>
          </w:p>
        </w:tc>
      </w:tr>
      <w:tr w:rsidR="003F2001" w:rsidRPr="003F2001" w14:paraId="37E9704E"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hideMark/>
          </w:tcPr>
          <w:p w14:paraId="290D3F6D"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hideMark/>
          </w:tcPr>
          <w:p w14:paraId="7C46FDFA"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CUS w Gminie Opole Lubelskie</w:t>
            </w:r>
          </w:p>
        </w:tc>
        <w:tc>
          <w:tcPr>
            <w:tcW w:w="782" w:type="pct"/>
            <w:noWrap/>
            <w:vAlign w:val="center"/>
          </w:tcPr>
          <w:p w14:paraId="4A8A67AA"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3 110 677,47 </w:t>
            </w:r>
          </w:p>
        </w:tc>
        <w:tc>
          <w:tcPr>
            <w:tcW w:w="779" w:type="pct"/>
            <w:noWrap/>
            <w:vAlign w:val="center"/>
          </w:tcPr>
          <w:p w14:paraId="3AB7CABC"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2 621 678,97 </w:t>
            </w:r>
          </w:p>
        </w:tc>
      </w:tr>
      <w:tr w:rsidR="003F2001" w:rsidRPr="003F2001" w14:paraId="073F8E36"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noWrap/>
            <w:vAlign w:val="center"/>
          </w:tcPr>
          <w:p w14:paraId="11862A4B"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Program Operacyjny Polska Cyfrowa na lata 2014-2020</w:t>
            </w:r>
          </w:p>
        </w:tc>
        <w:tc>
          <w:tcPr>
            <w:tcW w:w="2190" w:type="pct"/>
            <w:noWrap/>
            <w:vAlign w:val="center"/>
          </w:tcPr>
          <w:p w14:paraId="63113D6F"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Cyfrowa gmina</w:t>
            </w:r>
          </w:p>
        </w:tc>
        <w:tc>
          <w:tcPr>
            <w:tcW w:w="782" w:type="pct"/>
            <w:noWrap/>
            <w:vAlign w:val="center"/>
          </w:tcPr>
          <w:p w14:paraId="276EC263"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509 400,00</w:t>
            </w:r>
          </w:p>
        </w:tc>
        <w:tc>
          <w:tcPr>
            <w:tcW w:w="779" w:type="pct"/>
            <w:noWrap/>
            <w:vAlign w:val="center"/>
          </w:tcPr>
          <w:p w14:paraId="5F241B7E"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509 400,00</w:t>
            </w:r>
          </w:p>
        </w:tc>
      </w:tr>
      <w:tr w:rsidR="003F2001" w:rsidRPr="003F2001" w14:paraId="63DD1FDC"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tcPr>
          <w:p w14:paraId="2C3F7480"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Regionalny Program Operacyjny Województwa Lubelskiego na lata 2014-2020</w:t>
            </w:r>
          </w:p>
        </w:tc>
        <w:tc>
          <w:tcPr>
            <w:tcW w:w="2190" w:type="pct"/>
            <w:noWrap/>
            <w:vAlign w:val="center"/>
          </w:tcPr>
          <w:p w14:paraId="196525E6"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Uzbrojenie terenów inwestycyjnych poprzez budowę drogi wewnętrznej wraz z infrastrukturą towarzyszącą w Gminie Opole Lubelskie</w:t>
            </w:r>
          </w:p>
        </w:tc>
        <w:tc>
          <w:tcPr>
            <w:tcW w:w="782" w:type="pct"/>
            <w:noWrap/>
            <w:vAlign w:val="center"/>
          </w:tcPr>
          <w:p w14:paraId="586BA266"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1 499 349,49 </w:t>
            </w:r>
          </w:p>
        </w:tc>
        <w:tc>
          <w:tcPr>
            <w:tcW w:w="779" w:type="pct"/>
            <w:noWrap/>
            <w:vAlign w:val="center"/>
          </w:tcPr>
          <w:p w14:paraId="34420596"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926 073,51 </w:t>
            </w:r>
          </w:p>
        </w:tc>
      </w:tr>
      <w:tr w:rsidR="003F2001" w:rsidRPr="003F2001" w14:paraId="081EDC88"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351C28FE"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145D6B99"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Ekologiczny dom w Gminie Opole Lubelskie- etap I</w:t>
            </w:r>
          </w:p>
        </w:tc>
        <w:tc>
          <w:tcPr>
            <w:tcW w:w="782" w:type="pct"/>
            <w:noWrap/>
            <w:vAlign w:val="center"/>
          </w:tcPr>
          <w:p w14:paraId="5EF57F75"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4 825 894,05 </w:t>
            </w:r>
          </w:p>
        </w:tc>
        <w:tc>
          <w:tcPr>
            <w:tcW w:w="779" w:type="pct"/>
            <w:noWrap/>
            <w:vAlign w:val="center"/>
          </w:tcPr>
          <w:p w14:paraId="0B279229"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4 033 441,42 </w:t>
            </w:r>
          </w:p>
        </w:tc>
      </w:tr>
      <w:tr w:rsidR="003F2001" w:rsidRPr="003F2001" w14:paraId="7C9AE840"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22FEF246"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29A128FE"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Termomodernizacja budynków użyteczności publicznej w Gminie Opole Lubelskie</w:t>
            </w:r>
          </w:p>
        </w:tc>
        <w:tc>
          <w:tcPr>
            <w:tcW w:w="782" w:type="pct"/>
            <w:noWrap/>
            <w:vAlign w:val="center"/>
          </w:tcPr>
          <w:p w14:paraId="26AE6FA4"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13 263 270,13 </w:t>
            </w:r>
          </w:p>
        </w:tc>
        <w:tc>
          <w:tcPr>
            <w:tcW w:w="779" w:type="pct"/>
            <w:noWrap/>
            <w:vAlign w:val="center"/>
          </w:tcPr>
          <w:p w14:paraId="0CFDB87A"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7 846 033,35 </w:t>
            </w:r>
          </w:p>
        </w:tc>
      </w:tr>
      <w:tr w:rsidR="003F2001" w:rsidRPr="003F2001" w14:paraId="653D8286"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5DCCC779"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140D6046"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Dzienny Dom Pomocy dla Seniorów w Gminie Opole Lubelskie</w:t>
            </w:r>
          </w:p>
        </w:tc>
        <w:tc>
          <w:tcPr>
            <w:tcW w:w="782" w:type="pct"/>
            <w:noWrap/>
            <w:vAlign w:val="center"/>
          </w:tcPr>
          <w:p w14:paraId="603325CF"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1 282 041,60 </w:t>
            </w:r>
          </w:p>
        </w:tc>
        <w:tc>
          <w:tcPr>
            <w:tcW w:w="779" w:type="pct"/>
            <w:noWrap/>
            <w:vAlign w:val="center"/>
          </w:tcPr>
          <w:p w14:paraId="253E61E0"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1 089 735,36 </w:t>
            </w:r>
          </w:p>
        </w:tc>
      </w:tr>
      <w:tr w:rsidR="003F2001" w:rsidRPr="003F2001" w14:paraId="6A6D9DFB"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03C538B5"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401D2C0E"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Kompetencje przyszłości</w:t>
            </w:r>
          </w:p>
        </w:tc>
        <w:tc>
          <w:tcPr>
            <w:tcW w:w="782" w:type="pct"/>
            <w:noWrap/>
            <w:vAlign w:val="center"/>
          </w:tcPr>
          <w:p w14:paraId="3A2FE6AF"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621 218,75 </w:t>
            </w:r>
          </w:p>
        </w:tc>
        <w:tc>
          <w:tcPr>
            <w:tcW w:w="779" w:type="pct"/>
            <w:noWrap/>
            <w:vAlign w:val="center"/>
          </w:tcPr>
          <w:p w14:paraId="5AB199FE"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528 035,93 </w:t>
            </w:r>
          </w:p>
        </w:tc>
      </w:tr>
      <w:tr w:rsidR="003F2001" w:rsidRPr="003F2001" w14:paraId="155D9C4F"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0A5297EE"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1D9B2E99"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Utworzenie Dziennego Domu Pomocy Społecznej dla Osób Starszych w Opolu Lubelskim wraz z zagospodarowaniem terenu na potrzeby świadczenie usług społecznych</w:t>
            </w:r>
          </w:p>
        </w:tc>
        <w:tc>
          <w:tcPr>
            <w:tcW w:w="782" w:type="pct"/>
            <w:noWrap/>
            <w:vAlign w:val="center"/>
          </w:tcPr>
          <w:p w14:paraId="655772B4"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4 198 655,66 </w:t>
            </w:r>
          </w:p>
        </w:tc>
        <w:tc>
          <w:tcPr>
            <w:tcW w:w="779" w:type="pct"/>
            <w:noWrap/>
            <w:vAlign w:val="center"/>
          </w:tcPr>
          <w:p w14:paraId="66D85C66"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2 371 834,61 </w:t>
            </w:r>
          </w:p>
        </w:tc>
      </w:tr>
      <w:tr w:rsidR="003F2001" w:rsidRPr="003F2001" w14:paraId="3E103343"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434241B7"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5FDFDA1A"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Opole Lubelskie do dotknięcia, do zasmakowania - rewitalizacja gospodarczo-społeczna historycznego centrum Opola Lubelskiego</w:t>
            </w:r>
          </w:p>
        </w:tc>
        <w:tc>
          <w:tcPr>
            <w:tcW w:w="782" w:type="pct"/>
            <w:noWrap/>
            <w:vAlign w:val="center"/>
          </w:tcPr>
          <w:p w14:paraId="29BF025F"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13 387 713,39 </w:t>
            </w:r>
          </w:p>
        </w:tc>
        <w:tc>
          <w:tcPr>
            <w:tcW w:w="779" w:type="pct"/>
            <w:noWrap/>
            <w:vAlign w:val="center"/>
          </w:tcPr>
          <w:p w14:paraId="1FCAB1B5"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 6 233 259,62 </w:t>
            </w:r>
          </w:p>
        </w:tc>
      </w:tr>
      <w:tr w:rsidR="003F2001" w:rsidRPr="003F2001" w14:paraId="628581DC"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noWrap/>
            <w:vAlign w:val="center"/>
          </w:tcPr>
          <w:p w14:paraId="0E8B6843"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Program Rozwoju Obszarów Wiejskich na lata 2014-2020</w:t>
            </w:r>
          </w:p>
        </w:tc>
        <w:tc>
          <w:tcPr>
            <w:tcW w:w="2190" w:type="pct"/>
            <w:noWrap/>
            <w:vAlign w:val="center"/>
          </w:tcPr>
          <w:p w14:paraId="152B7A6E"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Termomodernizacja świetlicy wiejskiej w Zadolu oraz zakup wyposażenia</w:t>
            </w:r>
          </w:p>
        </w:tc>
        <w:tc>
          <w:tcPr>
            <w:tcW w:w="782" w:type="pct"/>
            <w:noWrap/>
            <w:vAlign w:val="center"/>
          </w:tcPr>
          <w:p w14:paraId="40048841"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225 000,00</w:t>
            </w:r>
          </w:p>
        </w:tc>
        <w:tc>
          <w:tcPr>
            <w:tcW w:w="779" w:type="pct"/>
            <w:noWrap/>
            <w:vAlign w:val="center"/>
          </w:tcPr>
          <w:p w14:paraId="08EC0B98"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145 000,00</w:t>
            </w:r>
          </w:p>
        </w:tc>
      </w:tr>
      <w:tr w:rsidR="003F2001" w:rsidRPr="003F2001" w14:paraId="54D5B377"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tcPr>
          <w:p w14:paraId="36D3C53E"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Program Operacyjny Rybactwo i Morze na lata 2014-2020</w:t>
            </w:r>
          </w:p>
        </w:tc>
        <w:tc>
          <w:tcPr>
            <w:tcW w:w="2190" w:type="pct"/>
            <w:noWrap/>
            <w:vAlign w:val="center"/>
          </w:tcPr>
          <w:p w14:paraId="754299B6"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Montaż instalacji fotowoltaicznej na budynku świetlicy wiejskiej w Zadolu</w:t>
            </w:r>
          </w:p>
        </w:tc>
        <w:tc>
          <w:tcPr>
            <w:tcW w:w="782" w:type="pct"/>
            <w:noWrap/>
            <w:vAlign w:val="center"/>
          </w:tcPr>
          <w:p w14:paraId="170FD22E"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61 500,00</w:t>
            </w:r>
          </w:p>
        </w:tc>
        <w:tc>
          <w:tcPr>
            <w:tcW w:w="779" w:type="pct"/>
            <w:noWrap/>
            <w:vAlign w:val="center"/>
          </w:tcPr>
          <w:p w14:paraId="54FEFA50"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52 275,00</w:t>
            </w:r>
          </w:p>
        </w:tc>
      </w:tr>
      <w:tr w:rsidR="003F2001" w:rsidRPr="003F2001" w14:paraId="238AB08A"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2552C55B"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736A07D3"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Montaż instalacji fotowoltaicznej na budynku użyteczności publicznej przy ul. Kolejowej 17 w Opolu Lubelskim</w:t>
            </w:r>
          </w:p>
        </w:tc>
        <w:tc>
          <w:tcPr>
            <w:tcW w:w="782" w:type="pct"/>
            <w:noWrap/>
            <w:vAlign w:val="center"/>
          </w:tcPr>
          <w:p w14:paraId="45BB2CB4"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164 820,00</w:t>
            </w:r>
          </w:p>
        </w:tc>
        <w:tc>
          <w:tcPr>
            <w:tcW w:w="779" w:type="pct"/>
            <w:noWrap/>
            <w:vAlign w:val="center"/>
          </w:tcPr>
          <w:p w14:paraId="38AEC364"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140 097,00</w:t>
            </w:r>
          </w:p>
        </w:tc>
      </w:tr>
      <w:tr w:rsidR="003F2001" w:rsidRPr="003F2001" w14:paraId="741D9C9A"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1AA3767A"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0C04DFB8"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Przebudowa pomieszczeń świetlicy wiejskiej w Niezdowie wraz z wyposażeniem na potrzeby popularyzacji dziedzictwa rybackiego</w:t>
            </w:r>
          </w:p>
        </w:tc>
        <w:tc>
          <w:tcPr>
            <w:tcW w:w="782" w:type="pct"/>
            <w:noWrap/>
            <w:vAlign w:val="center"/>
          </w:tcPr>
          <w:p w14:paraId="32074E91"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792 011,12</w:t>
            </w:r>
          </w:p>
        </w:tc>
        <w:tc>
          <w:tcPr>
            <w:tcW w:w="779" w:type="pct"/>
            <w:noWrap/>
            <w:vAlign w:val="center"/>
          </w:tcPr>
          <w:p w14:paraId="5D5DD768"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300 000,00</w:t>
            </w:r>
          </w:p>
        </w:tc>
      </w:tr>
      <w:tr w:rsidR="003F2001" w:rsidRPr="003F2001" w14:paraId="6DEF2FD8" w14:textId="77777777" w:rsidTr="00CC1974">
        <w:trPr>
          <w:trHeight w:val="20"/>
        </w:trPr>
        <w:tc>
          <w:tcPr>
            <w:cnfStyle w:val="001000000000" w:firstRow="0" w:lastRow="0" w:firstColumn="1" w:lastColumn="0" w:oddVBand="0" w:evenVBand="0" w:oddHBand="0" w:evenHBand="0" w:firstRowFirstColumn="0" w:firstRowLastColumn="0" w:lastRowFirstColumn="0" w:lastRowLastColumn="0"/>
            <w:tcW w:w="3439" w:type="pct"/>
            <w:gridSpan w:val="2"/>
            <w:noWrap/>
            <w:vAlign w:val="center"/>
            <w:hideMark/>
          </w:tcPr>
          <w:p w14:paraId="2F0DA866" w14:textId="77777777" w:rsidR="003F2001" w:rsidRPr="003F2001" w:rsidRDefault="003F2001" w:rsidP="003F2001">
            <w:pPr>
              <w:spacing w:before="40" w:after="40" w:line="240" w:lineRule="auto"/>
              <w:jc w:val="right"/>
              <w:rPr>
                <w:rFonts w:cs="Calibri"/>
                <w:sz w:val="16"/>
                <w:szCs w:val="16"/>
                <w:lang w:eastAsia="pl-PL"/>
              </w:rPr>
            </w:pPr>
            <w:r w:rsidRPr="003F2001">
              <w:rPr>
                <w:rFonts w:cs="Calibri"/>
                <w:sz w:val="16"/>
                <w:szCs w:val="16"/>
                <w:lang w:eastAsia="pl-PL"/>
              </w:rPr>
              <w:t>RAZEM:</w:t>
            </w:r>
          </w:p>
        </w:tc>
        <w:tc>
          <w:tcPr>
            <w:tcW w:w="782" w:type="pct"/>
            <w:noWrap/>
            <w:vAlign w:val="center"/>
            <w:hideMark/>
          </w:tcPr>
          <w:p w14:paraId="3A020CA0"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16"/>
                <w:szCs w:val="16"/>
                <w:highlight w:val="yellow"/>
                <w:lang w:eastAsia="pl-PL"/>
              </w:rPr>
            </w:pPr>
            <w:r w:rsidRPr="003F2001">
              <w:rPr>
                <w:rFonts w:cs="Calibri"/>
                <w:b/>
                <w:bCs/>
                <w:sz w:val="16"/>
                <w:szCs w:val="16"/>
                <w:lang w:eastAsia="pl-PL"/>
              </w:rPr>
              <w:t xml:space="preserve">53 044 515,97 </w:t>
            </w:r>
          </w:p>
        </w:tc>
        <w:tc>
          <w:tcPr>
            <w:tcW w:w="779" w:type="pct"/>
            <w:noWrap/>
            <w:vAlign w:val="center"/>
            <w:hideMark/>
          </w:tcPr>
          <w:p w14:paraId="7BAB191C"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16"/>
                <w:szCs w:val="16"/>
                <w:highlight w:val="yellow"/>
                <w:lang w:eastAsia="pl-PL"/>
              </w:rPr>
            </w:pPr>
            <w:r w:rsidRPr="003F2001">
              <w:rPr>
                <w:rFonts w:cs="Calibri"/>
                <w:b/>
                <w:bCs/>
                <w:sz w:val="16"/>
                <w:szCs w:val="16"/>
                <w:lang w:eastAsia="pl-PL"/>
              </w:rPr>
              <w:t xml:space="preserve">31 409 364,65 </w:t>
            </w:r>
          </w:p>
        </w:tc>
      </w:tr>
    </w:tbl>
    <w:p w14:paraId="0C0B683C"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 xml:space="preserve">Źródło: Opracowanie własne na podstawie danych zamieszczonych na stronie </w:t>
      </w:r>
      <w:hyperlink r:id="rId66" w:history="1">
        <w:r w:rsidRPr="003F2001">
          <w:rPr>
            <w:rFonts w:eastAsia="Times New Roman" w:cs="Times New Roman"/>
            <w:color w:val="69230B"/>
            <w:kern w:val="0"/>
            <w:sz w:val="16"/>
            <w:szCs w:val="16"/>
            <w:u w:val="single"/>
            <w:lang w:bidi="en-US"/>
            <w14:ligatures w14:val="none"/>
          </w:rPr>
          <w:t>www.funduszeeuropejskie.gov.pl</w:t>
        </w:r>
      </w:hyperlink>
      <w:r w:rsidRPr="003F2001">
        <w:rPr>
          <w:rFonts w:eastAsia="Times New Roman" w:cs="Times New Roman"/>
          <w:kern w:val="0"/>
          <w:sz w:val="16"/>
          <w:szCs w:val="16"/>
          <w:lang w:bidi="en-US"/>
          <w14:ligatures w14:val="none"/>
        </w:rPr>
        <w:t>.</w:t>
      </w:r>
    </w:p>
    <w:p w14:paraId="2CAA7587" w14:textId="77777777" w:rsidR="003F2001" w:rsidRPr="003F2001" w:rsidRDefault="003F2001" w:rsidP="003F2001">
      <w:pPr>
        <w:spacing w:line="276" w:lineRule="auto"/>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t xml:space="preserve">Samorząd Gminy Opole Lubelskie może również pochwalić realizacją licznych inwestycji współfinansowanych ze środków krajowych. W ostatnich latach gmina zrealizowała bądź jest w trakcie realizacji projektów o wartości wynoszącej </w:t>
      </w:r>
      <w:r w:rsidRPr="003F2001">
        <w:rPr>
          <w:rFonts w:eastAsia="Times New Roman" w:cs="Times New Roman"/>
          <w:b/>
          <w:bCs/>
          <w:color w:val="69230B"/>
          <w:kern w:val="0"/>
          <w:szCs w:val="20"/>
          <w:lang w:bidi="en-US"/>
          <w14:ligatures w14:val="none"/>
        </w:rPr>
        <w:t>58 456 780,38 zł</w:t>
      </w:r>
      <w:r w:rsidRPr="003F2001">
        <w:rPr>
          <w:rFonts w:eastAsia="Times New Roman" w:cs="Times New Roman"/>
          <w:kern w:val="0"/>
          <w:szCs w:val="20"/>
          <w:lang w:bidi="en-US"/>
          <w14:ligatures w14:val="none"/>
        </w:rPr>
        <w:t xml:space="preserve">, na które pozyskała </w:t>
      </w:r>
      <w:r w:rsidRPr="003F2001">
        <w:rPr>
          <w:rFonts w:eastAsia="Times New Roman" w:cs="Times New Roman"/>
          <w:b/>
          <w:bCs/>
          <w:color w:val="69230B"/>
          <w:kern w:val="0"/>
          <w:szCs w:val="20"/>
          <w:lang w:bidi="en-US"/>
          <w14:ligatures w14:val="none"/>
        </w:rPr>
        <w:t>48 562 591,11 zł</w:t>
      </w:r>
      <w:r w:rsidRPr="003F2001">
        <w:rPr>
          <w:rFonts w:eastAsia="Times New Roman" w:cs="Times New Roman"/>
          <w:kern w:val="0"/>
          <w:szCs w:val="20"/>
          <w:lang w:bidi="en-US"/>
          <w14:ligatures w14:val="none"/>
        </w:rPr>
        <w:t xml:space="preserve"> krajowego dofinansowania. Spośród wspartych inwestycji można wyróżnić kilka grup: rozwój infrastruktury drogowej mający na celu poprawę nie tylko komfortu podróżowania, ale też bezpieczeństwa, inwestycje w budynkach edukacyjnych i użyteczności publicznej, działania rewitalizacyjne, czy też działania związane z rozwojem infrastruktury sportowej i rekreacyjnej.</w:t>
      </w:r>
    </w:p>
    <w:p w14:paraId="226B8A92" w14:textId="659DEBD0" w:rsidR="003F2001" w:rsidRPr="003F2001" w:rsidRDefault="003F2001" w:rsidP="003F2001">
      <w:pPr>
        <w:spacing w:before="120" w:line="240" w:lineRule="auto"/>
        <w:rPr>
          <w:rFonts w:eastAsia="Times New Roman" w:cs="Times New Roman"/>
          <w:b/>
          <w:bCs/>
          <w:color w:val="69230B"/>
          <w:kern w:val="0"/>
          <w:sz w:val="16"/>
          <w:szCs w:val="18"/>
          <w:lang w:bidi="en-US"/>
          <w14:ligatures w14:val="none"/>
        </w:rPr>
      </w:pPr>
      <w:bookmarkStart w:id="180" w:name="_Toc189166356"/>
      <w:r w:rsidRPr="003F2001">
        <w:rPr>
          <w:rFonts w:eastAsia="Times New Roman" w:cs="Times New Roman"/>
          <w:b/>
          <w:bCs/>
          <w:color w:val="69230B"/>
          <w:kern w:val="0"/>
          <w:sz w:val="16"/>
          <w:szCs w:val="18"/>
          <w:lang w:bidi="en-US"/>
          <w14:ligatures w14:val="none"/>
        </w:rPr>
        <w:lastRenderedPageBreak/>
        <w:t xml:space="preserve">Tabela </w:t>
      </w:r>
      <w:r w:rsidRPr="003F2001">
        <w:rPr>
          <w:rFonts w:eastAsia="Times New Roman" w:cs="Times New Roman"/>
          <w:b/>
          <w:bCs/>
          <w:color w:val="69230B"/>
          <w:kern w:val="0"/>
          <w:sz w:val="16"/>
          <w:szCs w:val="18"/>
          <w:lang w:bidi="en-US"/>
          <w14:ligatures w14:val="none"/>
        </w:rPr>
        <w:fldChar w:fldCharType="begin"/>
      </w:r>
      <w:r w:rsidRPr="003F2001">
        <w:rPr>
          <w:rFonts w:eastAsia="Times New Roman" w:cs="Times New Roman"/>
          <w:b/>
          <w:bCs/>
          <w:color w:val="69230B"/>
          <w:kern w:val="0"/>
          <w:sz w:val="16"/>
          <w:szCs w:val="18"/>
          <w:lang w:bidi="en-US"/>
          <w14:ligatures w14:val="none"/>
        </w:rPr>
        <w:instrText xml:space="preserve"> SEQ Tabela \* ARABIC </w:instrText>
      </w:r>
      <w:r w:rsidRPr="003F2001">
        <w:rPr>
          <w:rFonts w:eastAsia="Times New Roman" w:cs="Times New Roman"/>
          <w:b/>
          <w:bCs/>
          <w:color w:val="69230B"/>
          <w:kern w:val="0"/>
          <w:sz w:val="16"/>
          <w:szCs w:val="18"/>
          <w:lang w:bidi="en-US"/>
          <w14:ligatures w14:val="none"/>
        </w:rPr>
        <w:fldChar w:fldCharType="separate"/>
      </w:r>
      <w:r w:rsidR="008E0CB6">
        <w:rPr>
          <w:rFonts w:eastAsia="Times New Roman" w:cs="Times New Roman"/>
          <w:b/>
          <w:bCs/>
          <w:noProof/>
          <w:color w:val="69230B"/>
          <w:kern w:val="0"/>
          <w:sz w:val="16"/>
          <w:szCs w:val="18"/>
          <w:lang w:bidi="en-US"/>
          <w14:ligatures w14:val="none"/>
        </w:rPr>
        <w:t>24</w:t>
      </w:r>
      <w:r w:rsidRPr="003F2001">
        <w:rPr>
          <w:rFonts w:eastAsia="Times New Roman" w:cs="Times New Roman"/>
          <w:b/>
          <w:bCs/>
          <w:noProof/>
          <w:color w:val="69230B"/>
          <w:kern w:val="0"/>
          <w:sz w:val="16"/>
          <w:szCs w:val="18"/>
          <w:lang w:bidi="en-US"/>
          <w14:ligatures w14:val="none"/>
        </w:rPr>
        <w:fldChar w:fldCharType="end"/>
      </w:r>
      <w:r w:rsidRPr="003F2001">
        <w:rPr>
          <w:rFonts w:eastAsia="Times New Roman" w:cs="Times New Roman"/>
          <w:b/>
          <w:bCs/>
          <w:color w:val="69230B"/>
          <w:kern w:val="0"/>
          <w:sz w:val="16"/>
          <w:szCs w:val="18"/>
          <w:lang w:bidi="en-US"/>
          <w14:ligatures w14:val="none"/>
        </w:rPr>
        <w:t>. Projekty realizowane w ramach rządowych programów krajowych przez Gminę Opole Lubelskie</w:t>
      </w:r>
      <w:bookmarkEnd w:id="180"/>
    </w:p>
    <w:tbl>
      <w:tblPr>
        <w:tblStyle w:val="Tabelasiatki1jasnaakcent17"/>
        <w:tblW w:w="5000" w:type="pct"/>
        <w:tblLayout w:type="fixed"/>
        <w:tblLook w:val="04A0" w:firstRow="1" w:lastRow="0" w:firstColumn="1" w:lastColumn="0" w:noHBand="0" w:noVBand="1"/>
      </w:tblPr>
      <w:tblGrid>
        <w:gridCol w:w="2264"/>
        <w:gridCol w:w="3969"/>
        <w:gridCol w:w="1417"/>
        <w:gridCol w:w="1412"/>
      </w:tblGrid>
      <w:tr w:rsidR="003F2001" w:rsidRPr="003F2001" w14:paraId="3D8F5DE2" w14:textId="77777777" w:rsidTr="00CC1974">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49" w:type="pct"/>
            <w:noWrap/>
            <w:vAlign w:val="center"/>
            <w:hideMark/>
          </w:tcPr>
          <w:p w14:paraId="12AFC44E" w14:textId="77777777" w:rsidR="003F2001" w:rsidRPr="003F2001" w:rsidRDefault="003F2001" w:rsidP="003F2001">
            <w:pPr>
              <w:spacing w:before="40" w:after="40" w:line="240" w:lineRule="auto"/>
              <w:jc w:val="center"/>
              <w:rPr>
                <w:rFonts w:cs="Calibri"/>
                <w:sz w:val="16"/>
                <w:szCs w:val="16"/>
                <w:lang w:eastAsia="pl-PL"/>
              </w:rPr>
            </w:pPr>
            <w:r w:rsidRPr="003F2001">
              <w:rPr>
                <w:rFonts w:cs="Calibri"/>
                <w:sz w:val="16"/>
                <w:szCs w:val="16"/>
                <w:lang w:eastAsia="pl-PL"/>
              </w:rPr>
              <w:t>Program</w:t>
            </w:r>
          </w:p>
        </w:tc>
        <w:tc>
          <w:tcPr>
            <w:tcW w:w="2190" w:type="pct"/>
            <w:noWrap/>
            <w:vAlign w:val="center"/>
            <w:hideMark/>
          </w:tcPr>
          <w:p w14:paraId="7C0A9FD3" w14:textId="77777777" w:rsidR="003F2001" w:rsidRPr="003F2001" w:rsidRDefault="003F2001" w:rsidP="003F200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Tytuł projektu</w:t>
            </w:r>
          </w:p>
        </w:tc>
        <w:tc>
          <w:tcPr>
            <w:tcW w:w="782" w:type="pct"/>
            <w:noWrap/>
            <w:vAlign w:val="center"/>
            <w:hideMark/>
          </w:tcPr>
          <w:p w14:paraId="3EA26A66" w14:textId="77777777" w:rsidR="003F2001" w:rsidRPr="003F2001" w:rsidRDefault="003F2001" w:rsidP="003F200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Wartość ogółem (zł)</w:t>
            </w:r>
          </w:p>
        </w:tc>
        <w:tc>
          <w:tcPr>
            <w:tcW w:w="779" w:type="pct"/>
            <w:noWrap/>
            <w:vAlign w:val="center"/>
            <w:hideMark/>
          </w:tcPr>
          <w:p w14:paraId="77D8918F" w14:textId="77777777" w:rsidR="003F2001" w:rsidRPr="003F2001" w:rsidRDefault="003F2001" w:rsidP="003F200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Dofinansowa</w:t>
            </w:r>
          </w:p>
          <w:p w14:paraId="4A55183B" w14:textId="77777777" w:rsidR="003F2001" w:rsidRPr="003F2001" w:rsidRDefault="003F2001" w:rsidP="003F200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-nie (zł)</w:t>
            </w:r>
          </w:p>
        </w:tc>
      </w:tr>
      <w:tr w:rsidR="003F2001" w:rsidRPr="003F2001" w14:paraId="034C1909"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tcPr>
          <w:p w14:paraId="401187C2"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Program Inwestycji Strategicznych</w:t>
            </w:r>
          </w:p>
        </w:tc>
        <w:tc>
          <w:tcPr>
            <w:tcW w:w="2190" w:type="pct"/>
            <w:noWrap/>
            <w:vAlign w:val="center"/>
          </w:tcPr>
          <w:p w14:paraId="7B920373"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Budowa i modernizacja obiektów użyteczności publicznej na potrzeby świadczenia usług społecznych, sportowych, edukacyjnych oraz komunalnych</w:t>
            </w:r>
          </w:p>
        </w:tc>
        <w:tc>
          <w:tcPr>
            <w:tcW w:w="782" w:type="pct"/>
            <w:noWrap/>
            <w:vAlign w:val="center"/>
          </w:tcPr>
          <w:p w14:paraId="2B9B5B26"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10 658 774,47</w:t>
            </w:r>
          </w:p>
        </w:tc>
        <w:tc>
          <w:tcPr>
            <w:tcW w:w="779" w:type="pct"/>
            <w:noWrap/>
            <w:vAlign w:val="center"/>
          </w:tcPr>
          <w:p w14:paraId="02048AC3"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9 279 000,00</w:t>
            </w:r>
          </w:p>
        </w:tc>
      </w:tr>
      <w:tr w:rsidR="003F2001" w:rsidRPr="003F2001" w14:paraId="15AC0960"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1969189C"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6FE1D4D5"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Budowa sieci wodociągowej w Opolu Lubelskim w ul. Przedmieście wraz z odtworzeniem drogi</w:t>
            </w:r>
          </w:p>
        </w:tc>
        <w:tc>
          <w:tcPr>
            <w:tcW w:w="782" w:type="pct"/>
            <w:noWrap/>
            <w:vAlign w:val="center"/>
          </w:tcPr>
          <w:p w14:paraId="45AEE27D"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2 294 256,50</w:t>
            </w:r>
          </w:p>
        </w:tc>
        <w:tc>
          <w:tcPr>
            <w:tcW w:w="779" w:type="pct"/>
            <w:noWrap/>
            <w:vAlign w:val="center"/>
          </w:tcPr>
          <w:p w14:paraId="6133A774"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2 179 543,57</w:t>
            </w:r>
          </w:p>
        </w:tc>
      </w:tr>
      <w:tr w:rsidR="003F2001" w:rsidRPr="003F2001" w14:paraId="3415156F"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03F06180"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37D912C3"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Przebudowa sieci dróg, mostu, chodników i parkingu na terenie Gminy Opole Lubelskie</w:t>
            </w:r>
          </w:p>
        </w:tc>
        <w:tc>
          <w:tcPr>
            <w:tcW w:w="782" w:type="pct"/>
            <w:noWrap/>
            <w:vAlign w:val="center"/>
          </w:tcPr>
          <w:p w14:paraId="1DB1A393"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6 470 000,00</w:t>
            </w:r>
          </w:p>
        </w:tc>
        <w:tc>
          <w:tcPr>
            <w:tcW w:w="779" w:type="pct"/>
            <w:noWrap/>
            <w:vAlign w:val="center"/>
          </w:tcPr>
          <w:p w14:paraId="42DD04FC"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6 146 500,00</w:t>
            </w:r>
          </w:p>
        </w:tc>
      </w:tr>
      <w:tr w:rsidR="003F2001" w:rsidRPr="003F2001" w14:paraId="47839E6C"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27E40DA8"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72ECA0B3"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Modernizacja obiektów użyteczności publicznej na potrzeby świadczenia usług społecznych i edukacyjnych</w:t>
            </w:r>
          </w:p>
        </w:tc>
        <w:tc>
          <w:tcPr>
            <w:tcW w:w="782" w:type="pct"/>
            <w:noWrap/>
            <w:vAlign w:val="center"/>
          </w:tcPr>
          <w:p w14:paraId="7ADDD57B"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2 671 315,92</w:t>
            </w:r>
          </w:p>
        </w:tc>
        <w:tc>
          <w:tcPr>
            <w:tcW w:w="779" w:type="pct"/>
            <w:noWrap/>
            <w:vAlign w:val="center"/>
          </w:tcPr>
          <w:p w14:paraId="2B53C399"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2 266 958,50</w:t>
            </w:r>
          </w:p>
        </w:tc>
      </w:tr>
      <w:tr w:rsidR="003F2001" w:rsidRPr="003F2001" w14:paraId="53F4EEFD"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1F6166E9"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76B5ABAB"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Modernizacja placu zabaw przy Przedszkolu Miejskim w Opolu Lubelskim</w:t>
            </w:r>
          </w:p>
        </w:tc>
        <w:tc>
          <w:tcPr>
            <w:tcW w:w="782" w:type="pct"/>
            <w:noWrap/>
            <w:vAlign w:val="center"/>
          </w:tcPr>
          <w:p w14:paraId="3287B3B6"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325 000,00</w:t>
            </w:r>
          </w:p>
        </w:tc>
        <w:tc>
          <w:tcPr>
            <w:tcW w:w="779" w:type="pct"/>
            <w:noWrap/>
            <w:vAlign w:val="center"/>
          </w:tcPr>
          <w:p w14:paraId="1B0618DF"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318 500,00</w:t>
            </w:r>
          </w:p>
        </w:tc>
      </w:tr>
      <w:tr w:rsidR="003F2001" w:rsidRPr="003F2001" w14:paraId="651FC922"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768140CA"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579F8044"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Przebudowa placu zabaw oraz budowa siłowni zewnętrznej przy ulicy Długiej w Opolu Lubelskim</w:t>
            </w:r>
          </w:p>
        </w:tc>
        <w:tc>
          <w:tcPr>
            <w:tcW w:w="782" w:type="pct"/>
            <w:noWrap/>
            <w:vAlign w:val="center"/>
          </w:tcPr>
          <w:p w14:paraId="1D088659"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439 000,00</w:t>
            </w:r>
          </w:p>
        </w:tc>
        <w:tc>
          <w:tcPr>
            <w:tcW w:w="779" w:type="pct"/>
            <w:noWrap/>
            <w:vAlign w:val="center"/>
          </w:tcPr>
          <w:p w14:paraId="6B16CF68"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430 220,00</w:t>
            </w:r>
          </w:p>
        </w:tc>
      </w:tr>
      <w:tr w:rsidR="003F2001" w:rsidRPr="003F2001" w14:paraId="021A535C"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0F73FD0A"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6FBF1A62"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Rewitalizacja zabytkowego kościoła Parafialnego pw. Świętej Trójcy we Wrzelowcu</w:t>
            </w:r>
          </w:p>
        </w:tc>
        <w:tc>
          <w:tcPr>
            <w:tcW w:w="782" w:type="pct"/>
            <w:noWrap/>
            <w:vAlign w:val="center"/>
          </w:tcPr>
          <w:p w14:paraId="116412D2"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1 305 958,00</w:t>
            </w:r>
          </w:p>
        </w:tc>
        <w:tc>
          <w:tcPr>
            <w:tcW w:w="779" w:type="pct"/>
            <w:noWrap/>
            <w:vAlign w:val="center"/>
          </w:tcPr>
          <w:p w14:paraId="4732C773"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1 279 838,84</w:t>
            </w:r>
          </w:p>
        </w:tc>
      </w:tr>
      <w:tr w:rsidR="003F2001" w:rsidRPr="003F2001" w14:paraId="27DC2946"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46FC95F6"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6311D848"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Utworzenie strefy odpoczynku w Parku Miejskim w Opolu Lubelskim</w:t>
            </w:r>
          </w:p>
        </w:tc>
        <w:tc>
          <w:tcPr>
            <w:tcW w:w="782" w:type="pct"/>
            <w:noWrap/>
            <w:vAlign w:val="center"/>
          </w:tcPr>
          <w:p w14:paraId="3EA331CD"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2 000 000,00</w:t>
            </w:r>
          </w:p>
        </w:tc>
        <w:tc>
          <w:tcPr>
            <w:tcW w:w="779" w:type="pct"/>
            <w:noWrap/>
            <w:vAlign w:val="center"/>
          </w:tcPr>
          <w:p w14:paraId="15BA51AD"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1 960 000,00</w:t>
            </w:r>
          </w:p>
        </w:tc>
      </w:tr>
      <w:tr w:rsidR="003F2001" w:rsidRPr="003F2001" w14:paraId="7C46BAF2"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44282A96"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53F69342"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Modernizacja obiektów użyteczności publicznej na potrzeby świadczenia usług społecznych i edukacyjnych - etap II</w:t>
            </w:r>
          </w:p>
        </w:tc>
        <w:tc>
          <w:tcPr>
            <w:tcW w:w="782" w:type="pct"/>
            <w:noWrap/>
            <w:vAlign w:val="center"/>
          </w:tcPr>
          <w:p w14:paraId="357C31DB"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3 156 100,00</w:t>
            </w:r>
          </w:p>
        </w:tc>
        <w:tc>
          <w:tcPr>
            <w:tcW w:w="779" w:type="pct"/>
            <w:noWrap/>
            <w:vAlign w:val="center"/>
          </w:tcPr>
          <w:p w14:paraId="78916117"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2 682 685,00</w:t>
            </w:r>
          </w:p>
        </w:tc>
      </w:tr>
      <w:tr w:rsidR="003F2001" w:rsidRPr="003F2001" w14:paraId="7C9061BD"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407EBF0A"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5973B67A"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Przebudowa sieci dróg, parkingu i chodników wraz z infrastrukturą towarzyszącą na terenie Gminy Opole Lubelskie</w:t>
            </w:r>
          </w:p>
        </w:tc>
        <w:tc>
          <w:tcPr>
            <w:tcW w:w="782" w:type="pct"/>
            <w:noWrap/>
            <w:vAlign w:val="center"/>
          </w:tcPr>
          <w:p w14:paraId="472C49FA"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5 735 365,71</w:t>
            </w:r>
          </w:p>
        </w:tc>
        <w:tc>
          <w:tcPr>
            <w:tcW w:w="779" w:type="pct"/>
            <w:noWrap/>
            <w:vAlign w:val="center"/>
          </w:tcPr>
          <w:p w14:paraId="091EC5A1"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5 430 797,42</w:t>
            </w:r>
          </w:p>
        </w:tc>
      </w:tr>
      <w:tr w:rsidR="003F2001" w:rsidRPr="003F2001" w14:paraId="6A2FE4E5"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4A028EF7"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5F336495"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Przebudowa ul. Ks. Piotra Ściegiennego w Opolu Lubelskim wraz z wykonaniem kanalizacji deszczowej</w:t>
            </w:r>
          </w:p>
        </w:tc>
        <w:tc>
          <w:tcPr>
            <w:tcW w:w="782" w:type="pct"/>
            <w:noWrap/>
            <w:vAlign w:val="center"/>
          </w:tcPr>
          <w:p w14:paraId="51A69393"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2 000 000,00</w:t>
            </w:r>
          </w:p>
        </w:tc>
        <w:tc>
          <w:tcPr>
            <w:tcW w:w="779" w:type="pct"/>
            <w:noWrap/>
            <w:vAlign w:val="center"/>
          </w:tcPr>
          <w:p w14:paraId="7E785A5F"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1 849 000,00</w:t>
            </w:r>
          </w:p>
        </w:tc>
      </w:tr>
      <w:tr w:rsidR="003F2001" w:rsidRPr="003F2001" w14:paraId="0A181BAF"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4A6D2518"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5834E5E1"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Rewitalizacja Klasztoru Pijarów w Opolu Lubelskim (skrzydło zachodnie) - Parafia Rzymskokatolicka p.w. WNMP w Opolu Lubelskim</w:t>
            </w:r>
          </w:p>
        </w:tc>
        <w:tc>
          <w:tcPr>
            <w:tcW w:w="782" w:type="pct"/>
            <w:noWrap/>
            <w:vAlign w:val="center"/>
          </w:tcPr>
          <w:p w14:paraId="0063D29E"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918 400,00</w:t>
            </w:r>
          </w:p>
        </w:tc>
        <w:tc>
          <w:tcPr>
            <w:tcW w:w="779" w:type="pct"/>
            <w:noWrap/>
            <w:vAlign w:val="center"/>
          </w:tcPr>
          <w:p w14:paraId="10939DC4"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900 032,00</w:t>
            </w:r>
          </w:p>
        </w:tc>
      </w:tr>
      <w:tr w:rsidR="003F2001" w:rsidRPr="003F2001" w14:paraId="3AD048A5"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hideMark/>
          </w:tcPr>
          <w:p w14:paraId="59EAC240"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Rządowy Fundusz Inwestycji Lokalnych</w:t>
            </w:r>
          </w:p>
        </w:tc>
        <w:tc>
          <w:tcPr>
            <w:tcW w:w="2190" w:type="pct"/>
            <w:noWrap/>
            <w:vAlign w:val="center"/>
            <w:hideMark/>
          </w:tcPr>
          <w:p w14:paraId="1E2AEDB2"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Rewitalizacja Parku Miejskiego w Opolu Lubelskim- etap II</w:t>
            </w:r>
          </w:p>
        </w:tc>
        <w:tc>
          <w:tcPr>
            <w:tcW w:w="782" w:type="pct"/>
            <w:noWrap/>
            <w:vAlign w:val="center"/>
          </w:tcPr>
          <w:p w14:paraId="6FED868D"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2 000 000,00</w:t>
            </w:r>
          </w:p>
        </w:tc>
        <w:tc>
          <w:tcPr>
            <w:tcW w:w="779" w:type="pct"/>
            <w:noWrap/>
            <w:vAlign w:val="center"/>
          </w:tcPr>
          <w:p w14:paraId="064FB49B"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 xml:space="preserve">1 800 000,00 </w:t>
            </w:r>
          </w:p>
        </w:tc>
      </w:tr>
      <w:tr w:rsidR="003F2001" w:rsidRPr="003F2001" w14:paraId="6B296593"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hideMark/>
          </w:tcPr>
          <w:p w14:paraId="637FAD78"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hideMark/>
          </w:tcPr>
          <w:p w14:paraId="342EB208"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Opole Lubelskie do dotknięcia, do zasmakowania- rewitalizacja gospodarczo-społeczna historycznego centrum Opola Lubelskiego- Etap II</w:t>
            </w:r>
          </w:p>
        </w:tc>
        <w:tc>
          <w:tcPr>
            <w:tcW w:w="782" w:type="pct"/>
            <w:noWrap/>
            <w:vAlign w:val="center"/>
          </w:tcPr>
          <w:p w14:paraId="7E70A3C9"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1 825 000,00</w:t>
            </w:r>
          </w:p>
        </w:tc>
        <w:tc>
          <w:tcPr>
            <w:tcW w:w="779" w:type="pct"/>
            <w:noWrap/>
            <w:vAlign w:val="center"/>
          </w:tcPr>
          <w:p w14:paraId="42484FC7"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1 642 500,00</w:t>
            </w:r>
          </w:p>
        </w:tc>
      </w:tr>
      <w:tr w:rsidR="003F2001" w:rsidRPr="003F2001" w14:paraId="11FC7970"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2E2AA1E7"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3491EB2B"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Poprawa efektywności energetycznej poprzez modernizację infrastruktury oświetlenia ulicznego na terenie Gminy Opole Lubelskie</w:t>
            </w:r>
          </w:p>
        </w:tc>
        <w:tc>
          <w:tcPr>
            <w:tcW w:w="782" w:type="pct"/>
            <w:noWrap/>
            <w:vAlign w:val="center"/>
          </w:tcPr>
          <w:p w14:paraId="5CF798B3"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4 200 000,00</w:t>
            </w:r>
          </w:p>
        </w:tc>
        <w:tc>
          <w:tcPr>
            <w:tcW w:w="779" w:type="pct"/>
            <w:noWrap/>
            <w:vAlign w:val="center"/>
          </w:tcPr>
          <w:p w14:paraId="21AA0131"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3 780 000,00</w:t>
            </w:r>
          </w:p>
        </w:tc>
      </w:tr>
      <w:tr w:rsidR="003F2001" w:rsidRPr="003F2001" w14:paraId="0B587C50"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tcPr>
          <w:p w14:paraId="1DCB7FDA"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Fundusz Dróg Samorządowych</w:t>
            </w:r>
          </w:p>
        </w:tc>
        <w:tc>
          <w:tcPr>
            <w:tcW w:w="2190" w:type="pct"/>
            <w:noWrap/>
            <w:vAlign w:val="center"/>
          </w:tcPr>
          <w:p w14:paraId="22F49095"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Przebudowa drogi gminnej nr 108178L w miejscowości Góry Opolskie od km 0+000,00 do 1+169,86</w:t>
            </w:r>
          </w:p>
        </w:tc>
        <w:tc>
          <w:tcPr>
            <w:tcW w:w="782" w:type="pct"/>
            <w:noWrap/>
            <w:vAlign w:val="center"/>
          </w:tcPr>
          <w:p w14:paraId="1B5B7B6C"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756 104,17</w:t>
            </w:r>
          </w:p>
        </w:tc>
        <w:tc>
          <w:tcPr>
            <w:tcW w:w="779" w:type="pct"/>
            <w:noWrap/>
            <w:vAlign w:val="center"/>
          </w:tcPr>
          <w:p w14:paraId="1F9AA92A"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529 272,00</w:t>
            </w:r>
          </w:p>
        </w:tc>
      </w:tr>
      <w:tr w:rsidR="003F2001" w:rsidRPr="003F2001" w14:paraId="103C135E"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5CA5CA8C"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5F58539E"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Przebudowa drogi gminnej w miejscowości Stare Komaszyce od km 0+000,00 do 0+528,25</w:t>
            </w:r>
          </w:p>
        </w:tc>
        <w:tc>
          <w:tcPr>
            <w:tcW w:w="782" w:type="pct"/>
            <w:noWrap/>
            <w:vAlign w:val="center"/>
          </w:tcPr>
          <w:p w14:paraId="5A8CD0C7"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354 606,20</w:t>
            </w:r>
          </w:p>
        </w:tc>
        <w:tc>
          <w:tcPr>
            <w:tcW w:w="779" w:type="pct"/>
            <w:noWrap/>
            <w:vAlign w:val="center"/>
          </w:tcPr>
          <w:p w14:paraId="67325036"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248 224,00</w:t>
            </w:r>
          </w:p>
        </w:tc>
      </w:tr>
      <w:tr w:rsidR="003F2001" w:rsidRPr="003F2001" w14:paraId="3FF9B0F6"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6BBFB844"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350CEE9B"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Przebudowa drogi gminnej nr 108164L Mały Wrzelowiec - Kluczkowice od km 0+995,00 do km 1+355,47</w:t>
            </w:r>
          </w:p>
        </w:tc>
        <w:tc>
          <w:tcPr>
            <w:tcW w:w="782" w:type="pct"/>
            <w:noWrap/>
            <w:vAlign w:val="center"/>
          </w:tcPr>
          <w:p w14:paraId="4C2A8B59"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428 349,35</w:t>
            </w:r>
          </w:p>
        </w:tc>
        <w:tc>
          <w:tcPr>
            <w:tcW w:w="779" w:type="pct"/>
            <w:noWrap/>
            <w:vAlign w:val="center"/>
          </w:tcPr>
          <w:p w14:paraId="1730A369"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299 844,00</w:t>
            </w:r>
          </w:p>
        </w:tc>
      </w:tr>
      <w:tr w:rsidR="003F2001" w:rsidRPr="003F2001" w14:paraId="140A0B4C"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tcPr>
          <w:p w14:paraId="6906A196"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Rządowy Fundusz Rozwoju Dróg</w:t>
            </w:r>
          </w:p>
        </w:tc>
        <w:tc>
          <w:tcPr>
            <w:tcW w:w="2190" w:type="pct"/>
            <w:noWrap/>
            <w:vAlign w:val="center"/>
          </w:tcPr>
          <w:p w14:paraId="3E71D7A0"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Przebudowa drogi gminnej nr 108197L w miejscowości Opole Lubelskie ul. Nowa od km 0+000,00 do km 0+279,10</w:t>
            </w:r>
          </w:p>
        </w:tc>
        <w:tc>
          <w:tcPr>
            <w:tcW w:w="782" w:type="pct"/>
            <w:noWrap/>
            <w:vAlign w:val="center"/>
          </w:tcPr>
          <w:p w14:paraId="3069F0B0"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1 195 064,22</w:t>
            </w:r>
          </w:p>
        </w:tc>
        <w:tc>
          <w:tcPr>
            <w:tcW w:w="779" w:type="pct"/>
            <w:noWrap/>
            <w:vAlign w:val="center"/>
          </w:tcPr>
          <w:p w14:paraId="6B43686D"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717 038,53</w:t>
            </w:r>
          </w:p>
        </w:tc>
      </w:tr>
      <w:tr w:rsidR="003F2001" w:rsidRPr="003F2001" w14:paraId="4C4789E6"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60601316"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60C920D6"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Przebudowa drogi gminnej nr 108212L w Opolu Lubelskim ul. Przedmieście od km 0+000 do km 0+241,00</w:t>
            </w:r>
          </w:p>
        </w:tc>
        <w:tc>
          <w:tcPr>
            <w:tcW w:w="782" w:type="pct"/>
            <w:noWrap/>
            <w:vAlign w:val="center"/>
          </w:tcPr>
          <w:p w14:paraId="1EFD9686"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674 965,43</w:t>
            </w:r>
          </w:p>
        </w:tc>
        <w:tc>
          <w:tcPr>
            <w:tcW w:w="779" w:type="pct"/>
            <w:noWrap/>
            <w:vAlign w:val="center"/>
          </w:tcPr>
          <w:p w14:paraId="018451EC"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404 979,25</w:t>
            </w:r>
          </w:p>
        </w:tc>
      </w:tr>
      <w:tr w:rsidR="003F2001" w:rsidRPr="003F2001" w14:paraId="6E6BDD13"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6F821B1D"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6D5715AD"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Budowa drogi w miejscowości Opole Lubelskie ul. Owocowa od km 0+233,50 do km 0+477,68</w:t>
            </w:r>
          </w:p>
        </w:tc>
        <w:tc>
          <w:tcPr>
            <w:tcW w:w="782" w:type="pct"/>
            <w:noWrap/>
            <w:vAlign w:val="center"/>
          </w:tcPr>
          <w:p w14:paraId="40E78EA6"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1 463 941,60</w:t>
            </w:r>
          </w:p>
        </w:tc>
        <w:tc>
          <w:tcPr>
            <w:tcW w:w="779" w:type="pct"/>
            <w:noWrap/>
            <w:vAlign w:val="center"/>
          </w:tcPr>
          <w:p w14:paraId="0E585970"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878 364,00</w:t>
            </w:r>
          </w:p>
        </w:tc>
      </w:tr>
      <w:tr w:rsidR="003F2001" w:rsidRPr="003F2001" w14:paraId="14234F38"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3B0D155E"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7FF98D8A"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Budowa drogi gminnej przy ul. Zielonej w m. Opole Lubelskie od km 0+000,00 do km 0+083,93</w:t>
            </w:r>
          </w:p>
        </w:tc>
        <w:tc>
          <w:tcPr>
            <w:tcW w:w="782" w:type="pct"/>
            <w:noWrap/>
            <w:vAlign w:val="center"/>
          </w:tcPr>
          <w:p w14:paraId="23B7D188"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367 999,81</w:t>
            </w:r>
          </w:p>
        </w:tc>
        <w:tc>
          <w:tcPr>
            <w:tcW w:w="779" w:type="pct"/>
            <w:noWrap/>
            <w:vAlign w:val="center"/>
          </w:tcPr>
          <w:p w14:paraId="5DEE258C"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220 799,00</w:t>
            </w:r>
          </w:p>
        </w:tc>
      </w:tr>
      <w:tr w:rsidR="003F2001" w:rsidRPr="003F2001" w14:paraId="269820D7"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tcPr>
          <w:p w14:paraId="29A2C547"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Program Sportowa Polska - Program Rozwoju Lokalnej Infrastruktury Sportowej</w:t>
            </w:r>
          </w:p>
        </w:tc>
        <w:tc>
          <w:tcPr>
            <w:tcW w:w="2190" w:type="pct"/>
            <w:noWrap/>
            <w:vAlign w:val="center"/>
          </w:tcPr>
          <w:p w14:paraId="6476F587"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Budowa boiska piłkarskiego przy ul. Lipowej w Opolu Lubelskim</w:t>
            </w:r>
          </w:p>
        </w:tc>
        <w:tc>
          <w:tcPr>
            <w:tcW w:w="782" w:type="pct"/>
            <w:noWrap/>
            <w:vAlign w:val="center"/>
          </w:tcPr>
          <w:p w14:paraId="42B639D9"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3 955 577,00</w:t>
            </w:r>
          </w:p>
        </w:tc>
        <w:tc>
          <w:tcPr>
            <w:tcW w:w="779" w:type="pct"/>
            <w:noWrap/>
            <w:vAlign w:val="center"/>
          </w:tcPr>
          <w:p w14:paraId="63D612B2"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1 682 300,00</w:t>
            </w:r>
          </w:p>
        </w:tc>
      </w:tr>
      <w:tr w:rsidR="003F2001" w:rsidRPr="003F2001" w14:paraId="6404F208"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35309A58"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249DEB53"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Budowa lodowiska z funkcją kortu tenisowego wraz z zadaszeniem i budynkiem obsługowym przy ul. Fabrycznej w Opolu Lubelskim</w:t>
            </w:r>
          </w:p>
        </w:tc>
        <w:tc>
          <w:tcPr>
            <w:tcW w:w="782" w:type="pct"/>
            <w:noWrap/>
            <w:vAlign w:val="center"/>
          </w:tcPr>
          <w:p w14:paraId="5959A252"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3 037 707,00</w:t>
            </w:r>
          </w:p>
        </w:tc>
        <w:tc>
          <w:tcPr>
            <w:tcW w:w="779" w:type="pct"/>
            <w:noWrap/>
            <w:vAlign w:val="center"/>
          </w:tcPr>
          <w:p w14:paraId="5EB51574"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1 452 300,00</w:t>
            </w:r>
          </w:p>
        </w:tc>
      </w:tr>
      <w:tr w:rsidR="003F2001" w:rsidRPr="003F2001" w14:paraId="6DFE4E15"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val="restart"/>
            <w:noWrap/>
            <w:vAlign w:val="center"/>
          </w:tcPr>
          <w:p w14:paraId="2CC61684" w14:textId="77777777" w:rsidR="003F2001" w:rsidRPr="003F2001" w:rsidRDefault="003F2001" w:rsidP="003F2001">
            <w:pPr>
              <w:spacing w:before="40" w:after="40" w:line="240" w:lineRule="auto"/>
              <w:jc w:val="left"/>
              <w:rPr>
                <w:rFonts w:cs="Calibri"/>
                <w:sz w:val="16"/>
                <w:szCs w:val="16"/>
                <w:lang w:eastAsia="pl-PL"/>
              </w:rPr>
            </w:pPr>
            <w:r w:rsidRPr="003F2001">
              <w:rPr>
                <w:rFonts w:cs="Calibri"/>
                <w:sz w:val="16"/>
                <w:szCs w:val="16"/>
                <w:lang w:eastAsia="pl-PL"/>
              </w:rPr>
              <w:t>Program ograniczania przestępczości i aspołecznych zachowań Razem Bezpieczniej im. Władysława Stasiaka na lata 2022-2024</w:t>
            </w:r>
          </w:p>
        </w:tc>
        <w:tc>
          <w:tcPr>
            <w:tcW w:w="2190" w:type="pct"/>
            <w:noWrap/>
            <w:vAlign w:val="center"/>
          </w:tcPr>
          <w:p w14:paraId="465A9839"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Bezpieczny pieszy na pasach – poprawa bezpieczeństwa na przejściach dla pieszych w Opolu Lubelskim</w:t>
            </w:r>
          </w:p>
        </w:tc>
        <w:tc>
          <w:tcPr>
            <w:tcW w:w="782" w:type="pct"/>
            <w:noWrap/>
            <w:vAlign w:val="center"/>
          </w:tcPr>
          <w:p w14:paraId="1C8EAD7B"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93 295,00</w:t>
            </w:r>
          </w:p>
        </w:tc>
        <w:tc>
          <w:tcPr>
            <w:tcW w:w="779" w:type="pct"/>
            <w:noWrap/>
            <w:vAlign w:val="center"/>
          </w:tcPr>
          <w:p w14:paraId="28A21B4E"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83 895,00</w:t>
            </w:r>
          </w:p>
        </w:tc>
      </w:tr>
      <w:tr w:rsidR="003F2001" w:rsidRPr="003F2001" w14:paraId="306181EB"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1249" w:type="pct"/>
            <w:vMerge/>
            <w:noWrap/>
            <w:vAlign w:val="center"/>
          </w:tcPr>
          <w:p w14:paraId="50067829" w14:textId="77777777" w:rsidR="003F2001" w:rsidRPr="003F2001" w:rsidRDefault="003F2001" w:rsidP="003F2001">
            <w:pPr>
              <w:spacing w:before="40" w:after="40" w:line="240" w:lineRule="auto"/>
              <w:jc w:val="left"/>
              <w:rPr>
                <w:rFonts w:cs="Calibri"/>
                <w:sz w:val="16"/>
                <w:szCs w:val="16"/>
                <w:lang w:eastAsia="pl-PL"/>
              </w:rPr>
            </w:pPr>
          </w:p>
        </w:tc>
        <w:tc>
          <w:tcPr>
            <w:tcW w:w="2190" w:type="pct"/>
            <w:noWrap/>
            <w:vAlign w:val="center"/>
          </w:tcPr>
          <w:p w14:paraId="233C928A" w14:textId="77777777" w:rsidR="003F2001" w:rsidRPr="003F2001" w:rsidRDefault="003F2001" w:rsidP="003F2001">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Bezpieczny i widoczny pieszy - poprawa bezpieczeństwa na przejściach dla pieszych w Opolu Lubelskim</w:t>
            </w:r>
          </w:p>
        </w:tc>
        <w:tc>
          <w:tcPr>
            <w:tcW w:w="782" w:type="pct"/>
            <w:noWrap/>
            <w:vAlign w:val="center"/>
          </w:tcPr>
          <w:p w14:paraId="65CE8335"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130 000,00</w:t>
            </w:r>
          </w:p>
        </w:tc>
        <w:tc>
          <w:tcPr>
            <w:tcW w:w="779" w:type="pct"/>
            <w:noWrap/>
            <w:vAlign w:val="center"/>
          </w:tcPr>
          <w:p w14:paraId="3E8C889B"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sz w:val="16"/>
                <w:szCs w:val="16"/>
                <w:lang w:eastAsia="pl-PL"/>
              </w:rPr>
            </w:pPr>
            <w:r w:rsidRPr="003F2001">
              <w:rPr>
                <w:rFonts w:cs="Calibri"/>
                <w:sz w:val="16"/>
                <w:szCs w:val="16"/>
                <w:lang w:eastAsia="pl-PL"/>
              </w:rPr>
              <w:t>100 000,00</w:t>
            </w:r>
          </w:p>
        </w:tc>
      </w:tr>
      <w:tr w:rsidR="003F2001" w:rsidRPr="003F2001" w14:paraId="7EFEBB21" w14:textId="77777777" w:rsidTr="00CC1974">
        <w:trPr>
          <w:trHeight w:val="57"/>
        </w:trPr>
        <w:tc>
          <w:tcPr>
            <w:cnfStyle w:val="001000000000" w:firstRow="0" w:lastRow="0" w:firstColumn="1" w:lastColumn="0" w:oddVBand="0" w:evenVBand="0" w:oddHBand="0" w:evenHBand="0" w:firstRowFirstColumn="0" w:firstRowLastColumn="0" w:lastRowFirstColumn="0" w:lastRowLastColumn="0"/>
            <w:tcW w:w="3439" w:type="pct"/>
            <w:gridSpan w:val="2"/>
            <w:noWrap/>
            <w:vAlign w:val="center"/>
            <w:hideMark/>
          </w:tcPr>
          <w:p w14:paraId="27C1E585" w14:textId="77777777" w:rsidR="003F2001" w:rsidRPr="003F2001" w:rsidRDefault="003F2001" w:rsidP="003F2001">
            <w:pPr>
              <w:spacing w:before="40" w:after="40" w:line="240" w:lineRule="auto"/>
              <w:jc w:val="right"/>
              <w:rPr>
                <w:rFonts w:cs="Calibri"/>
                <w:sz w:val="16"/>
                <w:szCs w:val="16"/>
                <w:lang w:eastAsia="pl-PL"/>
              </w:rPr>
            </w:pPr>
            <w:r w:rsidRPr="003F2001">
              <w:rPr>
                <w:rFonts w:cs="Calibri"/>
                <w:sz w:val="16"/>
                <w:szCs w:val="16"/>
                <w:lang w:eastAsia="pl-PL"/>
              </w:rPr>
              <w:t>RAZEM:</w:t>
            </w:r>
          </w:p>
        </w:tc>
        <w:tc>
          <w:tcPr>
            <w:tcW w:w="782" w:type="pct"/>
            <w:noWrap/>
            <w:vAlign w:val="center"/>
            <w:hideMark/>
          </w:tcPr>
          <w:p w14:paraId="548EEE4A"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16"/>
                <w:szCs w:val="16"/>
                <w:lang w:eastAsia="pl-PL"/>
              </w:rPr>
            </w:pPr>
            <w:r w:rsidRPr="003F2001">
              <w:rPr>
                <w:rFonts w:cs="Calibri"/>
                <w:b/>
                <w:bCs/>
                <w:sz w:val="16"/>
                <w:szCs w:val="16"/>
                <w:lang w:eastAsia="pl-PL"/>
              </w:rPr>
              <w:t>58 456 780,38</w:t>
            </w:r>
          </w:p>
        </w:tc>
        <w:tc>
          <w:tcPr>
            <w:tcW w:w="779" w:type="pct"/>
            <w:noWrap/>
            <w:vAlign w:val="center"/>
            <w:hideMark/>
          </w:tcPr>
          <w:p w14:paraId="0A5877F5" w14:textId="77777777" w:rsidR="003F2001" w:rsidRPr="003F2001" w:rsidRDefault="003F2001" w:rsidP="003F2001">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bCs/>
                <w:sz w:val="16"/>
                <w:szCs w:val="16"/>
                <w:lang w:eastAsia="pl-PL"/>
              </w:rPr>
            </w:pPr>
            <w:r w:rsidRPr="003F2001">
              <w:rPr>
                <w:rFonts w:cs="Calibri"/>
                <w:b/>
                <w:bCs/>
                <w:sz w:val="16"/>
                <w:szCs w:val="16"/>
                <w:lang w:eastAsia="pl-PL"/>
              </w:rPr>
              <w:t>48 562 591,11</w:t>
            </w:r>
          </w:p>
        </w:tc>
      </w:tr>
    </w:tbl>
    <w:p w14:paraId="0D5DEBFC" w14:textId="77777777" w:rsidR="003F2001" w:rsidRPr="003F2001" w:rsidRDefault="003F2001" w:rsidP="003F2001">
      <w:pPr>
        <w:spacing w:before="120" w:line="276" w:lineRule="auto"/>
        <w:rPr>
          <w:rFonts w:eastAsia="Times New Roman" w:cs="Times New Roman"/>
          <w:kern w:val="0"/>
          <w:sz w:val="16"/>
          <w:szCs w:val="16"/>
          <w:lang w:bidi="en-US"/>
          <w14:ligatures w14:val="none"/>
        </w:rPr>
      </w:pPr>
      <w:r w:rsidRPr="003F2001">
        <w:rPr>
          <w:rFonts w:eastAsia="Times New Roman" w:cs="Times New Roman"/>
          <w:kern w:val="0"/>
          <w:sz w:val="16"/>
          <w:szCs w:val="16"/>
          <w:lang w:bidi="en-US"/>
          <w14:ligatures w14:val="none"/>
        </w:rPr>
        <w:t xml:space="preserve">Źródło: Opracowanie własne na podstawie danych zamieszczonych na stronie </w:t>
      </w:r>
      <w:hyperlink r:id="rId67" w:history="1">
        <w:r w:rsidRPr="003F2001">
          <w:rPr>
            <w:rFonts w:eastAsia="Times New Roman" w:cs="Times New Roman"/>
            <w:color w:val="69230B"/>
            <w:kern w:val="0"/>
            <w:sz w:val="16"/>
            <w:szCs w:val="16"/>
            <w:u w:val="single"/>
            <w:lang w:bidi="en-US"/>
            <w14:ligatures w14:val="none"/>
          </w:rPr>
          <w:t>https://www.opolelubelskie.pl/</w:t>
        </w:r>
      </w:hyperlink>
      <w:r w:rsidRPr="003F2001">
        <w:rPr>
          <w:rFonts w:eastAsia="Times New Roman" w:cs="Times New Roman"/>
          <w:kern w:val="0"/>
          <w:sz w:val="16"/>
          <w:szCs w:val="16"/>
          <w:lang w:bidi="en-US"/>
          <w14:ligatures w14:val="none"/>
        </w:rPr>
        <w:t>.</w:t>
      </w:r>
    </w:p>
    <w:p w14:paraId="6732D3EC" w14:textId="77777777" w:rsidR="003F2001" w:rsidRPr="003F2001" w:rsidRDefault="003F2001" w:rsidP="003F2001">
      <w:pPr>
        <w:spacing w:line="276" w:lineRule="auto"/>
        <w:rPr>
          <w:rFonts w:eastAsia="Times New Roman" w:cs="Times New Roman"/>
          <w:kern w:val="0"/>
          <w:szCs w:val="20"/>
          <w:lang w:bidi="en-US"/>
          <w14:ligatures w14:val="none"/>
        </w:rPr>
      </w:pPr>
    </w:p>
    <w:p w14:paraId="23F8F97A" w14:textId="43F65F31" w:rsidR="003F2001" w:rsidRPr="003F2001" w:rsidRDefault="003F2001" w:rsidP="00941F1D">
      <w:pPr>
        <w:pStyle w:val="Nagwek2"/>
      </w:pPr>
      <w:bookmarkStart w:id="181" w:name="_Toc173435474"/>
      <w:bookmarkStart w:id="182" w:name="_Toc191908789"/>
      <w:r>
        <w:t xml:space="preserve">2.7.3 </w:t>
      </w:r>
      <w:r w:rsidRPr="003F2001">
        <w:t>Podsumowanie i wnioski</w:t>
      </w:r>
      <w:bookmarkEnd w:id="181"/>
      <w:bookmarkEnd w:id="182"/>
    </w:p>
    <w:p w14:paraId="218770A6" w14:textId="0835875F" w:rsidR="003F2001" w:rsidRPr="003F2001" w:rsidRDefault="003F2001">
      <w:pPr>
        <w:numPr>
          <w:ilvl w:val="0"/>
          <w:numId w:val="66"/>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W 2023 r. dochody Gminy Opole Lubelskie wyniosły 96 769 813,38 zł, a wydatki osiągnęły kwotę 98 163 108,10 zł. Należy również zauważyć, że w latach 2014-2020 dochody i</w:t>
      </w:r>
      <w:r w:rsidR="00B2530C">
        <w:rPr>
          <w:rFonts w:eastAsia="Times New Roman" w:cs="Times New Roman"/>
          <w:color w:val="69230B"/>
          <w:kern w:val="0"/>
          <w:szCs w:val="20"/>
          <w:lang w:bidi="en-US"/>
          <w14:ligatures w14:val="none"/>
        </w:rPr>
        <w:t> </w:t>
      </w:r>
      <w:r w:rsidRPr="003F2001">
        <w:rPr>
          <w:rFonts w:eastAsia="Times New Roman" w:cs="Times New Roman"/>
          <w:color w:val="69230B"/>
          <w:kern w:val="0"/>
          <w:szCs w:val="20"/>
          <w:lang w:bidi="en-US"/>
          <w14:ligatures w14:val="none"/>
        </w:rPr>
        <w:t>wydatki gminy wykazywały trend wzrostowy, natomiast w następnych latach utrzymywały się na dość stałym poziomie.</w:t>
      </w:r>
      <w:r w:rsidRPr="003F2001">
        <w:rPr>
          <w:rFonts w:ascii="Calibri" w:eastAsia="Calibri" w:hAnsi="Calibri" w:cs="Times New Roman"/>
          <w:sz w:val="22"/>
        </w:rPr>
        <w:t xml:space="preserve"> </w:t>
      </w:r>
      <w:r w:rsidRPr="003F2001">
        <w:rPr>
          <w:rFonts w:eastAsia="Times New Roman" w:cs="Times New Roman"/>
          <w:color w:val="69230B"/>
          <w:kern w:val="0"/>
          <w:szCs w:val="20"/>
          <w:lang w:bidi="en-US"/>
          <w14:ligatures w14:val="none"/>
        </w:rPr>
        <w:t>W roku 2023 wynik finansowy gminy był ujemny i jednostka wygenerowała stratę w wysokości 1 393 294,72 zł. Analiza danych statystycznych GUS wskazuje, że w latach 2014-2023 saldo budżetu bieżącego zazwyczaj przyjmowało wartości ujemne (jedynie w 2016 i 2020 r. w Gminie Opole Lubelskie odnotowano dodatni wynik operacyjny), co oznacza, że wydatki bieżące jednostki nie znajdowały pełnego pokrycia w dochodach bieżących.</w:t>
      </w:r>
    </w:p>
    <w:p w14:paraId="63F9540A" w14:textId="77777777" w:rsidR="003F2001" w:rsidRPr="003F2001" w:rsidRDefault="003F2001">
      <w:pPr>
        <w:numPr>
          <w:ilvl w:val="0"/>
          <w:numId w:val="66"/>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W 2023 r. najwyższy udział w dochodach ogółem miały subwencje - 37,5% (36 287 646,80 zł), następnie dotacje - 31,8% (30 771 750,86 zł), zaś najmniejszy dochody własne - 30,7% (29 710 415,72 zł). Analiza struktury dochodów gminy w latach 2014-2023 wskazuje na pogarszającą się – od 2021 r. – sytuację finansową jednostki. W roku tym, po wcześniejszym okresie wzrostu udziału dochodów własnych, nastąpił znaczący ich spadek.</w:t>
      </w:r>
    </w:p>
    <w:p w14:paraId="6F19E543" w14:textId="77777777" w:rsidR="003F2001" w:rsidRPr="003F2001" w:rsidRDefault="003F2001">
      <w:pPr>
        <w:numPr>
          <w:ilvl w:val="0"/>
          <w:numId w:val="66"/>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 xml:space="preserve">Według danych GUS średni dochód w przeliczeniu na 1 mieszkańca gminy wyniósł 5 940,44 zł i był nieznacznie niższy od średniego dochodu na 1 mieszkańca gmin powiatu opolskiego (5 966,76 zł) oraz od średniego dochodu na 1 mieszkańca województwa lubelskiego w gminach bez miast na prawach powiatu. Trend dotyczący dochodów własnych gminy przypadających na 1 mieszkańca w latach 2014-2020 kształtował się pozytywnie – w okresie tym obserwowano stały wzrost tego wskaźnika. Natomiast w latach 2021-2023 odnotowano tendencję spadkową – średni dochód per capita zmiesza się rok do roku o 1-2%. </w:t>
      </w:r>
    </w:p>
    <w:p w14:paraId="4F7D2F2E" w14:textId="77777777" w:rsidR="003F2001" w:rsidRPr="003F2001" w:rsidRDefault="003F2001">
      <w:pPr>
        <w:numPr>
          <w:ilvl w:val="0"/>
          <w:numId w:val="66"/>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 xml:space="preserve">W 2023 r. – w porównaniu do roku 2014 r. – wydatki ogółem gmin partnerskich zwiększyły się o 48 189 475,81 zł (96,4%). W strukturze wydatków gminy w 2023 r. wydatki bieżące wyniosły 79 577 354,15 zł (81,1%), zaś wydatki majątkowe inwestycyjne 18 585 753,95 zł (18,9%). </w:t>
      </w:r>
    </w:p>
    <w:p w14:paraId="1087CAA9" w14:textId="77777777" w:rsidR="003F2001" w:rsidRPr="003F2001" w:rsidRDefault="003F2001">
      <w:pPr>
        <w:numPr>
          <w:ilvl w:val="0"/>
          <w:numId w:val="66"/>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Gmina Opole Lubelskie aktywnie korzysta ze środków pochodzących z Funduszy Europejskich. Gmina w perspektywie finansowej 2014-2020 realizowała projekty w ramach Regionalnego Programu Operacyjnego Województwa Lubelskiego na lata 2014-2020, a także programów krajowych: Programu Operacyjnego Infrastruktura i Środowisko 2014-2020,</w:t>
      </w:r>
      <w:r w:rsidRPr="003F2001">
        <w:rPr>
          <w:rFonts w:ascii="Calibri" w:eastAsia="Calibri" w:hAnsi="Calibri" w:cs="Times New Roman"/>
          <w:sz w:val="22"/>
        </w:rPr>
        <w:t xml:space="preserve"> </w:t>
      </w:r>
      <w:r w:rsidRPr="003F2001">
        <w:rPr>
          <w:rFonts w:eastAsia="Times New Roman" w:cs="Times New Roman"/>
          <w:color w:val="69230B"/>
          <w:kern w:val="0"/>
          <w:szCs w:val="20"/>
          <w:lang w:bidi="en-US"/>
          <w14:ligatures w14:val="none"/>
        </w:rPr>
        <w:t xml:space="preserve">Programu Operacyjnego Polska Cyfrowa na lata 2014-2020, Programu Operacyjnego Wiedza Edukacja Rozwój, Programu Rozwoju Obszarów Wiejskich na lata </w:t>
      </w:r>
      <w:r w:rsidRPr="003F2001">
        <w:rPr>
          <w:rFonts w:eastAsia="Times New Roman" w:cs="Times New Roman"/>
          <w:color w:val="69230B"/>
          <w:kern w:val="0"/>
          <w:szCs w:val="20"/>
          <w:lang w:bidi="en-US"/>
          <w14:ligatures w14:val="none"/>
        </w:rPr>
        <w:lastRenderedPageBreak/>
        <w:t xml:space="preserve">2014-2020 oraz Programu Operacyjnego Rybactwo i Morze na lata 2014-2020 W ramach ww. programów gmina – jako beneficjent wiodący lub grantobiorca – zrealizowała 16 projektów o łącznej wartości ogółem wynoszącej 53 044 515,97 zł i otrzymała 31 409 364,65 zł dofinansowania z Unii Europejskiej. </w:t>
      </w:r>
    </w:p>
    <w:p w14:paraId="44766BCB" w14:textId="77777777" w:rsidR="003F2001" w:rsidRPr="003F2001" w:rsidRDefault="003F2001">
      <w:pPr>
        <w:numPr>
          <w:ilvl w:val="0"/>
          <w:numId w:val="66"/>
        </w:numPr>
        <w:spacing w:after="160" w:line="276" w:lineRule="auto"/>
        <w:ind w:left="426" w:hanging="284"/>
        <w:contextualSpacing/>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t>Samorząd Gminy Opole Lubelskie może również pochwalić realizacją licznych inwestycji współfinansowanych ze środków krajowych. W ostatnich latach gmina zrealizowała bądź jest w trakcie realizacji projektów o wartości wynoszącej 58 456 780,38 zł, na które pozyskała 48 562 591,11 zł krajowego dofinansowania. Spośród wspartych inwestycji można wyróżnić kilka grup: rozwój infrastruktury drogowej mający na celu poprawę nie tylko komfortu podróżowania, ale też bezpieczeństwa, inwestycje w budynkach edukacyjnych i użyteczności publicznej, działania rewitalizacyjne, czy też działania związane z rozwojem infrastruktury sportowej i rekreacyjnej.</w:t>
      </w:r>
    </w:p>
    <w:p w14:paraId="630F4BCC" w14:textId="2679D2EC" w:rsidR="003F2001" w:rsidRDefault="003F2001" w:rsidP="00FC15E9">
      <w:pPr>
        <w:spacing w:after="160" w:line="259" w:lineRule="auto"/>
        <w:jc w:val="left"/>
        <w:rPr>
          <w:rFonts w:eastAsia="Times New Roman" w:cs="Times New Roman"/>
          <w:color w:val="69230B"/>
          <w:kern w:val="0"/>
          <w:szCs w:val="20"/>
          <w:lang w:bidi="en-US"/>
          <w14:ligatures w14:val="none"/>
        </w:rPr>
      </w:pPr>
      <w:r w:rsidRPr="003F2001">
        <w:rPr>
          <w:rFonts w:eastAsia="Times New Roman" w:cs="Times New Roman"/>
          <w:color w:val="69230B"/>
          <w:kern w:val="0"/>
          <w:szCs w:val="20"/>
          <w:lang w:bidi="en-US"/>
          <w14:ligatures w14:val="none"/>
        </w:rPr>
        <w:br w:type="page"/>
      </w:r>
    </w:p>
    <w:p w14:paraId="09432D31" w14:textId="71A80143" w:rsidR="00EA4E0B" w:rsidRPr="009A6F89" w:rsidRDefault="00EA4E0B" w:rsidP="00EA4E0B">
      <w:pPr>
        <w:pStyle w:val="Styl2"/>
        <w:rPr>
          <w:u w:val="single"/>
          <w:lang w:bidi="en-US"/>
        </w:rPr>
      </w:pPr>
      <w:bookmarkStart w:id="183" w:name="_Toc191908790"/>
      <w:r w:rsidRPr="009A6F89">
        <w:rPr>
          <w:u w:val="single"/>
          <w:lang w:bidi="en-US"/>
        </w:rPr>
        <w:lastRenderedPageBreak/>
        <w:t>B. CZĘŚĆ STRATEGICZNA</w:t>
      </w:r>
      <w:bookmarkEnd w:id="183"/>
    </w:p>
    <w:p w14:paraId="5028358F" w14:textId="74DA25E2" w:rsidR="00261698" w:rsidRDefault="00261698" w:rsidP="006E2A9A">
      <w:pPr>
        <w:pStyle w:val="Nagwek1"/>
        <w:rPr>
          <w:lang w:bidi="en-US"/>
        </w:rPr>
      </w:pPr>
      <w:bookmarkStart w:id="184" w:name="_Toc191908791"/>
      <w:r>
        <w:rPr>
          <w:lang w:bidi="en-US"/>
        </w:rPr>
        <w:t>3. Przesłanki opracowania Strategii</w:t>
      </w:r>
      <w:bookmarkEnd w:id="184"/>
    </w:p>
    <w:p w14:paraId="34F2D50B" w14:textId="5767815A" w:rsidR="00261698" w:rsidRDefault="00261698" w:rsidP="00EF7754">
      <w:pPr>
        <w:pStyle w:val="Nagwek2"/>
      </w:pPr>
      <w:bookmarkStart w:id="185" w:name="_Toc191908792"/>
      <w:r>
        <w:t>3.1</w:t>
      </w:r>
      <w:r w:rsidR="006529E3">
        <w:t>.</w:t>
      </w:r>
      <w:r>
        <w:t xml:space="preserve"> Samorząd wobec wyzwań społecznych i gospodarczych</w:t>
      </w:r>
      <w:bookmarkEnd w:id="185"/>
    </w:p>
    <w:p w14:paraId="194279F4" w14:textId="69A9F770" w:rsidR="00EF7754" w:rsidRDefault="00EF7754" w:rsidP="00AB6C4A">
      <w:pPr>
        <w:spacing w:after="0"/>
        <w:rPr>
          <w:kern w:val="0"/>
          <w:szCs w:val="20"/>
          <w14:ligatures w14:val="none"/>
        </w:rPr>
      </w:pPr>
      <w:r w:rsidRPr="00EF7754">
        <w:rPr>
          <w:kern w:val="0"/>
          <w:szCs w:val="20"/>
          <w14:ligatures w14:val="none"/>
        </w:rPr>
        <w:t>Na przestrzeni lat 2019 - 2023 obserwujemy istotny wzrost dynamiki zmian zachodzących w wielu obszarach życia społecznego i gospodarczego na poziomie europejskim, krajowym i</w:t>
      </w:r>
      <w:r w:rsidR="00AB6C4A">
        <w:rPr>
          <w:kern w:val="0"/>
          <w:szCs w:val="20"/>
          <w14:ligatures w14:val="none"/>
        </w:rPr>
        <w:t> </w:t>
      </w:r>
      <w:r w:rsidRPr="00EF7754">
        <w:rPr>
          <w:kern w:val="0"/>
          <w:szCs w:val="20"/>
          <w14:ligatures w14:val="none"/>
        </w:rPr>
        <w:t xml:space="preserve"> regionalnym. Skala tych zmian jest znacznie większa niż miało to miejsce w okresie programowania UE 2014 – 2020, a  ich wpływ na wiele obszarów funkcjonowania samorządów jest widoczny i znaczący. </w:t>
      </w:r>
    </w:p>
    <w:p w14:paraId="6C25ADCF" w14:textId="2A5EFDFC" w:rsidR="00EF7754" w:rsidRPr="00EF7754" w:rsidRDefault="00EF7754" w:rsidP="00AB6C4A">
      <w:pPr>
        <w:rPr>
          <w:kern w:val="0"/>
          <w:szCs w:val="20"/>
          <w14:ligatures w14:val="none"/>
        </w:rPr>
      </w:pPr>
      <w:r w:rsidRPr="00EF7754">
        <w:rPr>
          <w:kern w:val="0"/>
          <w:szCs w:val="20"/>
          <w14:ligatures w14:val="none"/>
        </w:rPr>
        <w:t>Zmiany społeczne i gospodarcze spowodowane są przede wszystkim nasilającym się</w:t>
      </w:r>
      <w:r>
        <w:rPr>
          <w:kern w:val="0"/>
          <w:szCs w:val="20"/>
          <w14:ligatures w14:val="none"/>
        </w:rPr>
        <w:t xml:space="preserve"> </w:t>
      </w:r>
      <w:r w:rsidRPr="00EF7754">
        <w:rPr>
          <w:kern w:val="0"/>
          <w:szCs w:val="20"/>
          <w14:ligatures w14:val="none"/>
        </w:rPr>
        <w:t>globalnym kryzysem ekonomicznym, coraz silniej widocznymi efektami zmian klimatycznych,</w:t>
      </w:r>
      <w:r>
        <w:rPr>
          <w:kern w:val="0"/>
          <w:szCs w:val="20"/>
          <w14:ligatures w14:val="none"/>
        </w:rPr>
        <w:t xml:space="preserve"> </w:t>
      </w:r>
      <w:r w:rsidRPr="00EF7754">
        <w:rPr>
          <w:kern w:val="0"/>
          <w:szCs w:val="20"/>
          <w14:ligatures w14:val="none"/>
        </w:rPr>
        <w:t>skutkami pandemii wirusa COVID19 oraz (począwszy od roku 2022) wpływem wojny na Ukrainie na gospodarkę europejską, krajową i lokalną.</w:t>
      </w:r>
    </w:p>
    <w:p w14:paraId="7C89C24D" w14:textId="388674C1" w:rsidR="00EF7754" w:rsidRPr="00EF7754" w:rsidRDefault="00EF7754" w:rsidP="00AB6C4A">
      <w:pPr>
        <w:spacing w:after="0"/>
        <w:rPr>
          <w:kern w:val="0"/>
          <w:szCs w:val="20"/>
          <w14:ligatures w14:val="none"/>
        </w:rPr>
      </w:pPr>
      <w:r w:rsidRPr="00EF7754">
        <w:rPr>
          <w:kern w:val="0"/>
          <w:szCs w:val="20"/>
          <w14:ligatures w14:val="none"/>
        </w:rPr>
        <w:t xml:space="preserve">Jednocześnie coraz bardziej dynamicznym procesom globalizacji i zachodzącym przez to zmianom geopolitycznym towarzyszą lokalne zmiany społeczne i ekonomiczne związane z </w:t>
      </w:r>
      <w:r w:rsidR="00AB6C4A">
        <w:rPr>
          <w:kern w:val="0"/>
          <w:szCs w:val="20"/>
          <w14:ligatures w14:val="none"/>
        </w:rPr>
        <w:t> </w:t>
      </w:r>
      <w:r w:rsidRPr="00EF7754">
        <w:rPr>
          <w:kern w:val="0"/>
          <w:szCs w:val="20"/>
          <w14:ligatures w14:val="none"/>
        </w:rPr>
        <w:t>intensywnym rozwojem gospodarki opartej na wiedzy i nowoczesnych technologiach, procesem zapobiegania i dostosowania do zmian klimatycznych oraz starzeniem się społeczeństwa.</w:t>
      </w:r>
    </w:p>
    <w:p w14:paraId="4BEFF796" w14:textId="425EEE38" w:rsidR="00EF7754" w:rsidRPr="00EF7754" w:rsidRDefault="00EF7754" w:rsidP="00AB6C4A">
      <w:pPr>
        <w:rPr>
          <w:kern w:val="0"/>
          <w:szCs w:val="20"/>
          <w14:ligatures w14:val="none"/>
        </w:rPr>
      </w:pPr>
      <w:r w:rsidRPr="00EF7754">
        <w:rPr>
          <w:kern w:val="0"/>
          <w:szCs w:val="20"/>
          <w14:ligatures w14:val="none"/>
        </w:rPr>
        <w:t xml:space="preserve">Tym samym liczba i skala oddziaływań czynników wpływających na funkcjonowanie samorządów wzrasta, zmienia się też charakter przewag konkurencyjnych jakimi dysponuje obszar gminy Opole Lubelskie. Konsekwencją takiego stanu rzeczy są między innymi zmieniające się oczekiwania mieszkańców gminy - głównych adresatów działań strategicznych władz samorządowych. </w:t>
      </w:r>
    </w:p>
    <w:p w14:paraId="4FFA19D2" w14:textId="1939EDA0" w:rsidR="00EF7754" w:rsidRPr="00EF7754" w:rsidRDefault="00EF7754" w:rsidP="00AB6C4A">
      <w:pPr>
        <w:spacing w:after="0"/>
        <w:rPr>
          <w:kern w:val="0"/>
          <w:szCs w:val="20"/>
          <w14:ligatures w14:val="none"/>
        </w:rPr>
      </w:pPr>
      <w:r w:rsidRPr="00EF7754">
        <w:rPr>
          <w:kern w:val="0"/>
          <w:szCs w:val="20"/>
          <w14:ligatures w14:val="none"/>
        </w:rPr>
        <w:t xml:space="preserve">W związku z powyższym, w obszarach społecznych, gospodarczych i środowiskowych dokonano analizy danych szczególnie w ramach tych funkcji i oddziaływań, które są istotne z </w:t>
      </w:r>
      <w:r w:rsidR="00AB6C4A">
        <w:rPr>
          <w:kern w:val="0"/>
          <w:szCs w:val="20"/>
          <w14:ligatures w14:val="none"/>
        </w:rPr>
        <w:t> </w:t>
      </w:r>
      <w:r w:rsidRPr="00EF7754">
        <w:rPr>
          <w:kern w:val="0"/>
          <w:szCs w:val="20"/>
          <w14:ligatures w14:val="none"/>
        </w:rPr>
        <w:t>punktu widzenia problemów i  potencjałów rozwojowych gminy Opole Lubelskie.</w:t>
      </w:r>
    </w:p>
    <w:p w14:paraId="48BD6F72" w14:textId="107B0E48" w:rsidR="00EF7754" w:rsidRPr="00EF7754" w:rsidRDefault="00EF7754" w:rsidP="00AB6C4A">
      <w:pPr>
        <w:rPr>
          <w:kern w:val="0"/>
          <w:szCs w:val="20"/>
          <w14:ligatures w14:val="none"/>
        </w:rPr>
      </w:pPr>
      <w:r w:rsidRPr="00EF7754">
        <w:rPr>
          <w:kern w:val="0"/>
          <w:szCs w:val="20"/>
          <w14:ligatures w14:val="none"/>
        </w:rPr>
        <w:t>Prace te pozwoliły na sformułowanie wniosków ujętych w diagnozie, obejmujących najważniejsze kwestie dotyczące: przestrzeni i środowiska, demografii i potencjału społecznego, rynku pracy, potencjału gospodarczego, infrastruktury technicznej i społecznej, zaspokajania potrzeb mieszkańców oraz jakości zarządzania i sytuacji finansowej gminy.</w:t>
      </w:r>
    </w:p>
    <w:p w14:paraId="2669404F" w14:textId="5E5DE0F9" w:rsidR="00EF7754" w:rsidRPr="00EF7754" w:rsidRDefault="00EF7754" w:rsidP="00AB6C4A">
      <w:pPr>
        <w:spacing w:after="0"/>
        <w:rPr>
          <w:kern w:val="0"/>
          <w:szCs w:val="20"/>
          <w14:ligatures w14:val="none"/>
        </w:rPr>
      </w:pPr>
      <w:r w:rsidRPr="00EF7754">
        <w:rPr>
          <w:kern w:val="0"/>
          <w:szCs w:val="20"/>
          <w14:ligatures w14:val="none"/>
        </w:rPr>
        <w:t>W oparciu o zaktualizowane dane i wnioski z diagnozy sytuacji społecznej, gospodarczej i</w:t>
      </w:r>
      <w:r w:rsidR="00AB6C4A">
        <w:rPr>
          <w:kern w:val="0"/>
          <w:szCs w:val="20"/>
          <w14:ligatures w14:val="none"/>
        </w:rPr>
        <w:t> </w:t>
      </w:r>
      <w:r w:rsidRPr="00EF7754">
        <w:rPr>
          <w:kern w:val="0"/>
          <w:szCs w:val="20"/>
          <w14:ligatures w14:val="none"/>
        </w:rPr>
        <w:t xml:space="preserve"> przestrzennej oraz rekomendacje uzyskane w procesie partycypacji społecznej przeprowadzono analizę SWOT oraz określono kluczowe problemy, potencjały i kierunki rozwojowe gminy Opole Lubelskie.</w:t>
      </w:r>
    </w:p>
    <w:p w14:paraId="2ED4CCA6" w14:textId="4780718F" w:rsidR="00EF7754" w:rsidRPr="00EF7754" w:rsidRDefault="00EF7754" w:rsidP="00AB6C4A">
      <w:pPr>
        <w:spacing w:after="240"/>
        <w:rPr>
          <w:kern w:val="0"/>
          <w:szCs w:val="20"/>
          <w14:ligatures w14:val="none"/>
        </w:rPr>
      </w:pPr>
      <w:r w:rsidRPr="00EF7754">
        <w:rPr>
          <w:kern w:val="0"/>
          <w:szCs w:val="20"/>
          <w14:ligatures w14:val="none"/>
        </w:rPr>
        <w:t xml:space="preserve">Identyfikacja istotnych zjawisk i trendów oraz rezultaty powyższych prac pozwoliły na wypracowanie wizji, celów i kierunków działań rozwojowych, wskazujących główne obszary aktywności gminy w latach 2023 - 2030. </w:t>
      </w:r>
    </w:p>
    <w:p w14:paraId="2C56DCBA" w14:textId="77777777" w:rsidR="00261698" w:rsidRDefault="00261698" w:rsidP="00261698">
      <w:pPr>
        <w:rPr>
          <w:lang w:bidi="en-US"/>
        </w:rPr>
      </w:pPr>
    </w:p>
    <w:p w14:paraId="13338A50" w14:textId="77777777" w:rsidR="00AB6C4A" w:rsidRDefault="00AB6C4A" w:rsidP="00261698">
      <w:pPr>
        <w:rPr>
          <w:lang w:bidi="en-US"/>
        </w:rPr>
      </w:pPr>
    </w:p>
    <w:p w14:paraId="14FA63FE" w14:textId="72C532C7" w:rsidR="00261698" w:rsidRDefault="00261698" w:rsidP="00FE0A18">
      <w:pPr>
        <w:pStyle w:val="Nagwek2"/>
      </w:pPr>
      <w:bookmarkStart w:id="186" w:name="_Toc191908793"/>
      <w:r>
        <w:lastRenderedPageBreak/>
        <w:t xml:space="preserve">3.2 </w:t>
      </w:r>
      <w:r w:rsidR="00FE0A18">
        <w:t>W</w:t>
      </w:r>
      <w:r w:rsidR="00684697">
        <w:t>p</w:t>
      </w:r>
      <w:r w:rsidR="00660E07">
        <w:t>ł</w:t>
      </w:r>
      <w:r w:rsidR="00FE0A18">
        <w:t xml:space="preserve">yw europejskiej i krajowej </w:t>
      </w:r>
      <w:r>
        <w:t>Polityk</w:t>
      </w:r>
      <w:r w:rsidR="00FE0A18">
        <w:t>i</w:t>
      </w:r>
      <w:r>
        <w:t xml:space="preserve"> regionaln</w:t>
      </w:r>
      <w:r w:rsidR="00FE0A18">
        <w:t>ej</w:t>
      </w:r>
      <w:bookmarkEnd w:id="186"/>
      <w:r>
        <w:t xml:space="preserve"> </w:t>
      </w:r>
    </w:p>
    <w:p w14:paraId="7385444C" w14:textId="402D1750" w:rsidR="006E2A9A" w:rsidRDefault="006E2A9A" w:rsidP="006E2A9A">
      <w:r>
        <w:rPr>
          <w:lang w:bidi="en-US"/>
        </w:rPr>
        <w:t xml:space="preserve">Model polityki regionalnej kraju jako jeden z kluczowych aspektów wyróżnia skuteczność planowania i realizacji działań rozwojowych </w:t>
      </w:r>
      <w:r>
        <w:t xml:space="preserve">oraz podniesienie jakości funkcjonowania instytucji publicznych. Dlatego tak ważne jest zapewnienie wysokiej jakości planowania strategicznego </w:t>
      </w:r>
      <w:r w:rsidR="00D07028">
        <w:t>gminy oraz</w:t>
      </w:r>
      <w:r>
        <w:t xml:space="preserve"> spójności dokumentów planistycznych. </w:t>
      </w:r>
    </w:p>
    <w:p w14:paraId="1F2C74DD" w14:textId="4D24DCE6" w:rsidR="00D07028" w:rsidRDefault="00D07028" w:rsidP="006E2A9A">
      <w:r w:rsidRPr="00D07028">
        <w:t>Jednym z założeń w obecnym modelu polityki rozwoju regionalnego jest wzmocnienie roli wymiaru terytorialnego i podejścia zintegrowanego, które zakłada opracowanie dokumentów integrujących zagadnienia społeczn</w:t>
      </w:r>
      <w:r>
        <w:t>e</w:t>
      </w:r>
      <w:r w:rsidRPr="00D07028">
        <w:t>, gospodarcz</w:t>
      </w:r>
      <w:r>
        <w:t>e</w:t>
      </w:r>
      <w:r w:rsidRPr="00D07028">
        <w:t xml:space="preserve"> i przestrzenn</w:t>
      </w:r>
      <w:r>
        <w:t>e</w:t>
      </w:r>
      <w:r w:rsidRPr="00D07028">
        <w:t xml:space="preserve">, zapewnienie skutecznych mechanizmów realizacji planowanych przedsięwzięć oraz </w:t>
      </w:r>
      <w:r>
        <w:t xml:space="preserve">wzajemne </w:t>
      </w:r>
      <w:r w:rsidRPr="00D07028">
        <w:t>powiązanie działań podmiotów odpowiedzialnych za politykę rozwoju na danym obszarze. Stąd też ważnym elementem Strategii jest zawarty w dokumencie model struktury funkcjonalno – przestrzennej oraz system wdrażania zaprojektowany zgodnie z kompetencjami ustawowymi samorząd</w:t>
      </w:r>
      <w:r>
        <w:t>u gminy</w:t>
      </w:r>
      <w:r w:rsidRPr="00D07028">
        <w:t xml:space="preserve"> w oparciu o opisane zasady współpracy partnerów.</w:t>
      </w:r>
    </w:p>
    <w:p w14:paraId="65C6CA57" w14:textId="77777777" w:rsidR="006E2A9A" w:rsidRDefault="006E2A9A" w:rsidP="006E2A9A">
      <w:r>
        <w:t>Krajowa Strategia Rozwoju Regionalnego 2030 (KSRR 2030) zakłada odejście od modelu polaryzacyjno-dyfuzyjnego, skupiającego działania rozwojowe przede wszystkim na największych aglomeracjach, i przejście na model odpowiedzialnego rozwoju - zrównoważonego społecznie i terytorialnie. Zgodnie z KSRR 2030, w ramach modelu zrównoważonego terytorialnie „polityka regionalna wspierać będzie zintegrowane interwencje wykorzystujące miejscowe zasoby i potencjały poszczególnych terytoriów oraz dostarczanie odpowiednich impulsów dla zainicjowania trwałego wzrostu i miejsc pracy w obszarach o mniej korzystnych uwarunkowaniach rozwojowych”.</w:t>
      </w:r>
    </w:p>
    <w:p w14:paraId="1E3F1420" w14:textId="77777777" w:rsidR="00D06C49" w:rsidRPr="00F739BE" w:rsidRDefault="006E2A9A" w:rsidP="00F739BE">
      <w:pPr>
        <w:spacing w:after="0"/>
      </w:pPr>
      <w:r w:rsidRPr="00F739BE">
        <w:t xml:space="preserve">W praktyce KSRR 2030 zakłada odejście od wspierania całego kraju czy regionów w jednolity sposób na rzecz większego różnicowania interwencji w zależności od problemów i potencjałów poszczególnych obszarów. Takie podejście doprowadziło do wyznaczenia </w:t>
      </w:r>
      <w:r w:rsidR="00D06C49" w:rsidRPr="00F739BE">
        <w:t xml:space="preserve">w Strategii Rozwoju Województwa Lubelskiego 2030 (SRWL 2030) </w:t>
      </w:r>
      <w:r w:rsidRPr="00F739BE">
        <w:t xml:space="preserve">tzw. obszarów strategicznej interwencji (OSI). </w:t>
      </w:r>
    </w:p>
    <w:p w14:paraId="164D5B40" w14:textId="58707351" w:rsidR="006E2A9A" w:rsidRPr="00F739BE" w:rsidRDefault="00D06C49" w:rsidP="006E2A9A">
      <w:r w:rsidRPr="00F739BE">
        <w:t>G</w:t>
      </w:r>
      <w:r w:rsidR="006E2A9A" w:rsidRPr="00F739BE">
        <w:t xml:space="preserve">mina </w:t>
      </w:r>
      <w:r w:rsidRPr="00F739BE">
        <w:t xml:space="preserve">Opole Lubelskie </w:t>
      </w:r>
      <w:r w:rsidR="006E2A9A" w:rsidRPr="00F739BE">
        <w:t xml:space="preserve">znajduje się w grupie samorządów, które zgodnie z typologią przyjętą w </w:t>
      </w:r>
      <w:r w:rsidRPr="00F739BE">
        <w:t xml:space="preserve">SRWL </w:t>
      </w:r>
      <w:r w:rsidR="006E2A9A" w:rsidRPr="00F739BE">
        <w:t>2030</w:t>
      </w:r>
      <w:r w:rsidRPr="00F739BE">
        <w:t xml:space="preserve"> </w:t>
      </w:r>
      <w:r w:rsidR="006E2A9A" w:rsidRPr="00F739BE">
        <w:t xml:space="preserve">zaliczają się do </w:t>
      </w:r>
      <w:r w:rsidR="00F739BE" w:rsidRPr="00F739BE">
        <w:t xml:space="preserve">OSI Powiśle oraz </w:t>
      </w:r>
      <w:r w:rsidR="006E2A9A" w:rsidRPr="00F739BE">
        <w:t xml:space="preserve">OSI </w:t>
      </w:r>
      <w:r w:rsidR="00F739BE" w:rsidRPr="00F739BE">
        <w:t>Miejskie Obszary Funkcjonalne</w:t>
      </w:r>
      <w:r w:rsidR="007F4643">
        <w:rPr>
          <w:rStyle w:val="Odwoanieprzypisudolnego"/>
        </w:rPr>
        <w:footnoteReference w:id="9"/>
      </w:r>
      <w:r w:rsidR="00F739BE" w:rsidRPr="00F739BE">
        <w:t>.</w:t>
      </w:r>
    </w:p>
    <w:p w14:paraId="48DD9B90" w14:textId="6905527B" w:rsidR="006E2A9A" w:rsidRDefault="006E2A9A" w:rsidP="006E2A9A">
      <w:pPr>
        <w:rPr>
          <w:lang w:bidi="en-US"/>
        </w:rPr>
      </w:pPr>
      <w:r>
        <w:t xml:space="preserve">Powyższe podejście znalazło odzwierciedlenie w </w:t>
      </w:r>
      <w:r w:rsidR="00050C83">
        <w:t>S</w:t>
      </w:r>
      <w:r>
        <w:t>trategii, która ma nie tylko sprostać nowym wyzwaniom rozwojowym Gminy Opole Lubelskie, ale też wpisać się w kierunki i zasady polityki rozwoju proponowane na poziomie krajowymi i UE.</w:t>
      </w:r>
    </w:p>
    <w:p w14:paraId="7A9E016B" w14:textId="77777777" w:rsidR="00261698" w:rsidRDefault="00261698" w:rsidP="00261698">
      <w:pPr>
        <w:rPr>
          <w:lang w:bidi="en-US"/>
        </w:rPr>
      </w:pPr>
    </w:p>
    <w:p w14:paraId="407EC205" w14:textId="51A9D5DC" w:rsidR="00FC15E9" w:rsidRDefault="00FC15E9" w:rsidP="00FC15E9">
      <w:pPr>
        <w:spacing w:after="160" w:line="259" w:lineRule="auto"/>
        <w:jc w:val="left"/>
        <w:rPr>
          <w:b/>
          <w:bCs/>
          <w:color w:val="FF0000"/>
          <w:lang w:bidi="en-US"/>
        </w:rPr>
      </w:pPr>
    </w:p>
    <w:p w14:paraId="339672B4" w14:textId="77777777" w:rsidR="00207F9A" w:rsidRDefault="00207F9A" w:rsidP="00FC15E9">
      <w:pPr>
        <w:spacing w:after="160" w:line="259" w:lineRule="auto"/>
        <w:jc w:val="left"/>
        <w:rPr>
          <w:b/>
          <w:bCs/>
          <w:color w:val="FF0000"/>
          <w:lang w:bidi="en-US"/>
        </w:rPr>
      </w:pPr>
    </w:p>
    <w:p w14:paraId="0031F440" w14:textId="77777777" w:rsidR="00207F9A" w:rsidRDefault="00207F9A" w:rsidP="00FC15E9">
      <w:pPr>
        <w:spacing w:after="160" w:line="259" w:lineRule="auto"/>
        <w:jc w:val="left"/>
        <w:rPr>
          <w:b/>
          <w:bCs/>
          <w:color w:val="FF0000"/>
          <w:lang w:bidi="en-US"/>
        </w:rPr>
      </w:pPr>
    </w:p>
    <w:p w14:paraId="445B52BC" w14:textId="77777777" w:rsidR="00207F9A" w:rsidRPr="00ED3118" w:rsidRDefault="00207F9A" w:rsidP="00FC15E9">
      <w:pPr>
        <w:spacing w:after="160" w:line="259" w:lineRule="auto"/>
        <w:jc w:val="left"/>
        <w:rPr>
          <w:b/>
          <w:bCs/>
          <w:color w:val="FF0000"/>
          <w:lang w:bidi="en-US"/>
        </w:rPr>
      </w:pPr>
    </w:p>
    <w:p w14:paraId="6E7BC722" w14:textId="77BB2833" w:rsidR="00261698" w:rsidRDefault="00261698" w:rsidP="00FC15E9">
      <w:pPr>
        <w:pStyle w:val="Nagwek1"/>
        <w:rPr>
          <w:lang w:bidi="en-US"/>
        </w:rPr>
      </w:pPr>
      <w:bookmarkStart w:id="187" w:name="_Toc191908794"/>
      <w:r>
        <w:rPr>
          <w:lang w:bidi="en-US"/>
        </w:rPr>
        <w:lastRenderedPageBreak/>
        <w:t>4. Zakres, tryb i metodyka opracowania Strategii</w:t>
      </w:r>
      <w:bookmarkEnd w:id="187"/>
    </w:p>
    <w:p w14:paraId="1BF09EEE" w14:textId="4AE7D22A" w:rsidR="00D94F81" w:rsidRPr="00DC3ED4" w:rsidRDefault="00D94F81" w:rsidP="00D94F81">
      <w:r w:rsidRPr="00DC3ED4">
        <w:t xml:space="preserve">Zakres i metodyka opracowania niniejszej Strategii oparta jest o uwarunkowania i  zasady </w:t>
      </w:r>
      <w:r w:rsidR="005A5918" w:rsidRPr="00DC3ED4">
        <w:t>określone w ustawie o samorządzie gminnym (Dz. U. z 202</w:t>
      </w:r>
      <w:r w:rsidR="00CF45D6">
        <w:t>4</w:t>
      </w:r>
      <w:r w:rsidR="005A5918" w:rsidRPr="00DC3ED4">
        <w:t xml:space="preserve"> r., poz. </w:t>
      </w:r>
      <w:r w:rsidR="00684697">
        <w:t>1465</w:t>
      </w:r>
      <w:r w:rsidR="00DC3ED4" w:rsidRPr="00DC3ED4">
        <w:t xml:space="preserve"> t.j.</w:t>
      </w:r>
      <w:r w:rsidR="005A5918" w:rsidRPr="00DC3ED4">
        <w:t>)</w:t>
      </w:r>
      <w:r w:rsidR="00DC3ED4" w:rsidRPr="00DC3ED4">
        <w:t xml:space="preserve"> oraz w ustawie o</w:t>
      </w:r>
      <w:r w:rsidR="000C6AD7">
        <w:t> </w:t>
      </w:r>
      <w:r w:rsidR="00DC3ED4" w:rsidRPr="00DC3ED4">
        <w:t xml:space="preserve"> zasadach prowadzenia polityki rozwoju (Dz. U. z 202</w:t>
      </w:r>
      <w:r w:rsidR="00CF45D6">
        <w:t>4</w:t>
      </w:r>
      <w:r w:rsidR="00DC3ED4" w:rsidRPr="00DC3ED4">
        <w:t xml:space="preserve"> r. poz. </w:t>
      </w:r>
      <w:r w:rsidR="00CF45D6">
        <w:t>324</w:t>
      </w:r>
      <w:r w:rsidR="00DC3ED4" w:rsidRPr="00DC3ED4">
        <w:t xml:space="preserve"> t.j.). </w:t>
      </w:r>
      <w:r w:rsidRPr="00DC3ED4">
        <w:t>Uwarunkowania te odnoszą się przede wszystkim do</w:t>
      </w:r>
      <w:r w:rsidR="00DC3ED4" w:rsidRPr="00DC3ED4">
        <w:t xml:space="preserve"> </w:t>
      </w:r>
      <w:r w:rsidRPr="00DC3ED4">
        <w:t>wymogów formalnych dotyczących zakresu i trybu opracowania</w:t>
      </w:r>
      <w:r w:rsidR="00DC3ED4" w:rsidRPr="00DC3ED4">
        <w:t xml:space="preserve">, opiniowania i konsultowania </w:t>
      </w:r>
      <w:r w:rsidRPr="00DC3ED4">
        <w:t>Strategii</w:t>
      </w:r>
      <w:r w:rsidR="00DC3ED4" w:rsidRPr="00DC3ED4">
        <w:t>.</w:t>
      </w:r>
    </w:p>
    <w:p w14:paraId="38F303EA" w14:textId="1E5ED326" w:rsidR="00D94F81" w:rsidRDefault="00D94F81" w:rsidP="006205FA">
      <w:r w:rsidRPr="00DC3ED4">
        <w:t>Metodyka zastosowana w Strategii opiera się na poniższych zasadach, które odnoszą się zarówno do kolejnych etapów opracowania dokumentu, jak też do fazy wdrożeniowej Strategii:</w:t>
      </w:r>
    </w:p>
    <w:p w14:paraId="749F45C6" w14:textId="77777777" w:rsidR="006205FA" w:rsidRPr="00650E8C" w:rsidRDefault="006205FA">
      <w:pPr>
        <w:pStyle w:val="Akapitzlist"/>
        <w:numPr>
          <w:ilvl w:val="0"/>
          <w:numId w:val="7"/>
        </w:numPr>
        <w:spacing w:after="0"/>
        <w:ind w:left="283" w:hanging="357"/>
        <w:contextualSpacing w:val="0"/>
        <w:rPr>
          <w:szCs w:val="20"/>
          <w14:textOutline w14:w="6350" w14:cap="rnd" w14:cmpd="sng" w14:algn="ctr">
            <w14:solidFill>
              <w14:srgbClr w14:val="C45911"/>
            </w14:solidFill>
            <w14:prstDash w14:val="solid"/>
            <w14:bevel/>
          </w14:textOutline>
        </w:rPr>
      </w:pPr>
      <w:r w:rsidRPr="00650E8C">
        <w:rPr>
          <w:szCs w:val="20"/>
          <w14:textOutline w14:w="6350" w14:cap="rnd" w14:cmpd="sng" w14:algn="ctr">
            <w14:solidFill>
              <w14:srgbClr w14:val="C45911"/>
            </w14:solidFill>
            <w14:prstDash w14:val="solid"/>
            <w14:bevel/>
          </w14:textOutline>
        </w:rPr>
        <w:t>Analiza danych, wnioski i kierunki rozwojowe</w:t>
      </w:r>
    </w:p>
    <w:p w14:paraId="1D44C261" w14:textId="453B48E9" w:rsidR="006205FA" w:rsidRDefault="006205FA" w:rsidP="00F52ABF">
      <w:pPr>
        <w:spacing w:after="0"/>
        <w:ind w:left="284"/>
      </w:pPr>
      <w:r>
        <w:t xml:space="preserve">W celu zidentyfikowania potencjałów </w:t>
      </w:r>
      <w:r w:rsidR="00F52ABF">
        <w:t xml:space="preserve">rozwojowych </w:t>
      </w:r>
      <w:r>
        <w:t>i problemów gminy Opole Lubelskie przeprowadzona została diagnoza</w:t>
      </w:r>
      <w:r w:rsidR="00DC3ED4">
        <w:t xml:space="preserve"> sytuacji społecznej, gospodarczej i przestrzennej</w:t>
      </w:r>
      <w:r>
        <w:t>, na podstawie której dokonano analizy danych w następujących obszarach:</w:t>
      </w:r>
      <w:r w:rsidR="00C40F69">
        <w:t xml:space="preserve"> przestrzeń i</w:t>
      </w:r>
      <w:r w:rsidR="000C6AD7">
        <w:t> </w:t>
      </w:r>
      <w:r w:rsidR="00C40F69">
        <w:t xml:space="preserve"> środowisko, demografia i rynek pracy, potencjał gospodarczy, infrastruktura techniczna, infrastruktura społeczna</w:t>
      </w:r>
      <w:r w:rsidR="00F52ABF">
        <w:t xml:space="preserve"> </w:t>
      </w:r>
      <w:r w:rsidR="002C38FF">
        <w:t>oraz</w:t>
      </w:r>
      <w:r w:rsidR="00F52ABF">
        <w:t xml:space="preserve"> </w:t>
      </w:r>
      <w:r w:rsidR="00C40F69">
        <w:t>jakość zarządzania</w:t>
      </w:r>
      <w:r>
        <w:t>. Zidentyfikowano kluczowe zjawiska i</w:t>
      </w:r>
      <w:r w:rsidR="000C6AD7">
        <w:t> </w:t>
      </w:r>
      <w:r>
        <w:t xml:space="preserve"> trendy wpływające na rozwój obszaru. </w:t>
      </w:r>
    </w:p>
    <w:p w14:paraId="71E1CA0B" w14:textId="532B37EC" w:rsidR="006205FA" w:rsidRDefault="006205FA" w:rsidP="00DC3ED4">
      <w:pPr>
        <w:ind w:left="284"/>
      </w:pPr>
      <w:r>
        <w:t xml:space="preserve">Po szczegółowym scharakteryzowaniu </w:t>
      </w:r>
      <w:r w:rsidR="00F52ABF">
        <w:t xml:space="preserve">poszczególnych </w:t>
      </w:r>
      <w:r>
        <w:t>obszar</w:t>
      </w:r>
      <w:r w:rsidR="00F52ABF">
        <w:t>ów</w:t>
      </w:r>
      <w:r>
        <w:t xml:space="preserve"> sformułowano wnioski i</w:t>
      </w:r>
      <w:r w:rsidR="000C6AD7">
        <w:t> </w:t>
      </w:r>
      <w:r>
        <w:t xml:space="preserve"> określono wizję rozwoju, a także zdefiniowano cele strategiczne i cele operacyjne/kierunki działań, w taki sposób, aby dać pierwszeństwo mobilizacji lokalnych czynników rozwoju. Pozwoliło to na wskazanie najatrakcyjniejszych obszarów aktywności gminy Opole Lubelskie w latach </w:t>
      </w:r>
      <w:r w:rsidRPr="00DB5677">
        <w:t>202</w:t>
      </w:r>
      <w:r w:rsidR="009A6F89">
        <w:t xml:space="preserve">5 </w:t>
      </w:r>
      <w:r w:rsidRPr="00DB5677">
        <w:t>-</w:t>
      </w:r>
      <w:r w:rsidR="009A6F89">
        <w:t xml:space="preserve"> </w:t>
      </w:r>
      <w:r w:rsidRPr="00DB5677">
        <w:t xml:space="preserve">2030. </w:t>
      </w:r>
      <w:r>
        <w:t xml:space="preserve">Definiując cele i zadania korzystano z dotychczasowych doświadczeń </w:t>
      </w:r>
      <w:r w:rsidR="001702E1">
        <w:t xml:space="preserve">i dobrych praktyk </w:t>
      </w:r>
      <w:r>
        <w:t xml:space="preserve">związanych z planowaniem i wdrażaniem polityki rozwoju. </w:t>
      </w:r>
    </w:p>
    <w:p w14:paraId="7E10FAC8" w14:textId="77777777" w:rsidR="006205FA" w:rsidRPr="00650E8C" w:rsidRDefault="006205FA">
      <w:pPr>
        <w:pStyle w:val="Akapitzlist"/>
        <w:numPr>
          <w:ilvl w:val="0"/>
          <w:numId w:val="7"/>
        </w:numPr>
        <w:spacing w:after="0"/>
        <w:ind w:left="283" w:hanging="357"/>
        <w:contextualSpacing w:val="0"/>
        <w:rPr>
          <w:szCs w:val="20"/>
          <w14:textOutline w14:w="6350" w14:cap="rnd" w14:cmpd="sng" w14:algn="ctr">
            <w14:solidFill>
              <w14:srgbClr w14:val="C45911"/>
            </w14:solidFill>
            <w14:prstDash w14:val="solid"/>
            <w14:bevel/>
          </w14:textOutline>
        </w:rPr>
      </w:pPr>
      <w:r w:rsidRPr="00650E8C">
        <w:rPr>
          <w:szCs w:val="20"/>
          <w14:textOutline w14:w="6350" w14:cap="rnd" w14:cmpd="sng" w14:algn="ctr">
            <w14:solidFill>
              <w14:srgbClr w14:val="C45911"/>
            </w14:solidFill>
            <w14:prstDash w14:val="solid"/>
            <w14:bevel/>
          </w14:textOutline>
        </w:rPr>
        <w:t>Koncentracja wsparcia</w:t>
      </w:r>
    </w:p>
    <w:p w14:paraId="6C71D559" w14:textId="63E9851A" w:rsidR="006205FA" w:rsidRDefault="006205FA" w:rsidP="00AF28D5">
      <w:pPr>
        <w:ind w:left="284"/>
      </w:pPr>
      <w:r>
        <w:t xml:space="preserve">Zasada koncentracji wsparcia opiera się na ograniczeniu liczby obszarów rozwojowych, a także ich celów, </w:t>
      </w:r>
      <w:r w:rsidR="00E43333">
        <w:t xml:space="preserve">do takich </w:t>
      </w:r>
      <w:r>
        <w:t xml:space="preserve">które w trakcie tworzenia Strategii uznano </w:t>
      </w:r>
      <w:r w:rsidRPr="002B1E58">
        <w:t>za priorytetowe i</w:t>
      </w:r>
      <w:r w:rsidR="000C6AD7">
        <w:t> </w:t>
      </w:r>
      <w:r w:rsidRPr="002B1E58">
        <w:t xml:space="preserve">mające decydujący wpływ na realizację wizji rozwoju </w:t>
      </w:r>
      <w:r>
        <w:t xml:space="preserve">Gminy Opole Lubelskie. Podczas podjętych prac nad dokumentem nie </w:t>
      </w:r>
      <w:r w:rsidR="00E43333">
        <w:t>dążono do tego,</w:t>
      </w:r>
      <w:r>
        <w:t xml:space="preserve"> aby </w:t>
      </w:r>
      <w:r w:rsidRPr="002B1E58">
        <w:t>każdy obszar aktywności</w:t>
      </w:r>
      <w:r>
        <w:t xml:space="preserve"> </w:t>
      </w:r>
      <w:r w:rsidRPr="002B1E58">
        <w:t>uznać za</w:t>
      </w:r>
      <w:r>
        <w:t> </w:t>
      </w:r>
      <w:r w:rsidRPr="002B1E58">
        <w:t>strategiczny</w:t>
      </w:r>
      <w:r>
        <w:t>. Nie oznacza to rezygnacji z bieżących działań samorządu, uznano jedynie, że część z nich ma mniejszy wpływ na osiągnięcie celów strategicznych.</w:t>
      </w:r>
    </w:p>
    <w:p w14:paraId="66129990" w14:textId="66FE5756" w:rsidR="006205FA" w:rsidRPr="00650E8C" w:rsidRDefault="00A60271">
      <w:pPr>
        <w:pStyle w:val="Akapitzlist"/>
        <w:numPr>
          <w:ilvl w:val="0"/>
          <w:numId w:val="7"/>
        </w:numPr>
        <w:spacing w:after="0"/>
        <w:ind w:left="283" w:hanging="357"/>
        <w:contextualSpacing w:val="0"/>
        <w:rPr>
          <w:szCs w:val="20"/>
          <w14:textOutline w14:w="9525" w14:cap="rnd" w14:cmpd="sng" w14:algn="ctr">
            <w14:solidFill>
              <w14:srgbClr w14:val="C45911"/>
            </w14:solidFill>
            <w14:prstDash w14:val="solid"/>
            <w14:bevel/>
          </w14:textOutline>
        </w:rPr>
      </w:pPr>
      <w:r w:rsidRPr="00650E8C">
        <w:rPr>
          <w:szCs w:val="20"/>
          <w14:textOutline w14:w="9525" w14:cap="rnd" w14:cmpd="sng" w14:algn="ctr">
            <w14:solidFill>
              <w14:srgbClr w14:val="C45911"/>
            </w14:solidFill>
            <w14:prstDash w14:val="solid"/>
            <w14:bevel/>
          </w14:textOutline>
        </w:rPr>
        <w:t>Podejście zintegrowane</w:t>
      </w:r>
    </w:p>
    <w:p w14:paraId="729A083E" w14:textId="10A41E73" w:rsidR="006205FA" w:rsidRDefault="006205FA" w:rsidP="00AF28D5">
      <w:pPr>
        <w:ind w:left="284"/>
      </w:pPr>
      <w:r>
        <w:t>Zastosowano zasady wynikające z</w:t>
      </w:r>
      <w:r w:rsidR="00A60271">
        <w:t>e</w:t>
      </w:r>
      <w:r>
        <w:t xml:space="preserve"> zintegrowanego planowania – zidentyfikowano społeczne, gospodarcze, środowiskowe i przestrzenne powiązania funkcjonalne, które występują na terenie Gminy Opole Lubelskie oraz dostosowano zakres przedsięwzięć rozwojowych do specyfiki obszaru, tak aby były odpowiedzią na istniejące problemy i</w:t>
      </w:r>
      <w:r w:rsidR="000C6AD7">
        <w:t> </w:t>
      </w:r>
      <w:r>
        <w:t xml:space="preserve"> wyzwania. Skupiono się na tych funkcjach, które najbardziej wzmocnią potencjały rozwojowe </w:t>
      </w:r>
      <w:r w:rsidR="00A60271">
        <w:t>gminy</w:t>
      </w:r>
      <w:r>
        <w:t>.</w:t>
      </w:r>
    </w:p>
    <w:p w14:paraId="1A3B380C" w14:textId="77777777" w:rsidR="006205FA" w:rsidRPr="00650E8C" w:rsidRDefault="006205FA">
      <w:pPr>
        <w:pStyle w:val="Akapitzlist"/>
        <w:numPr>
          <w:ilvl w:val="0"/>
          <w:numId w:val="7"/>
        </w:numPr>
        <w:spacing w:after="0"/>
        <w:ind w:left="283" w:hanging="357"/>
        <w:contextualSpacing w:val="0"/>
        <w:rPr>
          <w:szCs w:val="20"/>
          <w:lang w:bidi="en-US"/>
          <w14:textOutline w14:w="9525" w14:cap="rnd" w14:cmpd="sng" w14:algn="ctr">
            <w14:solidFill>
              <w14:srgbClr w14:val="C45911"/>
            </w14:solidFill>
            <w14:prstDash w14:val="solid"/>
            <w14:bevel/>
          </w14:textOutline>
        </w:rPr>
      </w:pPr>
      <w:r w:rsidRPr="00650E8C">
        <w:rPr>
          <w:szCs w:val="20"/>
          <w14:textOutline w14:w="9525" w14:cap="rnd" w14:cmpd="sng" w14:algn="ctr">
            <w14:solidFill>
              <w14:srgbClr w14:val="C45911"/>
            </w14:solidFill>
            <w14:prstDash w14:val="solid"/>
            <w14:bevel/>
          </w14:textOutline>
        </w:rPr>
        <w:t>Partycypacja społeczna</w:t>
      </w:r>
    </w:p>
    <w:p w14:paraId="6CE1F235" w14:textId="0330D9C1" w:rsidR="006205FA" w:rsidRDefault="006205FA" w:rsidP="00AF28D5">
      <w:pPr>
        <w:ind w:left="284"/>
      </w:pPr>
      <w:r>
        <w:t xml:space="preserve">Proces opracowywania Strategii realizowany przez ekspertów zewnętrznych i przedstawicieli władz samorządowych oparty został o zasady dobrych praktyk partycypacji społecznej i partnerstwa. W wyniku ich zastosowania każdy z etapów prac nad </w:t>
      </w:r>
      <w:r>
        <w:lastRenderedPageBreak/>
        <w:t xml:space="preserve">dokumentem był </w:t>
      </w:r>
      <w:r w:rsidR="00F31718">
        <w:t>silnie</w:t>
      </w:r>
      <w:r>
        <w:t xml:space="preserve"> uspołeczniony. Pozwoliło to na </w:t>
      </w:r>
      <w:r w:rsidR="00F31718">
        <w:t>zaangażowanie</w:t>
      </w:r>
      <w:r>
        <w:t xml:space="preserve"> </w:t>
      </w:r>
      <w:r w:rsidR="00F31718">
        <w:t>interesariuszy w</w:t>
      </w:r>
      <w:r w:rsidR="000C6AD7">
        <w:t> </w:t>
      </w:r>
      <w:r w:rsidR="00F31718">
        <w:t xml:space="preserve"> proces</w:t>
      </w:r>
      <w:r>
        <w:t xml:space="preserve"> określani</w:t>
      </w:r>
      <w:r w:rsidR="00F31718">
        <w:t>a</w:t>
      </w:r>
      <w:r>
        <w:t xml:space="preserve"> </w:t>
      </w:r>
      <w:r w:rsidR="00F31718">
        <w:t>problemów, celów oraz przedsięwzięć realizujących cele Strategii</w:t>
      </w:r>
      <w:r>
        <w:t xml:space="preserve">. </w:t>
      </w:r>
    </w:p>
    <w:p w14:paraId="3315D0E4" w14:textId="77777777" w:rsidR="006205FA" w:rsidRPr="00650E8C" w:rsidRDefault="006205FA">
      <w:pPr>
        <w:pStyle w:val="Akapitzlist"/>
        <w:numPr>
          <w:ilvl w:val="0"/>
          <w:numId w:val="7"/>
        </w:numPr>
        <w:spacing w:after="0"/>
        <w:ind w:left="283" w:hanging="357"/>
        <w:contextualSpacing w:val="0"/>
        <w:rPr>
          <w:szCs w:val="20"/>
          <w:lang w:bidi="en-US"/>
          <w14:textOutline w14:w="9525" w14:cap="rnd" w14:cmpd="sng" w14:algn="ctr">
            <w14:solidFill>
              <w14:srgbClr w14:val="C45911"/>
            </w14:solidFill>
            <w14:prstDash w14:val="solid"/>
            <w14:bevel/>
          </w14:textOutline>
        </w:rPr>
      </w:pPr>
      <w:r w:rsidRPr="00650E8C">
        <w:rPr>
          <w:szCs w:val="20"/>
          <w14:textOutline w14:w="9525" w14:cap="rnd" w14:cmpd="sng" w14:algn="ctr">
            <w14:solidFill>
              <w14:srgbClr w14:val="C45911"/>
            </w14:solidFill>
            <w14:prstDash w14:val="solid"/>
            <w14:bevel/>
          </w14:textOutline>
        </w:rPr>
        <w:t>System realizacji</w:t>
      </w:r>
    </w:p>
    <w:p w14:paraId="66FB9B8F" w14:textId="24EFF58C" w:rsidR="006205FA" w:rsidRDefault="006205FA" w:rsidP="00AF28D5">
      <w:pPr>
        <w:ind w:left="284"/>
        <w:rPr>
          <w:lang w:bidi="en-US"/>
        </w:rPr>
      </w:pPr>
      <w:r>
        <w:rPr>
          <w:lang w:bidi="en-US"/>
        </w:rPr>
        <w:t xml:space="preserve">Opracowany system wdrażania Strategii </w:t>
      </w:r>
      <w:r w:rsidR="00E11586">
        <w:rPr>
          <w:lang w:bidi="en-US"/>
        </w:rPr>
        <w:t>jest</w:t>
      </w:r>
      <w:r>
        <w:rPr>
          <w:lang w:bidi="en-US"/>
        </w:rPr>
        <w:t xml:space="preserve"> przejrzysty i oparty o </w:t>
      </w:r>
      <w:r w:rsidRPr="009050A3">
        <w:rPr>
          <w:lang w:bidi="en-US"/>
        </w:rPr>
        <w:t>kompetencje ustawowe oraz</w:t>
      </w:r>
      <w:r>
        <w:rPr>
          <w:lang w:bidi="en-US"/>
        </w:rPr>
        <w:t xml:space="preserve"> </w:t>
      </w:r>
      <w:r w:rsidRPr="009050A3">
        <w:rPr>
          <w:lang w:bidi="en-US"/>
        </w:rPr>
        <w:t xml:space="preserve">możliwości finansowe i organizacyjne </w:t>
      </w:r>
      <w:r>
        <w:rPr>
          <w:lang w:bidi="en-US"/>
        </w:rPr>
        <w:t>G</w:t>
      </w:r>
      <w:r w:rsidRPr="009050A3">
        <w:rPr>
          <w:lang w:bidi="en-US"/>
        </w:rPr>
        <w:t>min</w:t>
      </w:r>
      <w:r>
        <w:rPr>
          <w:lang w:bidi="en-US"/>
        </w:rPr>
        <w:t xml:space="preserve">y Opole Lubelskie. </w:t>
      </w:r>
      <w:r w:rsidR="00E11586">
        <w:rPr>
          <w:lang w:bidi="en-US"/>
        </w:rPr>
        <w:t>W celu zwiększenia sprawności realizacji Strategii i skuteczności wykorzystywania dostępnych funduszy w</w:t>
      </w:r>
      <w:r>
        <w:rPr>
          <w:lang w:bidi="en-US"/>
        </w:rPr>
        <w:t>ykorzystano zasadę partnerstwa i współpracy interesariuszy, uwzględniając elastyczność przyjętych rozwiązań.</w:t>
      </w:r>
    </w:p>
    <w:p w14:paraId="5D8BA9E5" w14:textId="3A39149E" w:rsidR="006205FA" w:rsidRPr="00650E8C" w:rsidRDefault="006205FA">
      <w:pPr>
        <w:pStyle w:val="Akapitzlist"/>
        <w:numPr>
          <w:ilvl w:val="0"/>
          <w:numId w:val="7"/>
        </w:numPr>
        <w:spacing w:after="0"/>
        <w:ind w:left="283" w:hanging="357"/>
        <w:contextualSpacing w:val="0"/>
        <w:rPr>
          <w:szCs w:val="20"/>
          <w:lang w:bidi="en-US"/>
          <w14:textOutline w14:w="9525" w14:cap="rnd" w14:cmpd="sng" w14:algn="ctr">
            <w14:solidFill>
              <w14:srgbClr w14:val="C45911"/>
            </w14:solidFill>
            <w14:prstDash w14:val="solid"/>
            <w14:bevel/>
          </w14:textOutline>
        </w:rPr>
      </w:pPr>
      <w:r w:rsidRPr="00650E8C">
        <w:rPr>
          <w:szCs w:val="20"/>
          <w14:textOutline w14:w="9525" w14:cap="rnd" w14:cmpd="sng" w14:algn="ctr">
            <w14:solidFill>
              <w14:srgbClr w14:val="C45911"/>
            </w14:solidFill>
            <w14:prstDash w14:val="solid"/>
            <w14:bevel/>
          </w14:textOutline>
        </w:rPr>
        <w:t xml:space="preserve">Wybór </w:t>
      </w:r>
      <w:r w:rsidR="00EB598B" w:rsidRPr="00650E8C">
        <w:rPr>
          <w:szCs w:val="20"/>
          <w14:textOutline w14:w="9525" w14:cap="rnd" w14:cmpd="sng" w14:algn="ctr">
            <w14:solidFill>
              <w14:srgbClr w14:val="C45911"/>
            </w14:solidFill>
            <w14:prstDash w14:val="solid"/>
            <w14:bevel/>
          </w14:textOutline>
        </w:rPr>
        <w:t>celów operacyjnych (</w:t>
      </w:r>
      <w:r w:rsidRPr="00650E8C">
        <w:rPr>
          <w:szCs w:val="20"/>
          <w14:textOutline w14:w="9525" w14:cap="rnd" w14:cmpd="sng" w14:algn="ctr">
            <w14:solidFill>
              <w14:srgbClr w14:val="C45911"/>
            </w14:solidFill>
            <w14:prstDash w14:val="solid"/>
            <w14:bevel/>
          </w14:textOutline>
        </w:rPr>
        <w:t>kierunków działań</w:t>
      </w:r>
      <w:r w:rsidR="00EB598B" w:rsidRPr="00650E8C">
        <w:rPr>
          <w:szCs w:val="20"/>
          <w14:textOutline w14:w="9525" w14:cap="rnd" w14:cmpd="sng" w14:algn="ctr">
            <w14:solidFill>
              <w14:srgbClr w14:val="C45911"/>
            </w14:solidFill>
            <w14:prstDash w14:val="solid"/>
            <w14:bevel/>
          </w14:textOutline>
        </w:rPr>
        <w:t>)</w:t>
      </w:r>
      <w:r w:rsidRPr="00650E8C">
        <w:rPr>
          <w:szCs w:val="20"/>
          <w14:textOutline w14:w="9525" w14:cap="rnd" w14:cmpd="sng" w14:algn="ctr">
            <w14:solidFill>
              <w14:srgbClr w14:val="C45911"/>
            </w14:solidFill>
            <w14:prstDash w14:val="solid"/>
            <w14:bevel/>
          </w14:textOutline>
        </w:rPr>
        <w:t xml:space="preserve"> i projektów</w:t>
      </w:r>
    </w:p>
    <w:p w14:paraId="52019413" w14:textId="23321108" w:rsidR="006205FA" w:rsidRDefault="006205FA" w:rsidP="00AF28D5">
      <w:pPr>
        <w:ind w:left="284"/>
      </w:pPr>
      <w:r>
        <w:rPr>
          <w:lang w:bidi="en-US"/>
        </w:rPr>
        <w:t xml:space="preserve">Zawarte w </w:t>
      </w:r>
      <w:r w:rsidR="00207F9A">
        <w:rPr>
          <w:lang w:bidi="en-US"/>
        </w:rPr>
        <w:t>dokumencie</w:t>
      </w:r>
      <w:r>
        <w:rPr>
          <w:lang w:bidi="en-US"/>
        </w:rPr>
        <w:t xml:space="preserve"> </w:t>
      </w:r>
      <w:r w:rsidR="00EB598B">
        <w:rPr>
          <w:lang w:bidi="en-US"/>
        </w:rPr>
        <w:t>cele operacyjne</w:t>
      </w:r>
      <w:r>
        <w:rPr>
          <w:lang w:bidi="en-US"/>
        </w:rPr>
        <w:t xml:space="preserve"> oraz przypisane im projekty </w:t>
      </w:r>
      <w:r>
        <w:t xml:space="preserve">zapewnią osiągnięcie celów </w:t>
      </w:r>
      <w:r w:rsidR="00EB598B">
        <w:t xml:space="preserve">strategicznych oraz wskaźników </w:t>
      </w:r>
      <w:r>
        <w:t xml:space="preserve">Strategii. Proces ten został </w:t>
      </w:r>
      <w:r w:rsidR="00EB598B">
        <w:t>przeprowadzony we</w:t>
      </w:r>
      <w:r>
        <w:t xml:space="preserve"> współprac</w:t>
      </w:r>
      <w:r w:rsidR="00EB598B">
        <w:t>y</w:t>
      </w:r>
      <w:r>
        <w:t xml:space="preserve"> z interesariuszami w oparciu </w:t>
      </w:r>
      <w:r w:rsidRPr="00F8669A">
        <w:t>o</w:t>
      </w:r>
      <w:r>
        <w:t> </w:t>
      </w:r>
      <w:r w:rsidRPr="00F8669A">
        <w:t>partycypację</w:t>
      </w:r>
      <w:r>
        <w:t xml:space="preserve"> społeczną (warsztaty, </w:t>
      </w:r>
      <w:r w:rsidR="00EB598B">
        <w:t xml:space="preserve">spotkania, </w:t>
      </w:r>
      <w:r>
        <w:t>konsultacje społeczne) oraz wnioski z diagnozy sytuacji społecznej, gospodarczej i</w:t>
      </w:r>
      <w:r w:rsidR="000C6AD7">
        <w:t> </w:t>
      </w:r>
      <w:r>
        <w:t xml:space="preserve"> przestrzennej obszaru</w:t>
      </w:r>
      <w:r w:rsidR="00EB598B">
        <w:t xml:space="preserve"> i</w:t>
      </w:r>
      <w:r>
        <w:t xml:space="preserve"> wnioski z analizy silnych i słabych stron oraz szans i zagrożeń (SWOT). Skupiono się na takich przedsięwzięciach, które rozwiązują istotne problemy Gminy Opole Lubelskie lub wzmacniają i rozwijają jej potencjał. Ideą takich przedsięwzięć jest też współpraca z </w:t>
      </w:r>
      <w:r w:rsidR="00EB598B">
        <w:t>partnerami zewnętrznymi</w:t>
      </w:r>
      <w:r>
        <w:t xml:space="preserve"> zapewniająca efekt synergii, w taki sposób, aby rezultaty i oddziaływanie projektów były większe i korzystniejsze niż jest to możliwe do osiągnięcia w projektach </w:t>
      </w:r>
      <w:r w:rsidR="00EB598B">
        <w:t>realizowanych jedynie przez samorząd gminy</w:t>
      </w:r>
      <w:r>
        <w:t>.</w:t>
      </w:r>
    </w:p>
    <w:p w14:paraId="219A8D99" w14:textId="77777777" w:rsidR="006205FA" w:rsidRPr="00650E8C" w:rsidRDefault="006205FA">
      <w:pPr>
        <w:pStyle w:val="Akapitzlist"/>
        <w:numPr>
          <w:ilvl w:val="0"/>
          <w:numId w:val="7"/>
        </w:numPr>
        <w:spacing w:after="0"/>
        <w:ind w:left="283" w:hanging="357"/>
        <w:contextualSpacing w:val="0"/>
        <w:rPr>
          <w:szCs w:val="20"/>
          <w:lang w:bidi="en-US"/>
          <w14:textOutline w14:w="9525" w14:cap="rnd" w14:cmpd="sng" w14:algn="ctr">
            <w14:solidFill>
              <w14:srgbClr w14:val="C45911"/>
            </w14:solidFill>
            <w14:prstDash w14:val="solid"/>
            <w14:bevel/>
          </w14:textOutline>
        </w:rPr>
      </w:pPr>
      <w:r w:rsidRPr="00650E8C">
        <w:rPr>
          <w:szCs w:val="20"/>
          <w14:textOutline w14:w="9525" w14:cap="rnd" w14:cmpd="sng" w14:algn="ctr">
            <w14:solidFill>
              <w14:srgbClr w14:val="C45911"/>
            </w14:solidFill>
            <w14:prstDash w14:val="solid"/>
            <w14:bevel/>
          </w14:textOutline>
        </w:rPr>
        <w:t>Polityka spójności 2021-2027</w:t>
      </w:r>
    </w:p>
    <w:p w14:paraId="4136E140" w14:textId="2D9319FA" w:rsidR="006205FA" w:rsidRDefault="006205FA" w:rsidP="00AF28D5">
      <w:pPr>
        <w:ind w:left="284"/>
      </w:pPr>
      <w:r>
        <w:t xml:space="preserve">Dostosowano rodzaj i zakres interwencji oraz system wdrażania Strategii do wyzwań i uwarunkowań perspektywy finansowej UE 2021 – 2027 opierając się na </w:t>
      </w:r>
      <w:r w:rsidR="005F0CF5">
        <w:t>uwarunkowaniach</w:t>
      </w:r>
      <w:r>
        <w:t xml:space="preserve"> obowiązujących w unijnych, krajowych i regionalnych dokumentach strategicznych i operacyjnych. Dotyczy to przede</w:t>
      </w:r>
      <w:r w:rsidR="005F0CF5">
        <w:t xml:space="preserve"> wszystkim spójności z celami i obszarami wsparcia oraz kwalifikowalności typów projektów przewidzianych do realizacji w Strategii</w:t>
      </w:r>
      <w:r>
        <w:t>.</w:t>
      </w:r>
    </w:p>
    <w:p w14:paraId="716C36B4" w14:textId="77777777" w:rsidR="006205FA" w:rsidRPr="00650E8C" w:rsidRDefault="006205FA">
      <w:pPr>
        <w:pStyle w:val="Akapitzlist"/>
        <w:numPr>
          <w:ilvl w:val="0"/>
          <w:numId w:val="8"/>
        </w:numPr>
        <w:spacing w:after="0"/>
        <w:ind w:left="283" w:hanging="357"/>
        <w:contextualSpacing w:val="0"/>
        <w:rPr>
          <w:szCs w:val="20"/>
          <w:lang w:bidi="en-US"/>
          <w14:textOutline w14:w="9525" w14:cap="rnd" w14:cmpd="sng" w14:algn="ctr">
            <w14:solidFill>
              <w14:srgbClr w14:val="C45911"/>
            </w14:solidFill>
            <w14:prstDash w14:val="solid"/>
            <w14:bevel/>
          </w14:textOutline>
        </w:rPr>
      </w:pPr>
      <w:r w:rsidRPr="00650E8C">
        <w:rPr>
          <w:szCs w:val="20"/>
          <w14:textOutline w14:w="9525" w14:cap="rnd" w14:cmpd="sng" w14:algn="ctr">
            <w14:solidFill>
              <w14:srgbClr w14:val="C45911"/>
            </w14:solidFill>
            <w14:prstDash w14:val="solid"/>
            <w14:bevel/>
          </w14:textOutline>
        </w:rPr>
        <w:t>Spójność z celami polityki regionalnej na poziomie województwa i kraju</w:t>
      </w:r>
    </w:p>
    <w:p w14:paraId="6ED97640" w14:textId="56512AEC" w:rsidR="0048448E" w:rsidRPr="00571C62" w:rsidRDefault="006205FA" w:rsidP="00571C62">
      <w:pPr>
        <w:pStyle w:val="Akapitzlist"/>
        <w:tabs>
          <w:tab w:val="left" w:pos="567"/>
        </w:tabs>
        <w:ind w:left="284"/>
        <w:contextualSpacing w:val="0"/>
      </w:pPr>
      <w:r>
        <w:t>Zachowano zgodność z założeniami polityki regionalnej Państwa tak aby Strategia była spójna z kierunkami, obszarami interwencji i celami określonymi w Krajowej Strategii Rozwoju Regionalnego 2030 oraz Strategii Rozwoju Województwa Lubelskiego 2030</w:t>
      </w:r>
      <w:r w:rsidR="005F0CF5">
        <w:t>.</w:t>
      </w:r>
    </w:p>
    <w:p w14:paraId="21964970" w14:textId="77777777" w:rsidR="006205FA" w:rsidRPr="00650E8C" w:rsidRDefault="006205FA">
      <w:pPr>
        <w:pStyle w:val="Akapitzlist"/>
        <w:numPr>
          <w:ilvl w:val="0"/>
          <w:numId w:val="8"/>
        </w:numPr>
        <w:spacing w:after="0"/>
        <w:ind w:left="283" w:hanging="357"/>
        <w:contextualSpacing w:val="0"/>
        <w:rPr>
          <w:szCs w:val="20"/>
          <w:lang w:bidi="en-US"/>
          <w14:textOutline w14:w="9525" w14:cap="rnd" w14:cmpd="sng" w14:algn="ctr">
            <w14:solidFill>
              <w14:srgbClr w14:val="C45911"/>
            </w14:solidFill>
            <w14:prstDash w14:val="solid"/>
            <w14:bevel/>
          </w14:textOutline>
        </w:rPr>
      </w:pPr>
      <w:r w:rsidRPr="00650E8C">
        <w:rPr>
          <w:szCs w:val="20"/>
          <w14:textOutline w14:w="9525" w14:cap="rnd" w14:cmpd="sng" w14:algn="ctr">
            <w14:solidFill>
              <w14:srgbClr w14:val="C45911"/>
            </w14:solidFill>
            <w14:prstDash w14:val="solid"/>
            <w14:bevel/>
          </w14:textOutline>
        </w:rPr>
        <w:t>Podejście realistyczne</w:t>
      </w:r>
    </w:p>
    <w:p w14:paraId="7193ACC2" w14:textId="4335D030" w:rsidR="005F0CF5" w:rsidRDefault="005F0CF5" w:rsidP="00AF28D5">
      <w:pPr>
        <w:ind w:left="284"/>
      </w:pPr>
      <w:r w:rsidRPr="005F0CF5">
        <w:t>W trakcie prac koncentrowano się na tym aby dokument Strategii pozostał realistyczny. Zarówno w  kontekście celów, jak również kierunków działań i propozycji konkretnych przedsięwzięć przyjęto następujące podejście:</w:t>
      </w:r>
    </w:p>
    <w:p w14:paraId="45FFED6E" w14:textId="028087CD" w:rsidR="006205FA" w:rsidRDefault="0048448E" w:rsidP="005F0CF5">
      <w:pPr>
        <w:ind w:left="426"/>
        <w:jc w:val="center"/>
      </w:pPr>
      <w:r w:rsidRPr="0048448E">
        <w:rPr>
          <w:noProof/>
          <w:lang w:eastAsia="pl-PL"/>
        </w:rPr>
        <w:lastRenderedPageBreak/>
        <w:drawing>
          <wp:inline distT="0" distB="0" distL="0" distR="0" wp14:anchorId="5CE3BCD7" wp14:editId="56829B54">
            <wp:extent cx="5760720" cy="4004945"/>
            <wp:effectExtent l="0" t="0" r="0" b="0"/>
            <wp:docPr id="3217275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4004945"/>
                    </a:xfrm>
                    <a:prstGeom prst="rect">
                      <a:avLst/>
                    </a:prstGeom>
                    <a:noFill/>
                    <a:ln>
                      <a:noFill/>
                    </a:ln>
                  </pic:spPr>
                </pic:pic>
              </a:graphicData>
            </a:graphic>
          </wp:inline>
        </w:drawing>
      </w:r>
    </w:p>
    <w:p w14:paraId="7FEEF23C" w14:textId="77777777" w:rsidR="006205FA" w:rsidRPr="00650E8C" w:rsidRDefault="006205FA">
      <w:pPr>
        <w:pStyle w:val="Akapitzlist"/>
        <w:numPr>
          <w:ilvl w:val="0"/>
          <w:numId w:val="8"/>
        </w:numPr>
        <w:spacing w:after="0"/>
        <w:ind w:left="283" w:hanging="357"/>
        <w:contextualSpacing w:val="0"/>
        <w:rPr>
          <w:szCs w:val="20"/>
          <w:lang w:bidi="en-US"/>
          <w14:textOutline w14:w="9525" w14:cap="rnd" w14:cmpd="sng" w14:algn="ctr">
            <w14:solidFill>
              <w14:srgbClr w14:val="C45911"/>
            </w14:solidFill>
            <w14:prstDash w14:val="solid"/>
            <w14:bevel/>
          </w14:textOutline>
        </w:rPr>
      </w:pPr>
      <w:r w:rsidRPr="00650E8C">
        <w:rPr>
          <w:szCs w:val="20"/>
          <w14:textOutline w14:w="9525" w14:cap="rnd" w14:cmpd="sng" w14:algn="ctr">
            <w14:solidFill>
              <w14:srgbClr w14:val="C45911"/>
            </w14:solidFill>
            <w14:prstDash w14:val="solid"/>
            <w14:bevel/>
          </w14:textOutline>
        </w:rPr>
        <w:t>Finansowanie propozycji przedsięwzięć wynikających ze strategii</w:t>
      </w:r>
    </w:p>
    <w:p w14:paraId="0CCFD845" w14:textId="70AC86D2" w:rsidR="006205FA" w:rsidRPr="00610C64" w:rsidRDefault="006205FA" w:rsidP="006205FA">
      <w:pPr>
        <w:rPr>
          <w:lang w:bidi="en-US"/>
        </w:rPr>
      </w:pPr>
      <w:r>
        <w:rPr>
          <w:lang w:bidi="en-US"/>
        </w:rPr>
        <w:t xml:space="preserve">W dokumencie Strategii zwarto informacje dotyczące źródeł finansowania </w:t>
      </w:r>
      <w:r>
        <w:t xml:space="preserve">zidentyfikowanych przedsięwzięć rozwojowych. </w:t>
      </w:r>
      <w:r w:rsidR="00401BFC">
        <w:t>Szczegółowy z</w:t>
      </w:r>
      <w:r>
        <w:t xml:space="preserve">akres, koszty i harmonogram realizacji poszczególnych projektów uzależnione będą od dostępności zewnętrznych źródeł finansowania, przede wszystkim w zakresie kwalifikowalności wsparcia z funduszy europejskich w latach 2021 – 2027. Proces </w:t>
      </w:r>
      <w:r w:rsidR="000375E6">
        <w:t xml:space="preserve">ten </w:t>
      </w:r>
      <w:r>
        <w:t xml:space="preserve">wymaga </w:t>
      </w:r>
      <w:r w:rsidR="000375E6">
        <w:t>realizacji Strategii</w:t>
      </w:r>
      <w:r>
        <w:t xml:space="preserve"> </w:t>
      </w:r>
      <w:r w:rsidR="000375E6">
        <w:t xml:space="preserve">zgodnie z przyjętym systemem wdrażania oraz </w:t>
      </w:r>
      <w:r>
        <w:t xml:space="preserve">długofalowej konsekwencji w działaniu władz gminy. </w:t>
      </w:r>
    </w:p>
    <w:p w14:paraId="1CA874E8" w14:textId="77777777" w:rsidR="006205FA" w:rsidRPr="00650E8C" w:rsidRDefault="006205FA">
      <w:pPr>
        <w:pStyle w:val="Akapitzlist"/>
        <w:numPr>
          <w:ilvl w:val="0"/>
          <w:numId w:val="8"/>
        </w:numPr>
        <w:spacing w:after="0"/>
        <w:ind w:left="283" w:hanging="357"/>
        <w:rPr>
          <w:szCs w:val="20"/>
          <w:lang w:bidi="en-US"/>
          <w14:textOutline w14:w="9525" w14:cap="rnd" w14:cmpd="sng" w14:algn="ctr">
            <w14:solidFill>
              <w14:srgbClr w14:val="C45911"/>
            </w14:solidFill>
            <w14:prstDash w14:val="solid"/>
            <w14:bevel/>
          </w14:textOutline>
        </w:rPr>
      </w:pPr>
      <w:r w:rsidRPr="00650E8C">
        <w:rPr>
          <w:szCs w:val="20"/>
          <w14:textOutline w14:w="9525" w14:cap="rnd" w14:cmpd="sng" w14:algn="ctr">
            <w14:solidFill>
              <w14:srgbClr w14:val="C45911"/>
            </w14:solidFill>
            <w14:prstDash w14:val="solid"/>
            <w14:bevel/>
          </w14:textOutline>
        </w:rPr>
        <w:t>Logika interwencji Strategii</w:t>
      </w:r>
    </w:p>
    <w:p w14:paraId="0599B7B6" w14:textId="77777777" w:rsidR="006205FA" w:rsidRDefault="006205FA" w:rsidP="006205FA">
      <w:r>
        <w:t>W Strategii przyjęto logikę interwencji, w której celom i odpowiadającym im kierunkom działań przypisano odpowiednie wskaźniki i rezultaty oraz propozycje projektów do realizacji:</w:t>
      </w:r>
    </w:p>
    <w:p w14:paraId="752962E8" w14:textId="77777777" w:rsidR="006205FA" w:rsidRDefault="006205FA" w:rsidP="006205FA"/>
    <w:p w14:paraId="41D260A0" w14:textId="77777777" w:rsidR="00E0149E" w:rsidRDefault="006205FA" w:rsidP="00E0149E">
      <w:pPr>
        <w:keepNext/>
      </w:pPr>
      <w:r>
        <w:rPr>
          <w:noProof/>
          <w:lang w:eastAsia="pl-PL"/>
        </w:rPr>
        <w:drawing>
          <wp:inline distT="0" distB="0" distL="0" distR="0" wp14:anchorId="3AF3B22C" wp14:editId="2E637CC9">
            <wp:extent cx="5773480" cy="1647825"/>
            <wp:effectExtent l="57150" t="38100" r="246380" b="66675"/>
            <wp:docPr id="45053416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FEC8451" w14:textId="4A622648" w:rsidR="00FC15E9" w:rsidRDefault="000C6AD7" w:rsidP="00647157">
      <w:pPr>
        <w:pStyle w:val="Styl1"/>
      </w:pPr>
      <w:r>
        <w:t>Źródło</w:t>
      </w:r>
      <w:r w:rsidR="00E0149E">
        <w:t>: opracowanie własne</w:t>
      </w:r>
    </w:p>
    <w:p w14:paraId="4DBBCD77" w14:textId="05DA6CD6" w:rsidR="00261698" w:rsidRDefault="00261698" w:rsidP="00FC15E9">
      <w:pPr>
        <w:pStyle w:val="Nagwek1"/>
        <w:rPr>
          <w:lang w:bidi="en-US"/>
        </w:rPr>
      </w:pPr>
      <w:bookmarkStart w:id="188" w:name="_Toc191908795"/>
      <w:r>
        <w:rPr>
          <w:lang w:bidi="en-US"/>
        </w:rPr>
        <w:lastRenderedPageBreak/>
        <w:t>5. Analiza SWOT</w:t>
      </w:r>
      <w:bookmarkEnd w:id="188"/>
    </w:p>
    <w:p w14:paraId="78DA73FD" w14:textId="20D5062A" w:rsidR="00EB75C2" w:rsidRDefault="00EB75C2" w:rsidP="00EB75C2">
      <w:pPr>
        <w:rPr>
          <w:lang w:bidi="en-US"/>
        </w:rPr>
      </w:pPr>
      <w:r>
        <w:rPr>
          <w:lang w:bidi="en-US"/>
        </w:rPr>
        <w:t xml:space="preserve">Narzędziem zastosowanym do przeprowadzenia analizy strategicznej obszaru gminy Opole Lubelskie jest analiza SWOT – zestawienie uwarunkowań wewnętrznych w postaci mocnych i </w:t>
      </w:r>
      <w:r w:rsidR="00466623">
        <w:rPr>
          <w:lang w:bidi="en-US"/>
        </w:rPr>
        <w:t> </w:t>
      </w:r>
      <w:r>
        <w:rPr>
          <w:lang w:bidi="en-US"/>
        </w:rPr>
        <w:t xml:space="preserve">słabych stron oraz określenie zewnętrznych szans i zagrożeń rozwojowych. Analiza potraktowana została szeroko i  kompleksowo, obejmując wszystkie istotne kwestie społeczne, gospodarcze, środowiskowe i  przestrzenne obszaru gminy. </w:t>
      </w:r>
    </w:p>
    <w:p w14:paraId="46E87F5C" w14:textId="1EB55F98" w:rsidR="00EB75C2" w:rsidRDefault="00EB75C2" w:rsidP="00EB75C2">
      <w:pPr>
        <w:rPr>
          <w:lang w:bidi="en-US"/>
        </w:rPr>
      </w:pPr>
      <w:r>
        <w:rPr>
          <w:lang w:bidi="en-US"/>
        </w:rPr>
        <w:t>Metoda ta umożliwia zebranie oraz usystematyzowanie informacji o wewnętrznym potencjale gminy, jak również dostrzeganych barierach, zwracając jednocześnie uwagę na pojawiające się w otoczeniu szanse i zagrożenia mające wpływ na funkcjonowanie i rozwój obszaru.</w:t>
      </w:r>
    </w:p>
    <w:p w14:paraId="7063723B" w14:textId="383791FE" w:rsidR="00C8748F" w:rsidRDefault="00C8748F" w:rsidP="00C8748F">
      <w:pPr>
        <w:rPr>
          <w:lang w:bidi="en-US"/>
        </w:rPr>
      </w:pPr>
      <w:r>
        <w:rPr>
          <w:lang w:bidi="en-US"/>
        </w:rPr>
        <w:t>Analiza SWOT jest narzędziem pozwalającym na zidentyfikowanie i ocenę:</w:t>
      </w:r>
    </w:p>
    <w:p w14:paraId="32224349" w14:textId="3B5E5F09" w:rsidR="00C8748F" w:rsidRDefault="00C8748F">
      <w:pPr>
        <w:pStyle w:val="Akapitzlist"/>
        <w:numPr>
          <w:ilvl w:val="0"/>
          <w:numId w:val="13"/>
        </w:numPr>
        <w:spacing w:line="360" w:lineRule="auto"/>
        <w:ind w:left="426" w:hanging="426"/>
        <w:rPr>
          <w:lang w:bidi="en-US"/>
        </w:rPr>
      </w:pPr>
      <w:r w:rsidRPr="001B4380">
        <w:rPr>
          <w:lang w:bidi="en-US"/>
          <w14:textOutline w14:w="9525" w14:cap="rnd" w14:cmpd="sng" w14:algn="ctr">
            <w14:solidFill>
              <w14:srgbClr w14:val="C45911"/>
            </w14:solidFill>
            <w14:prstDash w14:val="solid"/>
            <w14:bevel/>
          </w14:textOutline>
        </w:rPr>
        <w:t xml:space="preserve">silnych stron </w:t>
      </w:r>
      <w:r>
        <w:rPr>
          <w:lang w:bidi="en-US"/>
        </w:rPr>
        <w:t>(</w:t>
      </w:r>
      <w:r w:rsidRPr="001B4380">
        <w:rPr>
          <w:lang w:bidi="en-US"/>
          <w14:textOutline w14:w="9525" w14:cap="rnd" w14:cmpd="sng" w14:algn="ctr">
            <w14:solidFill>
              <w14:srgbClr w14:val="C45911"/>
            </w14:solidFill>
            <w14:prstDash w14:val="solid"/>
            <w14:bevel/>
          </w14:textOutline>
        </w:rPr>
        <w:t>strengths</w:t>
      </w:r>
      <w:r>
        <w:rPr>
          <w:lang w:bidi="en-US"/>
        </w:rPr>
        <w:t>) – cech wewnętrznych gminy, które wpływają na jej rozwój</w:t>
      </w:r>
      <w:r w:rsidR="00405134">
        <w:rPr>
          <w:lang w:bidi="en-US"/>
        </w:rPr>
        <w:t>,</w:t>
      </w:r>
    </w:p>
    <w:p w14:paraId="677C191D" w14:textId="35323FE8" w:rsidR="00C8748F" w:rsidRDefault="00C8748F">
      <w:pPr>
        <w:pStyle w:val="Akapitzlist"/>
        <w:numPr>
          <w:ilvl w:val="0"/>
          <w:numId w:val="13"/>
        </w:numPr>
        <w:spacing w:line="360" w:lineRule="auto"/>
        <w:ind w:left="426" w:hanging="426"/>
        <w:rPr>
          <w:lang w:bidi="en-US"/>
        </w:rPr>
      </w:pPr>
      <w:r w:rsidRPr="001B4380">
        <w:rPr>
          <w:lang w:bidi="en-US"/>
          <w14:textOutline w14:w="9525" w14:cap="rnd" w14:cmpd="sng" w14:algn="ctr">
            <w14:solidFill>
              <w14:srgbClr w14:val="C45911"/>
            </w14:solidFill>
            <w14:prstDash w14:val="solid"/>
            <w14:bevel/>
          </w14:textOutline>
        </w:rPr>
        <w:t xml:space="preserve">słabych stron </w:t>
      </w:r>
      <w:r>
        <w:rPr>
          <w:lang w:bidi="en-US"/>
        </w:rPr>
        <w:t>(</w:t>
      </w:r>
      <w:r w:rsidRPr="001B4380">
        <w:rPr>
          <w:lang w:bidi="en-US"/>
          <w14:textOutline w14:w="9525" w14:cap="rnd" w14:cmpd="sng" w14:algn="ctr">
            <w14:solidFill>
              <w14:srgbClr w14:val="C45911"/>
            </w14:solidFill>
            <w14:prstDash w14:val="solid"/>
            <w14:bevel/>
          </w14:textOutline>
        </w:rPr>
        <w:t>weaknesses</w:t>
      </w:r>
      <w:r>
        <w:rPr>
          <w:lang w:bidi="en-US"/>
        </w:rPr>
        <w:t>) – cech wewnętrznych gminy, które mogą blokować rozwój</w:t>
      </w:r>
      <w:r w:rsidR="00405134">
        <w:rPr>
          <w:lang w:bidi="en-US"/>
        </w:rPr>
        <w:t>,</w:t>
      </w:r>
    </w:p>
    <w:p w14:paraId="084E2A24" w14:textId="67335D30" w:rsidR="00C8748F" w:rsidRDefault="00C8748F">
      <w:pPr>
        <w:pStyle w:val="Akapitzlist"/>
        <w:numPr>
          <w:ilvl w:val="0"/>
          <w:numId w:val="13"/>
        </w:numPr>
        <w:spacing w:line="360" w:lineRule="auto"/>
        <w:ind w:left="426" w:hanging="426"/>
        <w:rPr>
          <w:lang w:bidi="en-US"/>
        </w:rPr>
      </w:pPr>
      <w:r w:rsidRPr="001B4380">
        <w:rPr>
          <w:lang w:bidi="en-US"/>
          <w14:textOutline w14:w="9525" w14:cap="rnd" w14:cmpd="sng" w14:algn="ctr">
            <w14:solidFill>
              <w14:srgbClr w14:val="C45911"/>
            </w14:solidFill>
            <w14:prstDash w14:val="solid"/>
            <w14:bevel/>
          </w14:textOutline>
        </w:rPr>
        <w:t>szans</w:t>
      </w:r>
      <w:r>
        <w:rPr>
          <w:lang w:bidi="en-US"/>
        </w:rPr>
        <w:t xml:space="preserve"> (</w:t>
      </w:r>
      <w:r w:rsidRPr="001B4380">
        <w:rPr>
          <w:lang w:bidi="en-US"/>
          <w14:textOutline w14:w="9525" w14:cap="rnd" w14:cmpd="sng" w14:algn="ctr">
            <w14:solidFill>
              <w14:srgbClr w14:val="C45911"/>
            </w14:solidFill>
            <w14:prstDash w14:val="solid"/>
            <w14:bevel/>
          </w14:textOutline>
        </w:rPr>
        <w:t>opportunities</w:t>
      </w:r>
      <w:r>
        <w:rPr>
          <w:lang w:bidi="en-US"/>
        </w:rPr>
        <w:t>) – uwarunkowań zewnętrznych, które nie zależą bezpośrednio od</w:t>
      </w:r>
      <w:r w:rsidR="00405134">
        <w:rPr>
          <w:lang w:bidi="en-US"/>
        </w:rPr>
        <w:t xml:space="preserve"> </w:t>
      </w:r>
      <w:r>
        <w:rPr>
          <w:lang w:bidi="en-US"/>
        </w:rPr>
        <w:t>gminy, a które odpowiednio wykorzystane mogą przyczynić się do jej rozwoju</w:t>
      </w:r>
      <w:r w:rsidR="00405134">
        <w:rPr>
          <w:lang w:bidi="en-US"/>
        </w:rPr>
        <w:t>,</w:t>
      </w:r>
    </w:p>
    <w:p w14:paraId="63EE793D" w14:textId="7BF18DF9" w:rsidR="00C8748F" w:rsidRDefault="00C8748F">
      <w:pPr>
        <w:pStyle w:val="Akapitzlist"/>
        <w:numPr>
          <w:ilvl w:val="0"/>
          <w:numId w:val="13"/>
        </w:numPr>
        <w:spacing w:line="360" w:lineRule="auto"/>
        <w:ind w:left="426" w:hanging="426"/>
        <w:rPr>
          <w:lang w:bidi="en-US"/>
        </w:rPr>
      </w:pPr>
      <w:r w:rsidRPr="001B4380">
        <w:rPr>
          <w:lang w:bidi="en-US"/>
          <w14:textOutline w14:w="9525" w14:cap="rnd" w14:cmpd="sng" w14:algn="ctr">
            <w14:solidFill>
              <w14:srgbClr w14:val="C45911"/>
            </w14:solidFill>
            <w14:prstDash w14:val="solid"/>
            <w14:bevel/>
          </w14:textOutline>
        </w:rPr>
        <w:t>zagrożeń</w:t>
      </w:r>
      <w:r>
        <w:rPr>
          <w:lang w:bidi="en-US"/>
        </w:rPr>
        <w:t xml:space="preserve"> (</w:t>
      </w:r>
      <w:r w:rsidRPr="001B4380">
        <w:rPr>
          <w:lang w:bidi="en-US"/>
          <w14:textOutline w14:w="9525" w14:cap="rnd" w14:cmpd="sng" w14:algn="ctr">
            <w14:solidFill>
              <w14:srgbClr w14:val="C45911"/>
            </w14:solidFill>
            <w14:prstDash w14:val="solid"/>
            <w14:bevel/>
          </w14:textOutline>
        </w:rPr>
        <w:t>threats</w:t>
      </w:r>
      <w:r>
        <w:rPr>
          <w:lang w:bidi="en-US"/>
        </w:rPr>
        <w:t>) – uwarunkowań zewnętrznych, na które gmina nie ma bezpośredniego wpływu, a które mogą hamować jej rozwój</w:t>
      </w:r>
      <w:r w:rsidR="00405134">
        <w:rPr>
          <w:lang w:bidi="en-US"/>
        </w:rPr>
        <w:t>.</w:t>
      </w:r>
    </w:p>
    <w:p w14:paraId="7DBB78DF" w14:textId="77777777" w:rsidR="00C8748F" w:rsidRDefault="00C8748F" w:rsidP="00C8748F">
      <w:pPr>
        <w:rPr>
          <w:lang w:bidi="en-US"/>
        </w:rPr>
      </w:pPr>
      <w:r>
        <w:rPr>
          <w:lang w:bidi="en-US"/>
        </w:rPr>
        <w:t xml:space="preserve">Dzięki zastosowaniu metod diagnostycznych w postaci zebranych i </w:t>
      </w:r>
      <w:r>
        <w:t>usystematyzowanych</w:t>
      </w:r>
      <w:r>
        <w:rPr>
          <w:lang w:bidi="en-US"/>
        </w:rPr>
        <w:t xml:space="preserve"> potencjałów i barier rozwojowych Gminy Opole Lubelskie, przy jednoczesnym zauważeniu istniejących szans i zagrożeń jednostka samorządowa otrzymuje realny wpływ na funkcjonowanie obszaru. </w:t>
      </w:r>
    </w:p>
    <w:p w14:paraId="5AC40C4D" w14:textId="5E0D1C2F" w:rsidR="009C5A58" w:rsidRPr="00A85474" w:rsidRDefault="00C8748F" w:rsidP="00A85474">
      <w:r>
        <w:t xml:space="preserve">Analizy dokonano w oparciu o dane liczbowe, opisowe i przestrzenne pozyskane z gminy Opole Lubelskie oraz ze źródeł zewnętrznych </w:t>
      </w:r>
      <w:r w:rsidR="00405134">
        <w:t>i</w:t>
      </w:r>
      <w:r>
        <w:t xml:space="preserve"> wniosków z przeprowadzonej diagnozy sytuacji społecznej, gospodarczej i przestrzennej.</w:t>
      </w:r>
    </w:p>
    <w:tbl>
      <w:tblPr>
        <w:tblStyle w:val="Tabela-Siatka1"/>
        <w:tblW w:w="9067" w:type="dxa"/>
        <w:tblBorders>
          <w:insideH w:val="none" w:sz="0" w:space="0" w:color="auto"/>
          <w:insideV w:val="none" w:sz="0" w:space="0" w:color="auto"/>
        </w:tblBorders>
        <w:tblLook w:val="04A0" w:firstRow="1" w:lastRow="0" w:firstColumn="1" w:lastColumn="0" w:noHBand="0" w:noVBand="1"/>
      </w:tblPr>
      <w:tblGrid>
        <w:gridCol w:w="9067"/>
      </w:tblGrid>
      <w:tr w:rsidR="00D46312" w:rsidRPr="00D46312" w14:paraId="64690EAA" w14:textId="77777777" w:rsidTr="00D46312">
        <w:tc>
          <w:tcPr>
            <w:tcW w:w="9067" w:type="dxa"/>
            <w:shd w:val="clear" w:color="auto" w:fill="00B0F0"/>
          </w:tcPr>
          <w:p w14:paraId="00980E4B" w14:textId="62B48B09" w:rsidR="009C5A58" w:rsidRPr="00D46312" w:rsidRDefault="009C5A58" w:rsidP="009C5A58">
            <w:pPr>
              <w:spacing w:before="80" w:after="80" w:line="240" w:lineRule="auto"/>
              <w:ind w:left="454" w:firstLine="0"/>
              <w:jc w:val="left"/>
              <w:rPr>
                <w:rFonts w:eastAsia="Calibri" w:cs="Times New Roman"/>
                <w:b/>
                <w:bCs/>
                <w:color w:val="FFFFFF" w:themeColor="background1"/>
                <w:szCs w:val="20"/>
              </w:rPr>
            </w:pPr>
            <w:r w:rsidRPr="00D46312">
              <w:rPr>
                <w:rFonts w:eastAsia="Calibri" w:cs="Times New Roman"/>
                <w:b/>
                <w:bCs/>
                <w:color w:val="FFFFFF" w:themeColor="background1"/>
                <w:szCs w:val="20"/>
              </w:rPr>
              <w:t>SILNE STRONY</w:t>
            </w:r>
          </w:p>
        </w:tc>
      </w:tr>
      <w:tr w:rsidR="009C5A58" w:rsidRPr="00A85474" w14:paraId="0DB1BD32" w14:textId="77777777" w:rsidTr="009C5A58">
        <w:tc>
          <w:tcPr>
            <w:tcW w:w="9067" w:type="dxa"/>
          </w:tcPr>
          <w:p w14:paraId="1242803F"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rPr>
            </w:pPr>
            <w:r w:rsidRPr="00A85474">
              <w:rPr>
                <w:rFonts w:eastAsia="Calibri" w:cs="Times New Roman"/>
                <w:sz w:val="18"/>
                <w:szCs w:val="18"/>
              </w:rPr>
              <w:t>Występowanie gleb o dobrych właściwościach do produkcji rolniczej (grunty orne zajmują około 74% ogólnej powierzchni użytków rolnych gminy).</w:t>
            </w:r>
          </w:p>
          <w:p w14:paraId="1C3E9C0C"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rPr>
            </w:pPr>
            <w:r w:rsidRPr="00A85474">
              <w:rPr>
                <w:rFonts w:eastAsia="Calibri" w:cs="Times New Roman"/>
                <w:sz w:val="18"/>
                <w:szCs w:val="18"/>
              </w:rPr>
              <w:t>Potencjał do rozwoju energetyki opartej na odnawialnych źródłach energii tj. biomasa, promieniowanie słoneczne, wiatr, woda.</w:t>
            </w:r>
          </w:p>
          <w:p w14:paraId="28F543D0"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rPr>
            </w:pPr>
            <w:r w:rsidRPr="00A85474">
              <w:rPr>
                <w:rFonts w:eastAsia="Calibri" w:cs="Times New Roman"/>
                <w:sz w:val="18"/>
                <w:szCs w:val="18"/>
              </w:rPr>
              <w:t>Wysoka jakość rolniczej przestrzeni produkcyjnej - dobrze rozwinięty sektor przetwórstwa rolno-spożywczego.</w:t>
            </w:r>
          </w:p>
          <w:p w14:paraId="64375907"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rPr>
            </w:pPr>
            <w:r w:rsidRPr="00A85474">
              <w:rPr>
                <w:rFonts w:eastAsia="Calibri" w:cs="Times New Roman"/>
                <w:sz w:val="18"/>
                <w:szCs w:val="18"/>
              </w:rPr>
              <w:t>Bogata tradycja kulturowa, ciekawe zabytki oraz rozwinięta sieć szlaków turystycznych.</w:t>
            </w:r>
          </w:p>
          <w:p w14:paraId="3A5F52E9"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rPr>
            </w:pPr>
            <w:r w:rsidRPr="00A85474">
              <w:rPr>
                <w:rFonts w:eastAsia="Calibri" w:cs="Times New Roman"/>
                <w:sz w:val="18"/>
                <w:szCs w:val="18"/>
              </w:rPr>
              <w:t xml:space="preserve">Stosunkowo niski wskaźnik bezrobocia (8,6%) w porównaniu do powiatu opolskiego. </w:t>
            </w:r>
          </w:p>
          <w:p w14:paraId="75FC87AA"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rPr>
            </w:pPr>
            <w:r w:rsidRPr="00A85474">
              <w:rPr>
                <w:rFonts w:eastAsia="Calibri" w:cs="Times New Roman"/>
                <w:sz w:val="18"/>
                <w:szCs w:val="18"/>
              </w:rPr>
              <w:t>Systematycznie rosnący wskaźnik liczby podmiotów gospodarki narodowej na 1000 mieszkańców w wieku produkcyjnym.</w:t>
            </w:r>
          </w:p>
          <w:p w14:paraId="73ED687C"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rPr>
            </w:pPr>
            <w:r w:rsidRPr="00A85474">
              <w:rPr>
                <w:rFonts w:eastAsia="Calibri" w:cs="Times New Roman"/>
                <w:sz w:val="18"/>
                <w:szCs w:val="18"/>
              </w:rPr>
              <w:t>Wysoka aktywność społeczna mieszkańców, aktywna działalność organizacji pozarządowych, w tym LGD „Owocowy Szlak”.</w:t>
            </w:r>
          </w:p>
          <w:p w14:paraId="75CE5441"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rPr>
              <w:t>Dobrze rozwinięta sieć wodociągowa – z wodociągów korzysta 97% ogółu mieszkańców.</w:t>
            </w:r>
          </w:p>
          <w:p w14:paraId="07834185"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rPr>
              <w:t>Równomierne tempo rozwoju infrastruktury drogowej w różnych obszarach gminy.</w:t>
            </w:r>
          </w:p>
          <w:p w14:paraId="51754130"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rPr>
              <w:t>Dobrze funkcjonujące placówki oświatowe pod względem posiadanego wyposażenia oraz jakości kształcenia.</w:t>
            </w:r>
          </w:p>
          <w:p w14:paraId="1A52BF48"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lang w:bidi="en-US"/>
              </w:rPr>
              <w:t>Konkurencyjne profile szkół ponadpodstawowych na regionalnym rynku edukacyjnym.</w:t>
            </w:r>
          </w:p>
          <w:p w14:paraId="7380F5C2"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rPr>
              <w:lastRenderedPageBreak/>
              <w:t>Wysoki udział dzieci objętych wychowaniem przedszkolnym.</w:t>
            </w:r>
          </w:p>
          <w:p w14:paraId="3561140E"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lang w:bidi="en-US"/>
              </w:rPr>
              <w:t>Spadająca liczba gospodarstw domowych oraz osób korzystających ze środowiskowej pomocy społecznej na terenie gminy.</w:t>
            </w:r>
          </w:p>
          <w:p w14:paraId="684B2B3C" w14:textId="6D28B171"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lang w:bidi="en-US"/>
              </w:rPr>
              <w:t>Bogata oferta i działalności Opolskiego Domu Kultury wraz z bibliotekami publicznymi i ich filiami</w:t>
            </w:r>
            <w:r>
              <w:rPr>
                <w:rFonts w:eastAsia="Calibri" w:cs="Times New Roman"/>
                <w:sz w:val="18"/>
                <w:szCs w:val="18"/>
                <w:lang w:bidi="en-US"/>
              </w:rPr>
              <w:t xml:space="preserve"> oraz organizacjami pozarządowymi.</w:t>
            </w:r>
          </w:p>
          <w:p w14:paraId="26C687F2"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lang w:bidi="en-US"/>
              </w:rPr>
              <w:t>Obszar charakteryzuje się relatywnie atrakcyjną ofertą obiektów sportowych.</w:t>
            </w:r>
          </w:p>
          <w:p w14:paraId="295A1F04" w14:textId="3560D7BD"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lang w:bidi="en-US"/>
              </w:rPr>
              <w:t xml:space="preserve">Systematycznie wzrastające dochody </w:t>
            </w:r>
            <w:r>
              <w:rPr>
                <w:rFonts w:eastAsia="Calibri" w:cs="Times New Roman"/>
                <w:sz w:val="18"/>
                <w:szCs w:val="18"/>
                <w:lang w:bidi="en-US"/>
              </w:rPr>
              <w:t>g</w:t>
            </w:r>
            <w:r w:rsidRPr="00A85474">
              <w:rPr>
                <w:rFonts w:eastAsia="Calibri" w:cs="Times New Roman"/>
                <w:sz w:val="18"/>
                <w:szCs w:val="18"/>
                <w:lang w:bidi="en-US"/>
              </w:rPr>
              <w:t>miny Opole Lubelskie.</w:t>
            </w:r>
          </w:p>
          <w:p w14:paraId="0164969A"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lang w:bidi="en-US"/>
              </w:rPr>
              <w:t xml:space="preserve">Dochody w przeliczeniu na 1 mieszkańca są wyższe od dochodów przypadających na 1 mieszkańca w powiecie opolskim i województwie lubelskim. </w:t>
            </w:r>
          </w:p>
          <w:p w14:paraId="0AF243A0"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lang w:bidi="en-US"/>
              </w:rPr>
              <w:t>Wzrost wartości wydatków na jednego mieszkańca.</w:t>
            </w:r>
          </w:p>
          <w:p w14:paraId="0B191504"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lang w:bidi="en-US"/>
              </w:rPr>
              <w:t>Wysokie nakłady finansowe przeznaczane na zadania inwestycyjne.</w:t>
            </w:r>
          </w:p>
          <w:p w14:paraId="5C47E8CB" w14:textId="77777777" w:rsidR="009C5A58" w:rsidRPr="00A85474" w:rsidRDefault="009C5A58">
            <w:pPr>
              <w:numPr>
                <w:ilvl w:val="0"/>
                <w:numId w:val="9"/>
              </w:numPr>
              <w:spacing w:before="80" w:after="80" w:line="240" w:lineRule="auto"/>
              <w:ind w:left="454" w:hanging="420"/>
              <w:jc w:val="left"/>
              <w:rPr>
                <w:rFonts w:eastAsia="Calibri" w:cs="Times New Roman"/>
                <w:sz w:val="18"/>
                <w:szCs w:val="18"/>
                <w:lang w:bidi="en-US"/>
              </w:rPr>
            </w:pPr>
            <w:r w:rsidRPr="00A85474">
              <w:rPr>
                <w:rFonts w:eastAsia="Calibri" w:cs="Times New Roman"/>
                <w:sz w:val="18"/>
                <w:szCs w:val="18"/>
                <w:lang w:bidi="en-US"/>
              </w:rPr>
              <w:t>Realizacja wielu projektów dotyczących efektywności energetycznej, infrastruktury społecznej, rewitalizacji obszarów zdegradowanych oraz tworzenia terenów inwestycyjnych.</w:t>
            </w:r>
          </w:p>
          <w:p w14:paraId="4DBAADFE" w14:textId="674F6070" w:rsidR="009C5A58" w:rsidRPr="00A85474" w:rsidRDefault="009C5A58">
            <w:pPr>
              <w:numPr>
                <w:ilvl w:val="0"/>
                <w:numId w:val="9"/>
              </w:numPr>
              <w:spacing w:before="80" w:after="80" w:line="240" w:lineRule="auto"/>
              <w:ind w:left="454" w:hanging="420"/>
              <w:jc w:val="left"/>
              <w:rPr>
                <w:rFonts w:eastAsia="Calibri" w:cs="Times New Roman"/>
                <w:sz w:val="18"/>
                <w:szCs w:val="18"/>
              </w:rPr>
            </w:pPr>
            <w:r w:rsidRPr="00A85474">
              <w:rPr>
                <w:rFonts w:eastAsia="Calibri" w:cs="Times New Roman"/>
                <w:sz w:val="18"/>
                <w:szCs w:val="18"/>
                <w:lang w:bidi="en-US"/>
              </w:rPr>
              <w:t xml:space="preserve">Doświadczenie w pozyskiwaniu krajowych i europejskich środków zewnętrznych i </w:t>
            </w:r>
            <w:r>
              <w:rPr>
                <w:rFonts w:eastAsia="Calibri" w:cs="Times New Roman"/>
                <w:sz w:val="18"/>
                <w:szCs w:val="18"/>
                <w:lang w:bidi="en-US"/>
              </w:rPr>
              <w:t xml:space="preserve">w </w:t>
            </w:r>
            <w:r w:rsidRPr="00A85474">
              <w:rPr>
                <w:rFonts w:eastAsia="Calibri" w:cs="Times New Roman"/>
                <w:sz w:val="18"/>
                <w:szCs w:val="18"/>
                <w:lang w:bidi="en-US"/>
              </w:rPr>
              <w:t>zarządzaniu projektami.</w:t>
            </w:r>
          </w:p>
        </w:tc>
      </w:tr>
    </w:tbl>
    <w:p w14:paraId="72788E09" w14:textId="77777777" w:rsidR="00A85474" w:rsidRPr="00466623" w:rsidRDefault="00A85474" w:rsidP="00466623">
      <w:pPr>
        <w:spacing w:after="0"/>
        <w:rPr>
          <w:rFonts w:eastAsia="Calibri" w:cs="Times New Roman"/>
          <w:b/>
          <w:bCs/>
          <w:color w:val="C45911"/>
          <w:szCs w:val="20"/>
        </w:rPr>
      </w:pPr>
    </w:p>
    <w:tbl>
      <w:tblPr>
        <w:tblStyle w:val="Tabela-Siatka1"/>
        <w:tblW w:w="9067" w:type="dxa"/>
        <w:tblBorders>
          <w:insideH w:val="none" w:sz="0" w:space="0" w:color="auto"/>
          <w:insideV w:val="none" w:sz="0" w:space="0" w:color="auto"/>
        </w:tblBorders>
        <w:tblLook w:val="04A0" w:firstRow="1" w:lastRow="0" w:firstColumn="1" w:lastColumn="0" w:noHBand="0" w:noVBand="1"/>
      </w:tblPr>
      <w:tblGrid>
        <w:gridCol w:w="9067"/>
      </w:tblGrid>
      <w:tr w:rsidR="00D46312" w:rsidRPr="00D46312" w14:paraId="4F9870F8" w14:textId="77777777" w:rsidTr="00D46312">
        <w:tc>
          <w:tcPr>
            <w:tcW w:w="9067" w:type="dxa"/>
            <w:shd w:val="clear" w:color="auto" w:fill="FF9933"/>
          </w:tcPr>
          <w:p w14:paraId="6F9F5BFA" w14:textId="0555AC47" w:rsidR="009C5A58" w:rsidRPr="00D46312" w:rsidRDefault="009C5A58" w:rsidP="009C5A58">
            <w:pPr>
              <w:spacing w:before="80" w:after="80" w:line="240" w:lineRule="auto"/>
              <w:ind w:left="453" w:firstLine="0"/>
              <w:jc w:val="left"/>
              <w:rPr>
                <w:rFonts w:eastAsia="Calibri" w:cs="Times New Roman"/>
                <w:b/>
                <w:bCs/>
                <w:color w:val="FFFFFF" w:themeColor="background1"/>
                <w:szCs w:val="20"/>
              </w:rPr>
            </w:pPr>
            <w:r w:rsidRPr="00D46312">
              <w:rPr>
                <w:rFonts w:eastAsia="Calibri" w:cs="Times New Roman"/>
                <w:b/>
                <w:bCs/>
                <w:color w:val="FFFFFF" w:themeColor="background1"/>
                <w:szCs w:val="20"/>
              </w:rPr>
              <w:t>SŁABE STRONY</w:t>
            </w:r>
          </w:p>
        </w:tc>
      </w:tr>
      <w:tr w:rsidR="009C5A58" w:rsidRPr="00A85474" w14:paraId="34493201" w14:textId="77777777" w:rsidTr="009C5A58">
        <w:tc>
          <w:tcPr>
            <w:tcW w:w="9067" w:type="dxa"/>
          </w:tcPr>
          <w:p w14:paraId="0FFE52B1"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Zły stan wód powierzchniowych.</w:t>
            </w:r>
          </w:p>
          <w:p w14:paraId="2AB702CE"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Negatywne trendy demograficzne (spadek liczby ludności, ujemny przyrost naturalny, ujemne saldo migracji).</w:t>
            </w:r>
          </w:p>
          <w:p w14:paraId="49F35CA5"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Struktura wiekowa gminy reprezentuje typ społeczeństwa regresywnego – starzejącego się, wysoki wskaźnik obciążenia demograficznego – 28,8%.</w:t>
            </w:r>
          </w:p>
          <w:p w14:paraId="18360E8B"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Niski poziom urodzeń, przy jednoczesnym zwiększaniu się liczby osób starszych.</w:t>
            </w:r>
          </w:p>
          <w:p w14:paraId="6CD8B3D9"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Osoby młode stanowią 34,4% bezrobotnych gminy Opole Lubelskie.</w:t>
            </w:r>
          </w:p>
          <w:p w14:paraId="5078855D" w14:textId="39DD6C15" w:rsidR="009C5A58" w:rsidRPr="00A85474" w:rsidRDefault="009C5A58">
            <w:pPr>
              <w:numPr>
                <w:ilvl w:val="0"/>
                <w:numId w:val="10"/>
              </w:numPr>
              <w:spacing w:before="80" w:after="80" w:line="240" w:lineRule="auto"/>
              <w:ind w:left="453" w:hanging="425"/>
              <w:jc w:val="left"/>
              <w:rPr>
                <w:rFonts w:eastAsia="Calibri" w:cs="Times New Roman"/>
                <w:sz w:val="18"/>
                <w:szCs w:val="18"/>
              </w:rPr>
            </w:pPr>
            <w:r>
              <w:rPr>
                <w:rFonts w:eastAsia="Calibri" w:cs="Times New Roman"/>
                <w:sz w:val="18"/>
                <w:szCs w:val="18"/>
              </w:rPr>
              <w:t>N</w:t>
            </w:r>
            <w:r w:rsidRPr="00A85474">
              <w:rPr>
                <w:rFonts w:eastAsia="Calibri" w:cs="Times New Roman"/>
                <w:sz w:val="18"/>
                <w:szCs w:val="18"/>
              </w:rPr>
              <w:t>iski poziom wykształcenia w porównaniu do województwa lubelskiego.</w:t>
            </w:r>
          </w:p>
          <w:p w14:paraId="3AA1329A"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Niskie możliwości zatrudnienia w sektorach pozarolniczych.</w:t>
            </w:r>
          </w:p>
          <w:p w14:paraId="551F1469"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Niski stopień nasycenia przedsiębiorczością.</w:t>
            </w:r>
          </w:p>
          <w:p w14:paraId="245EF183" w14:textId="7B223603" w:rsidR="009C5A58" w:rsidRPr="00A85474" w:rsidRDefault="009C5A58">
            <w:pPr>
              <w:numPr>
                <w:ilvl w:val="0"/>
                <w:numId w:val="10"/>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W strukturze wielkościowej wyróżniają się mikro</w:t>
            </w:r>
            <w:r>
              <w:rPr>
                <w:rFonts w:eastAsia="Calibri" w:cs="Times New Roman"/>
                <w:sz w:val="18"/>
                <w:szCs w:val="18"/>
              </w:rPr>
              <w:t>przedsiębiorstwa</w:t>
            </w:r>
            <w:r w:rsidRPr="00A85474">
              <w:rPr>
                <w:rFonts w:eastAsia="Calibri" w:cs="Times New Roman"/>
                <w:sz w:val="18"/>
                <w:szCs w:val="18"/>
              </w:rPr>
              <w:t>.</w:t>
            </w:r>
          </w:p>
          <w:p w14:paraId="6964019C" w14:textId="6A7F0D2B" w:rsidR="009C5A58" w:rsidRPr="00A85474" w:rsidRDefault="009C5A58">
            <w:pPr>
              <w:numPr>
                <w:ilvl w:val="0"/>
                <w:numId w:val="10"/>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 xml:space="preserve">Brak znaczących podmiotów gospodarczych zapewniających dużą liczbę miejsc pracy. </w:t>
            </w:r>
          </w:p>
          <w:p w14:paraId="3C9EA167"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lang w:bidi="en-US"/>
              </w:rPr>
              <w:t>Odpływ wykształconej kadry do większych ośrodków gospodarczych.</w:t>
            </w:r>
          </w:p>
          <w:p w14:paraId="2CA2BD31"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 xml:space="preserve">Duże rozdrobnienie powierzchni gospodarstw rolnych. </w:t>
            </w:r>
          </w:p>
          <w:p w14:paraId="7A40D34B" w14:textId="3F96EEEA" w:rsidR="009C5A58" w:rsidRPr="00A85474" w:rsidRDefault="009C5A58">
            <w:pPr>
              <w:numPr>
                <w:ilvl w:val="0"/>
                <w:numId w:val="10"/>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rPr>
              <w:t>Słabo rozwinięta sieć kanalizacyjna</w:t>
            </w:r>
            <w:r>
              <w:rPr>
                <w:rFonts w:eastAsia="Calibri" w:cs="Times New Roman"/>
                <w:sz w:val="18"/>
                <w:szCs w:val="18"/>
              </w:rPr>
              <w:t xml:space="preserve"> -</w:t>
            </w:r>
            <w:r w:rsidRPr="00A85474">
              <w:rPr>
                <w:rFonts w:eastAsia="Calibri" w:cs="Times New Roman"/>
                <w:sz w:val="18"/>
                <w:szCs w:val="18"/>
              </w:rPr>
              <w:t xml:space="preserve"> zaledwie 42% mieszkańców korzysta z kanalizacji. </w:t>
            </w:r>
          </w:p>
          <w:p w14:paraId="23F6E3ED"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lang w:bidi="en-US"/>
              </w:rPr>
              <w:t>Zanieczyszczanie wód gruntowych poprzez odprowadzania ścieków do przydrożnych rowów i na pola.</w:t>
            </w:r>
          </w:p>
          <w:p w14:paraId="5192C25B"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lang w:bidi="en-US"/>
              </w:rPr>
              <w:t>Wzrastający udział ilości zmieszanych odpadów komunalnych w ilości odpadów ogółem.</w:t>
            </w:r>
          </w:p>
          <w:p w14:paraId="042C586E" w14:textId="77777777" w:rsidR="009C5A58" w:rsidRPr="00A85474" w:rsidRDefault="009C5A58">
            <w:pPr>
              <w:numPr>
                <w:ilvl w:val="0"/>
                <w:numId w:val="10"/>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rPr>
              <w:t>Niski poziomu dochodów własnych, przy znaczącym udziale dotacji w strukturze dochodów ogółem.</w:t>
            </w:r>
          </w:p>
        </w:tc>
      </w:tr>
    </w:tbl>
    <w:p w14:paraId="7710131F" w14:textId="77777777" w:rsidR="00A85474" w:rsidRPr="00466623" w:rsidRDefault="00A85474" w:rsidP="00466623">
      <w:pPr>
        <w:spacing w:after="0"/>
        <w:rPr>
          <w:rFonts w:eastAsia="Calibri" w:cs="Times New Roman"/>
          <w:b/>
          <w:bCs/>
          <w:color w:val="C45911"/>
          <w:szCs w:val="20"/>
          <w:lang w:bidi="en-US"/>
        </w:rPr>
      </w:pPr>
    </w:p>
    <w:tbl>
      <w:tblPr>
        <w:tblStyle w:val="Tabela-Siatka1"/>
        <w:tblW w:w="9067" w:type="dxa"/>
        <w:tblBorders>
          <w:insideH w:val="none" w:sz="0" w:space="0" w:color="auto"/>
          <w:insideV w:val="none" w:sz="0" w:space="0" w:color="auto"/>
        </w:tblBorders>
        <w:tblLook w:val="04A0" w:firstRow="1" w:lastRow="0" w:firstColumn="1" w:lastColumn="0" w:noHBand="0" w:noVBand="1"/>
      </w:tblPr>
      <w:tblGrid>
        <w:gridCol w:w="9067"/>
      </w:tblGrid>
      <w:tr w:rsidR="00D46312" w:rsidRPr="00D46312" w14:paraId="1245BDD6" w14:textId="77777777" w:rsidTr="00D46312">
        <w:tc>
          <w:tcPr>
            <w:tcW w:w="9067" w:type="dxa"/>
            <w:shd w:val="clear" w:color="auto" w:fill="00B050"/>
          </w:tcPr>
          <w:p w14:paraId="2D8995D4" w14:textId="4461DA5A" w:rsidR="009C5A58" w:rsidRPr="00D46312" w:rsidRDefault="009C5A58" w:rsidP="009C5A58">
            <w:pPr>
              <w:spacing w:before="80" w:after="80" w:line="240" w:lineRule="auto"/>
              <w:ind w:left="453" w:firstLine="0"/>
              <w:jc w:val="left"/>
              <w:rPr>
                <w:rFonts w:eastAsia="Calibri" w:cs="Times New Roman"/>
                <w:b/>
                <w:bCs/>
                <w:color w:val="FFFFFF" w:themeColor="background1"/>
                <w:sz w:val="18"/>
                <w:szCs w:val="18"/>
                <w:lang w:bidi="en-US"/>
              </w:rPr>
            </w:pPr>
            <w:r w:rsidRPr="00D46312">
              <w:rPr>
                <w:rFonts w:eastAsia="Calibri" w:cs="Times New Roman"/>
                <w:b/>
                <w:bCs/>
                <w:color w:val="FFFFFF" w:themeColor="background1"/>
                <w:sz w:val="18"/>
                <w:szCs w:val="18"/>
                <w:lang w:bidi="en-US"/>
              </w:rPr>
              <w:t>SZANSE</w:t>
            </w:r>
          </w:p>
        </w:tc>
      </w:tr>
      <w:tr w:rsidR="009C5A58" w:rsidRPr="00A85474" w14:paraId="579C6DB4" w14:textId="77777777" w:rsidTr="009C5A58">
        <w:tc>
          <w:tcPr>
            <w:tcW w:w="9067" w:type="dxa"/>
          </w:tcPr>
          <w:p w14:paraId="66FB277C" w14:textId="368CAB1E" w:rsidR="009C5A58" w:rsidRPr="00A85474" w:rsidRDefault="009C5A58">
            <w:pPr>
              <w:numPr>
                <w:ilvl w:val="0"/>
                <w:numId w:val="11"/>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lang w:bidi="en-US"/>
              </w:rPr>
              <w:t>Adaptacja do zmian klimatu, inwestycje w odnawialne źródła energii i</w:t>
            </w:r>
            <w:r>
              <w:rPr>
                <w:rFonts w:eastAsia="Calibri" w:cs="Times New Roman"/>
                <w:sz w:val="18"/>
                <w:szCs w:val="18"/>
                <w:lang w:bidi="en-US"/>
              </w:rPr>
              <w:t> </w:t>
            </w:r>
            <w:r w:rsidRPr="00A85474">
              <w:rPr>
                <w:rFonts w:eastAsia="Calibri" w:cs="Times New Roman"/>
                <w:sz w:val="18"/>
                <w:szCs w:val="18"/>
                <w:lang w:bidi="en-US"/>
              </w:rPr>
              <w:t xml:space="preserve"> poprawę efektywności energetycznej.</w:t>
            </w:r>
          </w:p>
          <w:p w14:paraId="4C26ABDE" w14:textId="30888CAB" w:rsidR="009C5A58" w:rsidRPr="00A85474" w:rsidRDefault="009C5A58">
            <w:pPr>
              <w:numPr>
                <w:ilvl w:val="0"/>
                <w:numId w:val="11"/>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 xml:space="preserve">Wysoki odsetek obszarów chronionych w powierzchni gminy ogółem (72,4%), co przekłada się na </w:t>
            </w:r>
            <w:r>
              <w:rPr>
                <w:rFonts w:eastAsia="Calibri" w:cs="Times New Roman"/>
                <w:sz w:val="18"/>
                <w:szCs w:val="18"/>
              </w:rPr>
              <w:t xml:space="preserve">dużą </w:t>
            </w:r>
            <w:r w:rsidRPr="00A85474">
              <w:rPr>
                <w:rFonts w:eastAsia="Calibri" w:cs="Times New Roman"/>
                <w:sz w:val="18"/>
                <w:szCs w:val="18"/>
              </w:rPr>
              <w:t xml:space="preserve">atrakcyjność turystyczną. </w:t>
            </w:r>
          </w:p>
          <w:p w14:paraId="029C4C1A" w14:textId="5EC44307" w:rsidR="009C5A58" w:rsidRPr="00A85474" w:rsidRDefault="009C5A58">
            <w:pPr>
              <w:numPr>
                <w:ilvl w:val="0"/>
                <w:numId w:val="11"/>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Duża powierzchnia upraw przemysłowych (115,16ha) świadczy o</w:t>
            </w:r>
            <w:r>
              <w:rPr>
                <w:rFonts w:eastAsia="Calibri" w:cs="Times New Roman"/>
                <w:sz w:val="18"/>
                <w:szCs w:val="18"/>
              </w:rPr>
              <w:t> </w:t>
            </w:r>
            <w:r w:rsidRPr="00A85474">
              <w:rPr>
                <w:rFonts w:eastAsia="Calibri" w:cs="Times New Roman"/>
                <w:sz w:val="18"/>
                <w:szCs w:val="18"/>
              </w:rPr>
              <w:t xml:space="preserve"> potencjale obszaru do rozwoju przetwórstwa przemysłowego w</w:t>
            </w:r>
            <w:r>
              <w:rPr>
                <w:rFonts w:eastAsia="Calibri" w:cs="Times New Roman"/>
                <w:sz w:val="18"/>
                <w:szCs w:val="18"/>
              </w:rPr>
              <w:t> </w:t>
            </w:r>
            <w:r w:rsidRPr="00A85474">
              <w:rPr>
                <w:rFonts w:eastAsia="Calibri" w:cs="Times New Roman"/>
                <w:sz w:val="18"/>
                <w:szCs w:val="18"/>
              </w:rPr>
              <w:t xml:space="preserve"> oparciu o lokalne zasoby surowcowe.</w:t>
            </w:r>
          </w:p>
          <w:p w14:paraId="41203CDD" w14:textId="0189499A" w:rsidR="009C5A58" w:rsidRPr="00A85474" w:rsidRDefault="009C5A58">
            <w:pPr>
              <w:numPr>
                <w:ilvl w:val="0"/>
                <w:numId w:val="11"/>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Bliskie położenie ośrodków turystycznych – Kazimierz Dolny i Nałęczów.</w:t>
            </w:r>
          </w:p>
          <w:p w14:paraId="0CCBC5B4" w14:textId="77777777" w:rsidR="009C5A58" w:rsidRPr="00A85474" w:rsidRDefault="009C5A58">
            <w:pPr>
              <w:numPr>
                <w:ilvl w:val="0"/>
                <w:numId w:val="11"/>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lastRenderedPageBreak/>
              <w:t>Koncepcja marki i strategii działań promocyjnych na podstawie „Strategii rozwoju marki Gminy Opole Lubelskie” oraz księgi znaku wraz z nowym logotypem i hasłem promocyjnym Opola Lubelskiego: „Owocne inwestycje”.</w:t>
            </w:r>
          </w:p>
          <w:p w14:paraId="006C4597" w14:textId="77777777" w:rsidR="009C5A58" w:rsidRPr="00A85474" w:rsidRDefault="009C5A58">
            <w:pPr>
              <w:numPr>
                <w:ilvl w:val="0"/>
                <w:numId w:val="11"/>
              </w:numPr>
              <w:spacing w:before="80" w:after="80" w:line="240" w:lineRule="auto"/>
              <w:ind w:left="453" w:hanging="425"/>
              <w:jc w:val="left"/>
              <w:rPr>
                <w:rFonts w:eastAsia="Calibri" w:cs="Times New Roman"/>
                <w:sz w:val="18"/>
                <w:szCs w:val="18"/>
              </w:rPr>
            </w:pPr>
            <w:r w:rsidRPr="00A85474">
              <w:rPr>
                <w:rFonts w:eastAsia="Calibri" w:cs="Times New Roman"/>
                <w:sz w:val="18"/>
                <w:szCs w:val="18"/>
              </w:rPr>
              <w:t>Wzrost znaczenia gminy dzięki działalności LGD „Owocowy szlak”.</w:t>
            </w:r>
          </w:p>
          <w:p w14:paraId="54B65200" w14:textId="77777777" w:rsidR="009C5A58" w:rsidRPr="00A85474" w:rsidRDefault="009C5A58">
            <w:pPr>
              <w:numPr>
                <w:ilvl w:val="0"/>
                <w:numId w:val="11"/>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lang w:bidi="en-US"/>
              </w:rPr>
              <w:t>Bliskość województw mazowieckiego i świętokrzyskiego jako szansa na współpracę międzyregionalną.</w:t>
            </w:r>
          </w:p>
          <w:p w14:paraId="7174A0EA" w14:textId="77777777" w:rsidR="009C5A58" w:rsidRPr="00A85474" w:rsidRDefault="009C5A58">
            <w:pPr>
              <w:numPr>
                <w:ilvl w:val="0"/>
                <w:numId w:val="11"/>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rPr>
              <w:t>Mniejsza konkurencyjność sąsiednich gmin.</w:t>
            </w:r>
          </w:p>
          <w:p w14:paraId="224E314A" w14:textId="77777777" w:rsidR="009C5A58" w:rsidRPr="00A85474" w:rsidRDefault="009C5A58">
            <w:pPr>
              <w:numPr>
                <w:ilvl w:val="0"/>
                <w:numId w:val="11"/>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rPr>
              <w:t>Bliskie położenie względem Lublina (izochrona 60 minut).</w:t>
            </w:r>
          </w:p>
          <w:p w14:paraId="2CC59629" w14:textId="4EA4EF5F" w:rsidR="009C5A58" w:rsidRPr="00A85474" w:rsidRDefault="009C5A58">
            <w:pPr>
              <w:numPr>
                <w:ilvl w:val="0"/>
                <w:numId w:val="11"/>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rPr>
              <w:t>Dalsza budowa kanalizacji i przydomowych oczyszczalni ścieków na ternie gminy</w:t>
            </w:r>
            <w:r>
              <w:rPr>
                <w:rFonts w:eastAsia="Calibri" w:cs="Times New Roman"/>
                <w:sz w:val="18"/>
                <w:szCs w:val="18"/>
              </w:rPr>
              <w:t xml:space="preserve"> (z wyłączeniem oczyszczalni z drenażem rozsączającym).</w:t>
            </w:r>
          </w:p>
          <w:p w14:paraId="331E782A" w14:textId="5B3B6A29" w:rsidR="009C5A58" w:rsidRPr="00A85474" w:rsidRDefault="009C5A58">
            <w:pPr>
              <w:numPr>
                <w:ilvl w:val="0"/>
                <w:numId w:val="11"/>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rPr>
              <w:t>Pozyskanie środków zewnętrznych na rozwój infrastruktury wodno-kanalizacyjnej</w:t>
            </w:r>
            <w:r>
              <w:rPr>
                <w:rFonts w:eastAsia="Calibri" w:cs="Times New Roman"/>
                <w:sz w:val="18"/>
                <w:szCs w:val="18"/>
              </w:rPr>
              <w:t xml:space="preserve"> i</w:t>
            </w:r>
            <w:r w:rsidRPr="00A85474">
              <w:rPr>
                <w:rFonts w:eastAsia="Calibri" w:cs="Times New Roman"/>
                <w:sz w:val="18"/>
                <w:szCs w:val="18"/>
              </w:rPr>
              <w:t xml:space="preserve"> termomodernizacj</w:t>
            </w:r>
            <w:r>
              <w:rPr>
                <w:rFonts w:eastAsia="Calibri" w:cs="Times New Roman"/>
                <w:sz w:val="18"/>
                <w:szCs w:val="18"/>
              </w:rPr>
              <w:t>ę</w:t>
            </w:r>
            <w:r w:rsidRPr="00A85474">
              <w:rPr>
                <w:rFonts w:eastAsia="Calibri" w:cs="Times New Roman"/>
                <w:sz w:val="18"/>
                <w:szCs w:val="18"/>
              </w:rPr>
              <w:t xml:space="preserve"> obiektów komunalnych.</w:t>
            </w:r>
          </w:p>
          <w:p w14:paraId="32F4B1DC" w14:textId="19F1A538" w:rsidR="009C5A58" w:rsidRPr="00A85474" w:rsidRDefault="009C5A58">
            <w:pPr>
              <w:numPr>
                <w:ilvl w:val="0"/>
                <w:numId w:val="11"/>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rPr>
              <w:t>Podnoszenie poziomu kształcenia</w:t>
            </w:r>
            <w:r>
              <w:rPr>
                <w:rFonts w:eastAsia="Calibri" w:cs="Times New Roman"/>
                <w:sz w:val="18"/>
                <w:szCs w:val="18"/>
              </w:rPr>
              <w:t xml:space="preserve"> i</w:t>
            </w:r>
            <w:r w:rsidRPr="00A85474">
              <w:rPr>
                <w:rFonts w:eastAsia="Calibri" w:cs="Times New Roman"/>
                <w:sz w:val="18"/>
                <w:szCs w:val="18"/>
              </w:rPr>
              <w:t xml:space="preserve"> kwalifikacji zawodowych mieszkańców.</w:t>
            </w:r>
          </w:p>
          <w:p w14:paraId="70580D26" w14:textId="3C031D65" w:rsidR="009C5A58" w:rsidRPr="00A85474" w:rsidRDefault="009C5A58">
            <w:pPr>
              <w:numPr>
                <w:ilvl w:val="0"/>
                <w:numId w:val="11"/>
              </w:numPr>
              <w:spacing w:before="80" w:after="80" w:line="240" w:lineRule="auto"/>
              <w:ind w:left="453" w:hanging="425"/>
              <w:jc w:val="left"/>
              <w:rPr>
                <w:rFonts w:eastAsia="Calibri" w:cs="Times New Roman"/>
                <w:sz w:val="18"/>
                <w:szCs w:val="18"/>
                <w:lang w:bidi="en-US"/>
              </w:rPr>
            </w:pPr>
            <w:r>
              <w:rPr>
                <w:rFonts w:eastAsia="Calibri" w:cs="Times New Roman"/>
                <w:sz w:val="18"/>
                <w:szCs w:val="18"/>
              </w:rPr>
              <w:t>Podniesienie jakości</w:t>
            </w:r>
            <w:r w:rsidRPr="00A85474">
              <w:rPr>
                <w:rFonts w:eastAsia="Calibri" w:cs="Times New Roman"/>
                <w:sz w:val="18"/>
                <w:szCs w:val="18"/>
              </w:rPr>
              <w:t xml:space="preserve"> ofert</w:t>
            </w:r>
            <w:r>
              <w:rPr>
                <w:rFonts w:eastAsia="Calibri" w:cs="Times New Roman"/>
                <w:sz w:val="18"/>
                <w:szCs w:val="18"/>
              </w:rPr>
              <w:t>y</w:t>
            </w:r>
            <w:r w:rsidRPr="00A85474">
              <w:rPr>
                <w:rFonts w:eastAsia="Calibri" w:cs="Times New Roman"/>
                <w:sz w:val="18"/>
                <w:szCs w:val="18"/>
              </w:rPr>
              <w:t xml:space="preserve"> kulturaln</w:t>
            </w:r>
            <w:r>
              <w:rPr>
                <w:rFonts w:eastAsia="Calibri" w:cs="Times New Roman"/>
                <w:sz w:val="18"/>
                <w:szCs w:val="18"/>
              </w:rPr>
              <w:t>ej</w:t>
            </w:r>
            <w:r w:rsidRPr="00A85474">
              <w:rPr>
                <w:rFonts w:eastAsia="Calibri" w:cs="Times New Roman"/>
                <w:sz w:val="18"/>
                <w:szCs w:val="18"/>
              </w:rPr>
              <w:t>.</w:t>
            </w:r>
          </w:p>
          <w:p w14:paraId="7CFD6EE6" w14:textId="0CC218BE" w:rsidR="009C5A58" w:rsidRPr="00A85474" w:rsidRDefault="009C5A58">
            <w:pPr>
              <w:numPr>
                <w:ilvl w:val="0"/>
                <w:numId w:val="11"/>
              </w:numPr>
              <w:spacing w:before="80" w:after="80" w:line="240" w:lineRule="auto"/>
              <w:ind w:left="453" w:hanging="425"/>
              <w:jc w:val="left"/>
              <w:rPr>
                <w:rFonts w:eastAsia="Calibri" w:cs="Times New Roman"/>
                <w:sz w:val="18"/>
                <w:szCs w:val="18"/>
                <w:lang w:bidi="en-US"/>
              </w:rPr>
            </w:pPr>
            <w:r>
              <w:rPr>
                <w:rFonts w:eastAsia="Calibri" w:cs="Times New Roman"/>
                <w:sz w:val="18"/>
                <w:szCs w:val="18"/>
              </w:rPr>
              <w:t>Duża a</w:t>
            </w:r>
            <w:r w:rsidRPr="00A85474">
              <w:rPr>
                <w:rFonts w:eastAsia="Calibri" w:cs="Times New Roman"/>
                <w:sz w:val="18"/>
                <w:szCs w:val="18"/>
              </w:rPr>
              <w:t>ktywność kulturalna mieszkańców przejawiająca się m.in. dużą liczbą uczestników wydarzeń.</w:t>
            </w:r>
          </w:p>
          <w:p w14:paraId="219476C0" w14:textId="16928746" w:rsidR="009C5A58" w:rsidRPr="00A85474" w:rsidRDefault="009C5A58">
            <w:pPr>
              <w:numPr>
                <w:ilvl w:val="0"/>
                <w:numId w:val="11"/>
              </w:numPr>
              <w:spacing w:before="80" w:after="80" w:line="240" w:lineRule="auto"/>
              <w:ind w:left="453" w:hanging="425"/>
              <w:jc w:val="left"/>
              <w:rPr>
                <w:rFonts w:eastAsia="Calibri" w:cs="Times New Roman"/>
                <w:sz w:val="18"/>
                <w:szCs w:val="18"/>
                <w:lang w:bidi="en-US"/>
              </w:rPr>
            </w:pPr>
            <w:r w:rsidRPr="00A85474">
              <w:rPr>
                <w:rFonts w:eastAsia="Calibri" w:cs="Times New Roman"/>
                <w:sz w:val="18"/>
                <w:szCs w:val="18"/>
              </w:rPr>
              <w:t xml:space="preserve">Możliwość korzystania ze środków Unii Europejskiej oraz programów </w:t>
            </w:r>
            <w:r>
              <w:rPr>
                <w:rFonts w:eastAsia="Calibri" w:cs="Times New Roman"/>
                <w:sz w:val="18"/>
                <w:szCs w:val="18"/>
              </w:rPr>
              <w:t>krajowych</w:t>
            </w:r>
            <w:r w:rsidRPr="00A85474">
              <w:rPr>
                <w:rFonts w:eastAsia="Calibri" w:cs="Times New Roman"/>
                <w:sz w:val="18"/>
                <w:szCs w:val="18"/>
              </w:rPr>
              <w:t xml:space="preserve"> i wojewódzkich.</w:t>
            </w:r>
          </w:p>
        </w:tc>
      </w:tr>
    </w:tbl>
    <w:p w14:paraId="272976F2" w14:textId="77777777" w:rsidR="00A85474" w:rsidRPr="00466623" w:rsidRDefault="00A85474" w:rsidP="00A85474">
      <w:pPr>
        <w:spacing w:after="0"/>
        <w:rPr>
          <w:rFonts w:eastAsia="Calibri" w:cs="Times New Roman"/>
          <w:szCs w:val="20"/>
          <w:lang w:bidi="en-US"/>
        </w:rPr>
      </w:pPr>
    </w:p>
    <w:tbl>
      <w:tblPr>
        <w:tblStyle w:val="Tabela-Siatka1"/>
        <w:tblW w:w="9067" w:type="dxa"/>
        <w:tblBorders>
          <w:insideH w:val="none" w:sz="0" w:space="0" w:color="auto"/>
          <w:insideV w:val="none" w:sz="0" w:space="0" w:color="auto"/>
        </w:tblBorders>
        <w:tblLook w:val="04A0" w:firstRow="1" w:lastRow="0" w:firstColumn="1" w:lastColumn="0" w:noHBand="0" w:noVBand="1"/>
      </w:tblPr>
      <w:tblGrid>
        <w:gridCol w:w="9067"/>
      </w:tblGrid>
      <w:tr w:rsidR="00D46312" w:rsidRPr="00D46312" w14:paraId="3D2A23EC" w14:textId="77777777" w:rsidTr="00D46312">
        <w:trPr>
          <w:trHeight w:val="268"/>
        </w:trPr>
        <w:tc>
          <w:tcPr>
            <w:tcW w:w="9067" w:type="dxa"/>
            <w:shd w:val="clear" w:color="auto" w:fill="C00000"/>
          </w:tcPr>
          <w:p w14:paraId="46A4D91E" w14:textId="6131A499" w:rsidR="009C5A58" w:rsidRPr="00D46312" w:rsidRDefault="009C5A58" w:rsidP="009C5A58">
            <w:pPr>
              <w:spacing w:before="80" w:after="80" w:line="240" w:lineRule="auto"/>
              <w:ind w:left="323" w:firstLine="0"/>
              <w:jc w:val="left"/>
              <w:rPr>
                <w:rFonts w:eastAsia="Calibri" w:cs="Times New Roman"/>
                <w:b/>
                <w:bCs/>
                <w:color w:val="FFFFFF" w:themeColor="background1"/>
                <w:sz w:val="18"/>
                <w:szCs w:val="18"/>
              </w:rPr>
            </w:pPr>
            <w:r w:rsidRPr="00D46312">
              <w:rPr>
                <w:rFonts w:eastAsia="Calibri" w:cs="Times New Roman"/>
                <w:b/>
                <w:bCs/>
                <w:color w:val="FFFFFF" w:themeColor="background1"/>
                <w:sz w:val="18"/>
                <w:szCs w:val="18"/>
              </w:rPr>
              <w:t>ZAGROŻENIA</w:t>
            </w:r>
          </w:p>
        </w:tc>
      </w:tr>
      <w:tr w:rsidR="009C5A58" w:rsidRPr="00A85474" w14:paraId="759F63F6" w14:textId="77777777" w:rsidTr="009C5A58">
        <w:trPr>
          <w:trHeight w:val="1833"/>
        </w:trPr>
        <w:tc>
          <w:tcPr>
            <w:tcW w:w="9067" w:type="dxa"/>
          </w:tcPr>
          <w:p w14:paraId="141367EB" w14:textId="77777777" w:rsidR="009C5A58" w:rsidRPr="00A85474" w:rsidRDefault="009C5A58">
            <w:pPr>
              <w:numPr>
                <w:ilvl w:val="0"/>
                <w:numId w:val="12"/>
              </w:numPr>
              <w:spacing w:before="80" w:after="80" w:line="240" w:lineRule="auto"/>
              <w:ind w:left="323" w:hanging="323"/>
              <w:jc w:val="left"/>
              <w:rPr>
                <w:rFonts w:eastAsia="Calibri" w:cs="Times New Roman"/>
                <w:sz w:val="18"/>
                <w:szCs w:val="18"/>
              </w:rPr>
            </w:pPr>
            <w:r w:rsidRPr="00A85474">
              <w:rPr>
                <w:rFonts w:eastAsia="Calibri" w:cs="Times New Roman"/>
                <w:sz w:val="18"/>
                <w:szCs w:val="18"/>
              </w:rPr>
              <w:t>Zmiany klimatyczne (m.in. zagrożenie suszami) - spadek efektywności produkcji rolniczej oraz postępujące zagrożenie dla cennych walorów środowiska przyrodniczego.</w:t>
            </w:r>
          </w:p>
          <w:p w14:paraId="4786553F" w14:textId="494190DC" w:rsidR="009C5A58" w:rsidRPr="00A85474" w:rsidRDefault="009C5A58">
            <w:pPr>
              <w:numPr>
                <w:ilvl w:val="0"/>
                <w:numId w:val="12"/>
              </w:numPr>
              <w:spacing w:before="80" w:after="80" w:line="240" w:lineRule="auto"/>
              <w:ind w:left="323" w:hanging="323"/>
              <w:jc w:val="left"/>
              <w:rPr>
                <w:rFonts w:eastAsia="Calibri" w:cs="Times New Roman"/>
                <w:sz w:val="18"/>
                <w:szCs w:val="18"/>
              </w:rPr>
            </w:pPr>
            <w:r w:rsidRPr="00A85474">
              <w:rPr>
                <w:rFonts w:eastAsia="Calibri" w:cs="Times New Roman"/>
                <w:sz w:val="18"/>
                <w:szCs w:val="18"/>
              </w:rPr>
              <w:t>Zjawisko suburbanizacji, związane z osiedlaniem się mieszkańców miasta na terenach podmiejskich</w:t>
            </w:r>
            <w:r>
              <w:rPr>
                <w:rFonts w:eastAsia="Calibri" w:cs="Times New Roman"/>
                <w:sz w:val="18"/>
                <w:szCs w:val="18"/>
              </w:rPr>
              <w:t>.</w:t>
            </w:r>
          </w:p>
          <w:p w14:paraId="0781388B" w14:textId="77777777" w:rsidR="009C5A58" w:rsidRPr="00A85474" w:rsidRDefault="009C5A58">
            <w:pPr>
              <w:numPr>
                <w:ilvl w:val="0"/>
                <w:numId w:val="12"/>
              </w:numPr>
              <w:spacing w:before="80" w:after="80" w:line="240" w:lineRule="auto"/>
              <w:ind w:left="323" w:hanging="323"/>
              <w:jc w:val="left"/>
              <w:rPr>
                <w:rFonts w:eastAsia="Calibri" w:cs="Times New Roman"/>
                <w:sz w:val="18"/>
                <w:szCs w:val="18"/>
              </w:rPr>
            </w:pPr>
            <w:r w:rsidRPr="00A85474">
              <w:rPr>
                <w:rFonts w:eastAsia="Calibri" w:cs="Times New Roman"/>
                <w:sz w:val="18"/>
                <w:szCs w:val="18"/>
              </w:rPr>
              <w:t>Obciążenie osób pracujących kosztami utrzymania systemów zabezpieczenia społecznego.</w:t>
            </w:r>
          </w:p>
          <w:p w14:paraId="0362DA22" w14:textId="1ADFB8B7" w:rsidR="009C5A58" w:rsidRPr="00A85474" w:rsidRDefault="009C5A58">
            <w:pPr>
              <w:numPr>
                <w:ilvl w:val="0"/>
                <w:numId w:val="12"/>
              </w:numPr>
              <w:spacing w:before="80" w:after="80" w:line="240" w:lineRule="auto"/>
              <w:ind w:left="323" w:hanging="323"/>
              <w:jc w:val="left"/>
              <w:rPr>
                <w:rFonts w:eastAsia="Calibri" w:cs="Times New Roman"/>
                <w:sz w:val="18"/>
                <w:szCs w:val="18"/>
              </w:rPr>
            </w:pPr>
            <w:r w:rsidRPr="00A85474">
              <w:rPr>
                <w:rFonts w:eastAsia="Calibri" w:cs="Times New Roman"/>
                <w:sz w:val="18"/>
                <w:szCs w:val="18"/>
              </w:rPr>
              <w:t xml:space="preserve">Nieuregulowana i obarczona ryzykiem </w:t>
            </w:r>
            <w:r>
              <w:rPr>
                <w:rFonts w:eastAsia="Calibri" w:cs="Times New Roman"/>
                <w:sz w:val="18"/>
                <w:szCs w:val="18"/>
              </w:rPr>
              <w:t xml:space="preserve">środowiskowym i </w:t>
            </w:r>
            <w:r w:rsidRPr="00A85474">
              <w:rPr>
                <w:rFonts w:eastAsia="Calibri" w:cs="Times New Roman"/>
                <w:sz w:val="18"/>
                <w:szCs w:val="18"/>
              </w:rPr>
              <w:t>organizacyjnym gospodarka ściekowa.</w:t>
            </w:r>
          </w:p>
          <w:p w14:paraId="0256EF38" w14:textId="77777777" w:rsidR="009C5A58" w:rsidRPr="00A85474" w:rsidRDefault="009C5A58">
            <w:pPr>
              <w:numPr>
                <w:ilvl w:val="0"/>
                <w:numId w:val="12"/>
              </w:numPr>
              <w:spacing w:before="80" w:after="80" w:line="240" w:lineRule="auto"/>
              <w:ind w:left="323" w:hanging="323"/>
              <w:jc w:val="left"/>
              <w:rPr>
                <w:rFonts w:eastAsia="Calibri" w:cs="Times New Roman"/>
                <w:sz w:val="18"/>
                <w:szCs w:val="18"/>
              </w:rPr>
            </w:pPr>
            <w:r w:rsidRPr="00A85474">
              <w:rPr>
                <w:rFonts w:eastAsia="Calibri" w:cs="Times New Roman"/>
                <w:sz w:val="18"/>
                <w:szCs w:val="18"/>
              </w:rPr>
              <w:t>Obserwowany w ostatnich latach spadek udzielonych porad lekarskich, liczby beneficjentów środowiskowej pomocy społecznej czy liczby pobieranych zasiłków rodzinnych jest z jednej strony pozytywnym kierunkiem zmian, jednak w dużej mierze może być konsekwencją zmniejszającej się populacji mieszkańców Gminy Opole Lubelskie.</w:t>
            </w:r>
          </w:p>
          <w:p w14:paraId="5C23F8E8" w14:textId="2E3ACC2A" w:rsidR="009C5A58" w:rsidRPr="00A85474" w:rsidRDefault="009C5A58">
            <w:pPr>
              <w:numPr>
                <w:ilvl w:val="0"/>
                <w:numId w:val="12"/>
              </w:numPr>
              <w:spacing w:before="80" w:after="80" w:line="240" w:lineRule="auto"/>
              <w:ind w:left="323" w:hanging="323"/>
              <w:jc w:val="left"/>
              <w:rPr>
                <w:rFonts w:eastAsia="Calibri" w:cs="Times New Roman"/>
                <w:sz w:val="18"/>
                <w:szCs w:val="18"/>
              </w:rPr>
            </w:pPr>
            <w:r w:rsidRPr="00A85474">
              <w:rPr>
                <w:rFonts w:eastAsia="Calibri" w:cs="Times New Roman"/>
                <w:sz w:val="18"/>
                <w:szCs w:val="18"/>
              </w:rPr>
              <w:t xml:space="preserve">Pogorszenie sytuacji finansowej gminy, ograniczające zdolność do inwestowania w </w:t>
            </w:r>
            <w:r>
              <w:rPr>
                <w:rFonts w:eastAsia="Calibri" w:cs="Times New Roman"/>
                <w:sz w:val="18"/>
                <w:szCs w:val="18"/>
              </w:rPr>
              <w:t>przedsięwzięcia prorozwojowe.</w:t>
            </w:r>
          </w:p>
          <w:p w14:paraId="7AC8D033" w14:textId="77777777" w:rsidR="009C5A58" w:rsidRPr="00A85474" w:rsidRDefault="009C5A58">
            <w:pPr>
              <w:numPr>
                <w:ilvl w:val="0"/>
                <w:numId w:val="12"/>
              </w:numPr>
              <w:spacing w:before="80" w:after="80" w:line="240" w:lineRule="auto"/>
              <w:ind w:left="323" w:hanging="323"/>
              <w:jc w:val="left"/>
              <w:rPr>
                <w:rFonts w:eastAsia="Calibri" w:cs="Times New Roman"/>
                <w:sz w:val="18"/>
                <w:szCs w:val="18"/>
              </w:rPr>
            </w:pPr>
            <w:r w:rsidRPr="00A85474">
              <w:rPr>
                <w:rFonts w:eastAsia="Calibri" w:cs="Times New Roman"/>
                <w:sz w:val="18"/>
                <w:szCs w:val="18"/>
              </w:rPr>
              <w:t>Zmiany forma uczestnictwa w kulturze z pasywnej na bardziej aktywną (spadek czytelnictwa).</w:t>
            </w:r>
          </w:p>
          <w:p w14:paraId="04E8401F" w14:textId="77777777" w:rsidR="009C5A58" w:rsidRPr="00A85474" w:rsidRDefault="009C5A58">
            <w:pPr>
              <w:numPr>
                <w:ilvl w:val="0"/>
                <w:numId w:val="12"/>
              </w:numPr>
              <w:spacing w:before="80" w:after="80" w:line="240" w:lineRule="auto"/>
              <w:ind w:left="323" w:hanging="323"/>
              <w:jc w:val="left"/>
              <w:rPr>
                <w:rFonts w:eastAsia="Calibri" w:cs="Times New Roman"/>
                <w:sz w:val="18"/>
                <w:szCs w:val="18"/>
              </w:rPr>
            </w:pPr>
            <w:r w:rsidRPr="00A85474">
              <w:rPr>
                <w:rFonts w:eastAsia="Calibri" w:cs="Times New Roman"/>
                <w:sz w:val="18"/>
                <w:szCs w:val="18"/>
              </w:rPr>
              <w:t>Trudne do przewidzenia skutki społeczne i ekonomiczne globalnego kryzysu gospodarczego, zmian klimatycznych oraz uwarunkowań wynikających z wojny w Ukrainie i pandemii COVID-19.</w:t>
            </w:r>
          </w:p>
          <w:p w14:paraId="5CF0A805" w14:textId="4AB190EC" w:rsidR="009C5A58" w:rsidRPr="00A85474" w:rsidRDefault="009C5A58">
            <w:pPr>
              <w:numPr>
                <w:ilvl w:val="0"/>
                <w:numId w:val="12"/>
              </w:numPr>
              <w:spacing w:before="80" w:after="80" w:line="240" w:lineRule="auto"/>
              <w:ind w:left="323" w:hanging="323"/>
              <w:jc w:val="left"/>
              <w:rPr>
                <w:rFonts w:eastAsia="Calibri" w:cs="Times New Roman"/>
                <w:sz w:val="18"/>
                <w:szCs w:val="18"/>
              </w:rPr>
            </w:pPr>
            <w:r w:rsidRPr="00A85474">
              <w:rPr>
                <w:rFonts w:eastAsia="Calibri" w:cs="Times New Roman"/>
                <w:sz w:val="18"/>
                <w:szCs w:val="18"/>
              </w:rPr>
              <w:t>Zmiana systemu finansowania inw</w:t>
            </w:r>
            <w:r>
              <w:rPr>
                <w:rFonts w:eastAsia="Calibri" w:cs="Times New Roman"/>
                <w:sz w:val="18"/>
                <w:szCs w:val="18"/>
              </w:rPr>
              <w:t xml:space="preserve"> </w:t>
            </w:r>
            <w:r w:rsidRPr="00A85474">
              <w:rPr>
                <w:rFonts w:eastAsia="Calibri" w:cs="Times New Roman"/>
                <w:sz w:val="18"/>
                <w:szCs w:val="18"/>
              </w:rPr>
              <w:t>estycji w ramach polityki spójności UE 2021 – 2027 (nacisk na instrumenty zwrotne).</w:t>
            </w:r>
          </w:p>
          <w:p w14:paraId="176AC1F4" w14:textId="77777777" w:rsidR="009C5A58" w:rsidRPr="00A85474" w:rsidRDefault="009C5A58">
            <w:pPr>
              <w:numPr>
                <w:ilvl w:val="0"/>
                <w:numId w:val="12"/>
              </w:numPr>
              <w:spacing w:before="80" w:after="80" w:line="240" w:lineRule="auto"/>
              <w:ind w:left="323" w:hanging="323"/>
              <w:jc w:val="left"/>
              <w:rPr>
                <w:rFonts w:eastAsia="Calibri" w:cs="Times New Roman"/>
                <w:sz w:val="18"/>
                <w:szCs w:val="18"/>
              </w:rPr>
            </w:pPr>
            <w:r w:rsidRPr="00A85474">
              <w:rPr>
                <w:rFonts w:eastAsia="Calibri" w:cs="Times New Roman"/>
                <w:sz w:val="18"/>
                <w:szCs w:val="18"/>
              </w:rPr>
              <w:t>Rosnąca ilość programów i form wsparcia UE nieuwzględniających specyfiki i potrzeb obszaru, nadmierna biurokracja.</w:t>
            </w:r>
          </w:p>
        </w:tc>
      </w:tr>
    </w:tbl>
    <w:p w14:paraId="4C57ABAE" w14:textId="71FC7BA8" w:rsidR="00B34285" w:rsidRDefault="00B34285" w:rsidP="00B34285">
      <w:pPr>
        <w:spacing w:after="160" w:line="259" w:lineRule="auto"/>
        <w:jc w:val="left"/>
        <w:rPr>
          <w:lang w:bidi="en-US"/>
        </w:rPr>
      </w:pPr>
    </w:p>
    <w:p w14:paraId="61F54866" w14:textId="77777777" w:rsidR="009C5A58" w:rsidRDefault="009C5A58" w:rsidP="00B34285">
      <w:pPr>
        <w:spacing w:after="160" w:line="259" w:lineRule="auto"/>
        <w:jc w:val="left"/>
        <w:rPr>
          <w:lang w:bidi="en-US"/>
        </w:rPr>
      </w:pPr>
    </w:p>
    <w:p w14:paraId="5AE03177" w14:textId="77777777" w:rsidR="009C5A58" w:rsidRDefault="009C5A58" w:rsidP="00B34285">
      <w:pPr>
        <w:spacing w:after="160" w:line="259" w:lineRule="auto"/>
        <w:jc w:val="left"/>
        <w:rPr>
          <w:lang w:bidi="en-US"/>
        </w:rPr>
      </w:pPr>
    </w:p>
    <w:p w14:paraId="2367DFBA" w14:textId="77777777" w:rsidR="009C5A58" w:rsidRDefault="009C5A58" w:rsidP="00B34285">
      <w:pPr>
        <w:spacing w:after="160" w:line="259" w:lineRule="auto"/>
        <w:jc w:val="left"/>
        <w:rPr>
          <w:lang w:bidi="en-US"/>
        </w:rPr>
      </w:pPr>
    </w:p>
    <w:p w14:paraId="72517E19" w14:textId="77777777" w:rsidR="009C5A58" w:rsidRDefault="009C5A58" w:rsidP="00B34285">
      <w:pPr>
        <w:spacing w:after="160" w:line="259" w:lineRule="auto"/>
        <w:jc w:val="left"/>
        <w:rPr>
          <w:lang w:bidi="en-US"/>
        </w:rPr>
      </w:pPr>
    </w:p>
    <w:p w14:paraId="25F7FA22" w14:textId="77777777" w:rsidR="009C5A58" w:rsidRDefault="009C5A58" w:rsidP="00B34285">
      <w:pPr>
        <w:spacing w:after="160" w:line="259" w:lineRule="auto"/>
        <w:jc w:val="left"/>
        <w:rPr>
          <w:lang w:bidi="en-US"/>
        </w:rPr>
      </w:pPr>
    </w:p>
    <w:p w14:paraId="539C7CCF" w14:textId="77777777" w:rsidR="009C5A58" w:rsidRDefault="009C5A58" w:rsidP="00B34285">
      <w:pPr>
        <w:spacing w:after="160" w:line="259" w:lineRule="auto"/>
        <w:jc w:val="left"/>
        <w:rPr>
          <w:lang w:bidi="en-US"/>
        </w:rPr>
      </w:pPr>
    </w:p>
    <w:p w14:paraId="02762C25" w14:textId="77777777" w:rsidR="009C5A58" w:rsidRDefault="009C5A58" w:rsidP="00B34285">
      <w:pPr>
        <w:spacing w:after="160" w:line="259" w:lineRule="auto"/>
        <w:jc w:val="left"/>
        <w:rPr>
          <w:lang w:bidi="en-US"/>
        </w:rPr>
      </w:pPr>
    </w:p>
    <w:p w14:paraId="7588AF00" w14:textId="7C1D3FD2" w:rsidR="00261698" w:rsidRDefault="00261698" w:rsidP="00FC15E9">
      <w:pPr>
        <w:pStyle w:val="Nagwek1"/>
        <w:rPr>
          <w:lang w:bidi="en-US"/>
        </w:rPr>
      </w:pPr>
      <w:bookmarkStart w:id="189" w:name="_Toc191908796"/>
      <w:r>
        <w:rPr>
          <w:lang w:bidi="en-US"/>
        </w:rPr>
        <w:lastRenderedPageBreak/>
        <w:t>6. Misja i wizja Gminy Opole Lubelskie</w:t>
      </w:r>
      <w:bookmarkEnd w:id="189"/>
    </w:p>
    <w:p w14:paraId="0BCC7971" w14:textId="24123021" w:rsidR="00DC11F7" w:rsidRDefault="00DC11F7" w:rsidP="00DC11F7">
      <w:r>
        <w:rPr>
          <w:lang w:bidi="en-US"/>
        </w:rPr>
        <w:t xml:space="preserve">Idea rozwoju </w:t>
      </w:r>
      <w:r w:rsidR="00A261A6">
        <w:rPr>
          <w:lang w:bidi="en-US"/>
        </w:rPr>
        <w:t xml:space="preserve">gminy </w:t>
      </w:r>
      <w:r>
        <w:rPr>
          <w:lang w:bidi="en-US"/>
        </w:rPr>
        <w:t xml:space="preserve">określająca ogólny kierunek działań to inaczej misja, jaką powinien kierować się samorząd lokalny. </w:t>
      </w:r>
      <w:r>
        <w:t xml:space="preserve">Jest indywidualnym, generalnym planem ukształtowania mocnej pozycji jednostki samorządu terytorialnego wśród innych jednostek. Misja określa też rolę władz samorządowych w procesie rozwoju wspólnoty lokalnej, w którym pełnią one rolę inicjatora przedsięwzięć rozwojowych podejmowanych przez podmioty publiczne, organizacje społeczne i przedsiębiorców. Misja w Strategii jest elementem, który wskazuje drogę rozwoju i motywuje do działania. Jednocześnie integruje różne aspekty rozwoju </w:t>
      </w:r>
      <w:r w:rsidR="00A261A6">
        <w:t>gminy</w:t>
      </w:r>
      <w:r>
        <w:t xml:space="preserve"> wokół wspólnej dla mieszkańców idei.</w:t>
      </w:r>
    </w:p>
    <w:p w14:paraId="01022348" w14:textId="77777777" w:rsidR="009C5A58" w:rsidRDefault="009C5A58" w:rsidP="00810F44">
      <w:pPr>
        <w:pBdr>
          <w:top w:val="single" w:sz="18" w:space="1" w:color="C45911" w:themeColor="accent2" w:themeShade="BF"/>
        </w:pBdr>
      </w:pPr>
    </w:p>
    <w:p w14:paraId="3E5B8A44" w14:textId="4911D115" w:rsidR="00DC11F7" w:rsidRDefault="00A261A6" w:rsidP="00DC11F7">
      <w:r w:rsidRPr="009C5A58">
        <w:rPr>
          <w:b/>
          <w:bCs/>
          <w:color w:val="C45911" w:themeColor="accent2" w:themeShade="BF"/>
          <w:lang w:bidi="en-US"/>
        </w:rPr>
        <w:t>M</w:t>
      </w:r>
      <w:r w:rsidR="00810F44">
        <w:rPr>
          <w:b/>
          <w:bCs/>
          <w:color w:val="C45911" w:themeColor="accent2" w:themeShade="BF"/>
          <w:lang w:bidi="en-US"/>
        </w:rPr>
        <w:t>ISJA</w:t>
      </w:r>
      <w:r>
        <w:rPr>
          <w:lang w:bidi="en-US"/>
        </w:rPr>
        <w:t xml:space="preserve"> </w:t>
      </w:r>
      <w:r w:rsidR="00810F44">
        <w:rPr>
          <w:lang w:bidi="en-US"/>
        </w:rPr>
        <w:t>w</w:t>
      </w:r>
      <w:r w:rsidR="00DC11F7">
        <w:rPr>
          <w:lang w:bidi="en-US"/>
        </w:rPr>
        <w:t xml:space="preserve">skazuje naczelny cel polityki rozwoju gminy Opole Lubelskie, wokół którego powinny koncentrować się działania władz samorządowych i wszystkich zaangażowanych partnerów. </w:t>
      </w:r>
      <w:r w:rsidR="00DC11F7">
        <w:t>Rolą misji jest określenie kierunku działania</w:t>
      </w:r>
      <w:r w:rsidR="005F0833">
        <w:t>,</w:t>
      </w:r>
      <w:r w:rsidR="00DC11F7">
        <w:t xml:space="preserve"> poprzez zdefiniowanie jego granic, w których zawarto wybory strategiczne i </w:t>
      </w:r>
      <w:r w:rsidR="005F0833">
        <w:t xml:space="preserve">przedsięwzięcia, </w:t>
      </w:r>
      <w:r w:rsidR="00DC11F7">
        <w:t>przekazanie wszystkim zainteresowanym komunikatu o zakresie i sposobie działania oraz motywowanie do wspólne</w:t>
      </w:r>
      <w:r w:rsidR="005F0833">
        <w:t>j</w:t>
      </w:r>
      <w:r w:rsidR="00DC11F7">
        <w:t xml:space="preserve"> </w:t>
      </w:r>
      <w:r w:rsidR="005F0833">
        <w:t>aktywności</w:t>
      </w:r>
      <w:r w:rsidR="00DC11F7">
        <w:t xml:space="preserve">. </w:t>
      </w:r>
      <w:r w:rsidR="00DC11F7">
        <w:rPr>
          <w:lang w:bidi="en-US"/>
        </w:rPr>
        <w:t xml:space="preserve"> </w:t>
      </w:r>
    </w:p>
    <w:p w14:paraId="58D41E9B" w14:textId="53E47CE1" w:rsidR="00DC11F7" w:rsidRPr="009C5A58" w:rsidRDefault="009C5A58" w:rsidP="00810F44">
      <w:pPr>
        <w:spacing w:before="120" w:line="360" w:lineRule="auto"/>
        <w:jc w:val="center"/>
        <w:rPr>
          <w:color w:val="C45911" w:themeColor="accent2" w:themeShade="BF"/>
          <w:lang w:bidi="en-US"/>
        </w:rPr>
      </w:pPr>
      <w:r w:rsidRPr="009C5A58">
        <w:rPr>
          <w:color w:val="C45911" w:themeColor="accent2" w:themeShade="BF"/>
          <w:lang w:bidi="en-US"/>
        </w:rPr>
        <w:t>Misją Gminy Opole Lubelskie jest prowadzenie konsekwentnej polityki rozwoju, obejmującej inwestycje w infrastrukturę społeczną, gospodarczą i techniczną, w celu stworzenia dobrych warunków do zaspokajania potrzeb mieszkańców. Gmina stwarza warunki do budowania potencjału społeczno-gospodarczego, dbając przy tym o zrównoważoną przestrzeń i</w:t>
      </w:r>
      <w:r w:rsidR="00EA4CDF">
        <w:rPr>
          <w:color w:val="C45911" w:themeColor="accent2" w:themeShade="BF"/>
          <w:lang w:bidi="en-US"/>
        </w:rPr>
        <w:t> </w:t>
      </w:r>
      <w:r w:rsidRPr="009C5A58">
        <w:rPr>
          <w:color w:val="C45911" w:themeColor="accent2" w:themeShade="BF"/>
          <w:lang w:bidi="en-US"/>
        </w:rPr>
        <w:t>środowisko naturalne.</w:t>
      </w:r>
    </w:p>
    <w:p w14:paraId="1994FA7E" w14:textId="77777777" w:rsidR="009F4F9A" w:rsidRDefault="009F4F9A" w:rsidP="00810F44">
      <w:pPr>
        <w:pBdr>
          <w:top w:val="single" w:sz="18" w:space="1" w:color="C45911" w:themeColor="accent2" w:themeShade="BF"/>
        </w:pBdr>
        <w:rPr>
          <w:lang w:bidi="en-US"/>
        </w:rPr>
      </w:pPr>
    </w:p>
    <w:p w14:paraId="416DEEEF" w14:textId="7454F78D" w:rsidR="009F4F9A" w:rsidRDefault="00810F44" w:rsidP="009C5A58">
      <w:pPr>
        <w:rPr>
          <w:lang w:bidi="en-US"/>
        </w:rPr>
      </w:pPr>
      <w:r>
        <w:rPr>
          <w:b/>
          <w:bCs/>
          <w:color w:val="C45911" w:themeColor="accent2" w:themeShade="BF"/>
          <w:lang w:bidi="en-US"/>
        </w:rPr>
        <w:t>WIZJA</w:t>
      </w:r>
      <w:r w:rsidR="009F4F9A" w:rsidRPr="009C5A58">
        <w:rPr>
          <w:b/>
          <w:bCs/>
          <w:color w:val="C45911" w:themeColor="accent2" w:themeShade="BF"/>
          <w:lang w:bidi="en-US"/>
        </w:rPr>
        <w:t xml:space="preserve"> </w:t>
      </w:r>
      <w:r w:rsidR="009F4F9A">
        <w:rPr>
          <w:lang w:bidi="en-US"/>
        </w:rPr>
        <w:t xml:space="preserve">Gminy Opole Lubelskie ma na celu przedstawienie jej </w:t>
      </w:r>
      <w:r w:rsidR="00C32743">
        <w:rPr>
          <w:lang w:bidi="en-US"/>
        </w:rPr>
        <w:t>stanu w perspektywie roku 2030 z</w:t>
      </w:r>
      <w:r w:rsidR="005D222C">
        <w:rPr>
          <w:lang w:bidi="en-US"/>
        </w:rPr>
        <w:t> </w:t>
      </w:r>
      <w:r w:rsidR="00C32743">
        <w:rPr>
          <w:lang w:bidi="en-US"/>
        </w:rPr>
        <w:t xml:space="preserve">uwzględnieniem rezultatów działań zawartych w Strategii. Określony jest w niej stan Gminy do którego dąży jej wspólnota, wykorzystując swoje mocne strony i szanse płynące z otoczenia. Wizja </w:t>
      </w:r>
      <w:r w:rsidR="00DC11F7">
        <w:rPr>
          <w:lang w:bidi="en-US"/>
        </w:rPr>
        <w:t>ukierunkowana jest perspektywicznie</w:t>
      </w:r>
      <w:r w:rsidR="00B711D3">
        <w:rPr>
          <w:lang w:bidi="en-US"/>
        </w:rPr>
        <w:t xml:space="preserve">, </w:t>
      </w:r>
      <w:r w:rsidR="00C32743">
        <w:rPr>
          <w:lang w:bidi="en-US"/>
        </w:rPr>
        <w:t>pokazuje kierunek podejmowanych działań</w:t>
      </w:r>
      <w:r w:rsidR="00B711D3">
        <w:rPr>
          <w:lang w:bidi="en-US"/>
        </w:rPr>
        <w:t xml:space="preserve"> i</w:t>
      </w:r>
      <w:r w:rsidR="00B711D3">
        <w:t> </w:t>
      </w:r>
      <w:r w:rsidR="00B711D3" w:rsidRPr="00B711D3">
        <w:rPr>
          <w:lang w:bidi="en-US"/>
        </w:rPr>
        <w:t xml:space="preserve">określa cel do jakiego </w:t>
      </w:r>
      <w:r w:rsidR="000D5EB4">
        <w:rPr>
          <w:lang w:bidi="en-US"/>
        </w:rPr>
        <w:t>dąży</w:t>
      </w:r>
      <w:r w:rsidR="00B711D3" w:rsidRPr="00B711D3">
        <w:rPr>
          <w:lang w:bidi="en-US"/>
        </w:rPr>
        <w:t xml:space="preserve"> obszar</w:t>
      </w:r>
      <w:r w:rsidR="00B711D3">
        <w:rPr>
          <w:lang w:bidi="en-US"/>
        </w:rPr>
        <w:t xml:space="preserve"> gminy Opole Lubelskie.</w:t>
      </w:r>
    </w:p>
    <w:p w14:paraId="4DD4BFE3" w14:textId="214FF069" w:rsidR="006D01AE" w:rsidRDefault="006D01AE" w:rsidP="00810F44">
      <w:pPr>
        <w:spacing w:line="360" w:lineRule="auto"/>
        <w:jc w:val="center"/>
        <w:rPr>
          <w:color w:val="C45911" w:themeColor="accent2" w:themeShade="BF"/>
          <w:lang w:bidi="en-US"/>
        </w:rPr>
      </w:pPr>
      <w:r w:rsidRPr="006D01AE">
        <w:rPr>
          <w:color w:val="C45911" w:themeColor="accent2" w:themeShade="BF"/>
          <w:lang w:bidi="en-US"/>
        </w:rPr>
        <w:t>Gmina Opole Lubelskie to obszar bezpieczny i atrakcyjny jako miejsce zamieszkania, pracy i</w:t>
      </w:r>
      <w:r>
        <w:rPr>
          <w:color w:val="C45911" w:themeColor="accent2" w:themeShade="BF"/>
          <w:lang w:bidi="en-US"/>
        </w:rPr>
        <w:t> </w:t>
      </w:r>
      <w:r w:rsidRPr="006D01AE">
        <w:rPr>
          <w:color w:val="C45911" w:themeColor="accent2" w:themeShade="BF"/>
          <w:lang w:bidi="en-US"/>
        </w:rPr>
        <w:t>wypoczynku, wykorzystujący swój potencjał turystyczny i kulturowy. Gmina rozwija swoją konkurencyjność, wzmacniając przy tym pozycję gospodarczą w regionie. Prowadzona jest odpowiedzialna polityka społeczna dzięki której stopniowo niwelowane są negatywne zjawiska społeczne i demograficzne</w:t>
      </w:r>
      <w:r>
        <w:rPr>
          <w:color w:val="C45911" w:themeColor="accent2" w:themeShade="BF"/>
          <w:lang w:bidi="en-US"/>
        </w:rPr>
        <w:t>.</w:t>
      </w:r>
    </w:p>
    <w:p w14:paraId="3B01B63D" w14:textId="77777777" w:rsidR="00810F44" w:rsidRPr="009C5A58" w:rsidRDefault="00810F44" w:rsidP="00810F44">
      <w:pPr>
        <w:pBdr>
          <w:top w:val="single" w:sz="18" w:space="1" w:color="C45911" w:themeColor="accent2" w:themeShade="BF"/>
        </w:pBdr>
        <w:jc w:val="center"/>
        <w:rPr>
          <w:color w:val="C45911" w:themeColor="accent2" w:themeShade="BF"/>
          <w:lang w:bidi="en-US"/>
        </w:rPr>
      </w:pPr>
    </w:p>
    <w:p w14:paraId="17D8E24B" w14:textId="47B00286" w:rsidR="009F4F9A" w:rsidRDefault="009F4F9A" w:rsidP="00261698">
      <w:pPr>
        <w:rPr>
          <w:lang w:bidi="en-US"/>
        </w:rPr>
      </w:pPr>
    </w:p>
    <w:p w14:paraId="0B5D163A" w14:textId="77777777" w:rsidR="009C5A58" w:rsidRDefault="009C5A58" w:rsidP="00261698">
      <w:pPr>
        <w:rPr>
          <w:lang w:bidi="en-US"/>
        </w:rPr>
      </w:pPr>
    </w:p>
    <w:p w14:paraId="6DA371DB" w14:textId="77777777" w:rsidR="006D01AE" w:rsidRDefault="006D01AE" w:rsidP="00261698">
      <w:pPr>
        <w:rPr>
          <w:lang w:bidi="en-US"/>
        </w:rPr>
      </w:pPr>
    </w:p>
    <w:p w14:paraId="57D68CB7" w14:textId="77777777" w:rsidR="00810F44" w:rsidRDefault="00810F44" w:rsidP="00261698">
      <w:pPr>
        <w:rPr>
          <w:lang w:bidi="en-US"/>
        </w:rPr>
      </w:pPr>
    </w:p>
    <w:p w14:paraId="5B8300FA" w14:textId="3BE486B2" w:rsidR="00261698" w:rsidRDefault="00261698" w:rsidP="00FC15E9">
      <w:pPr>
        <w:pStyle w:val="Nagwek1"/>
        <w:rPr>
          <w:lang w:bidi="en-US"/>
        </w:rPr>
      </w:pPr>
      <w:bookmarkStart w:id="190" w:name="_Toc191908797"/>
      <w:r>
        <w:rPr>
          <w:lang w:bidi="en-US"/>
        </w:rPr>
        <w:lastRenderedPageBreak/>
        <w:t>7. Cele strategiczne i kierunki działań</w:t>
      </w:r>
      <w:bookmarkEnd w:id="190"/>
    </w:p>
    <w:p w14:paraId="128E36A7" w14:textId="0A429440" w:rsidR="00735EEB" w:rsidRDefault="00735EEB" w:rsidP="00735EEB">
      <w:pPr>
        <w:rPr>
          <w:lang w:bidi="en-US"/>
        </w:rPr>
      </w:pPr>
      <w:r>
        <w:rPr>
          <w:lang w:bidi="en-US"/>
        </w:rPr>
        <w:t xml:space="preserve">Przedstawione w niniejszym rozdziale cele strategiczne są priorytetowymi obszarami interwencji, w ramach których będą podejmowane działania, służące rozwojowi społeczno-gospodarczemu gminy w perspektywie do 2030 roku. Stanowią spójny układ, </w:t>
      </w:r>
      <w:r>
        <w:t xml:space="preserve">w którym efekty jednych celów generują i wzmacniają efekty realizacji innych. </w:t>
      </w:r>
      <w:r w:rsidR="00812B8B">
        <w:t>Osiągnięcie</w:t>
      </w:r>
      <w:r>
        <w:t xml:space="preserve"> założonych celów</w:t>
      </w:r>
      <w:r w:rsidR="00812B8B">
        <w:t xml:space="preserve"> strategicznych i przypisanych im celów operacyjnych</w:t>
      </w:r>
      <w:r>
        <w:t xml:space="preserve"> </w:t>
      </w:r>
      <w:r w:rsidR="00812B8B">
        <w:t>(</w:t>
      </w:r>
      <w:r>
        <w:t>kierunków działań</w:t>
      </w:r>
      <w:r w:rsidR="00812B8B">
        <w:t>)</w:t>
      </w:r>
      <w:r>
        <w:t xml:space="preserve"> </w:t>
      </w:r>
      <w:r w:rsidR="00812B8B">
        <w:t>doprowadzić ma</w:t>
      </w:r>
      <w:r>
        <w:t xml:space="preserve"> do </w:t>
      </w:r>
      <w:r w:rsidR="0077385E">
        <w:t>polepszenia</w:t>
      </w:r>
      <w:r>
        <w:t xml:space="preserve"> </w:t>
      </w:r>
      <w:r w:rsidR="0077385E">
        <w:t>sytuacji</w:t>
      </w:r>
      <w:r>
        <w:t xml:space="preserve"> </w:t>
      </w:r>
      <w:r w:rsidR="0077385E">
        <w:t xml:space="preserve">społecznej, </w:t>
      </w:r>
      <w:r>
        <w:t>gospodarcze</w:t>
      </w:r>
      <w:r w:rsidR="0077385E">
        <w:t>j, środowiskowej i przestrzennej gminy</w:t>
      </w:r>
      <w:r>
        <w:t xml:space="preserve"> </w:t>
      </w:r>
      <w:r w:rsidR="0077385E">
        <w:t xml:space="preserve">oraz do </w:t>
      </w:r>
      <w:r>
        <w:t xml:space="preserve"> </w:t>
      </w:r>
      <w:r w:rsidR="0077385E">
        <w:t xml:space="preserve">poprawy </w:t>
      </w:r>
      <w:r>
        <w:t xml:space="preserve">jakości życia lokalnej społeczności. </w:t>
      </w:r>
    </w:p>
    <w:p w14:paraId="625356F7" w14:textId="20FB1E40" w:rsidR="00735EEB" w:rsidRDefault="00735EEB" w:rsidP="00735EEB">
      <w:pPr>
        <w:rPr>
          <w:lang w:bidi="en-US"/>
        </w:rPr>
      </w:pPr>
      <w:r>
        <w:rPr>
          <w:lang w:bidi="en-US"/>
        </w:rPr>
        <w:t xml:space="preserve">Cele strategiczne i </w:t>
      </w:r>
      <w:r w:rsidR="00D429E0">
        <w:rPr>
          <w:lang w:bidi="en-US"/>
        </w:rPr>
        <w:t>cele operacyjne (</w:t>
      </w:r>
      <w:r>
        <w:rPr>
          <w:lang w:bidi="en-US"/>
        </w:rPr>
        <w:t>kierunki działań</w:t>
      </w:r>
      <w:r w:rsidR="00D429E0">
        <w:rPr>
          <w:lang w:bidi="en-US"/>
        </w:rPr>
        <w:t>)</w:t>
      </w:r>
      <w:r>
        <w:rPr>
          <w:lang w:bidi="en-US"/>
        </w:rPr>
        <w:t>, które będą podejmowane dla osiągnięcia celów strategicznych określono w oparciu o:</w:t>
      </w:r>
    </w:p>
    <w:p w14:paraId="4905AA2C" w14:textId="5262D876" w:rsidR="00735EEB" w:rsidRDefault="00735EEB">
      <w:pPr>
        <w:pStyle w:val="Akapitzlist"/>
        <w:numPr>
          <w:ilvl w:val="0"/>
          <w:numId w:val="14"/>
        </w:numPr>
        <w:ind w:left="426" w:hanging="426"/>
        <w:rPr>
          <w:lang w:bidi="en-US"/>
        </w:rPr>
      </w:pPr>
      <w:r>
        <w:rPr>
          <w:lang w:bidi="en-US"/>
        </w:rPr>
        <w:t xml:space="preserve">wnioski z diagnozy sytuacji społecznej, gospodarczej i przestrzennej </w:t>
      </w:r>
      <w:r w:rsidR="00D81088">
        <w:rPr>
          <w:lang w:bidi="en-US"/>
        </w:rPr>
        <w:t>gminy</w:t>
      </w:r>
      <w:r>
        <w:rPr>
          <w:lang w:bidi="en-US"/>
        </w:rPr>
        <w:t>,</w:t>
      </w:r>
    </w:p>
    <w:p w14:paraId="795E449B" w14:textId="77777777" w:rsidR="00735EEB" w:rsidRDefault="00735EEB">
      <w:pPr>
        <w:pStyle w:val="Akapitzlist"/>
        <w:numPr>
          <w:ilvl w:val="0"/>
          <w:numId w:val="14"/>
        </w:numPr>
        <w:ind w:left="426" w:hanging="426"/>
        <w:rPr>
          <w:lang w:bidi="en-US"/>
        </w:rPr>
      </w:pPr>
      <w:r>
        <w:rPr>
          <w:lang w:bidi="en-US"/>
        </w:rPr>
        <w:t>wnioski z analizy silnych i słabych stron oraz szans i zagrożeń (SWOT),</w:t>
      </w:r>
    </w:p>
    <w:p w14:paraId="307ADA5B" w14:textId="7C4BF87A" w:rsidR="00735EEB" w:rsidRDefault="00735EEB">
      <w:pPr>
        <w:pStyle w:val="Akapitzlist"/>
        <w:numPr>
          <w:ilvl w:val="0"/>
          <w:numId w:val="14"/>
        </w:numPr>
        <w:ind w:left="426" w:hanging="426"/>
        <w:rPr>
          <w:lang w:bidi="en-US"/>
        </w:rPr>
      </w:pPr>
      <w:r>
        <w:rPr>
          <w:lang w:bidi="en-US"/>
        </w:rPr>
        <w:t xml:space="preserve">efekty prac </w:t>
      </w:r>
      <w:r w:rsidR="00D429E0">
        <w:rPr>
          <w:lang w:bidi="en-US"/>
        </w:rPr>
        <w:t xml:space="preserve">ze spotkań i </w:t>
      </w:r>
      <w:r>
        <w:rPr>
          <w:lang w:bidi="en-US"/>
        </w:rPr>
        <w:t xml:space="preserve">warsztatów </w:t>
      </w:r>
      <w:r w:rsidR="00D429E0">
        <w:rPr>
          <w:lang w:bidi="en-US"/>
        </w:rPr>
        <w:t>konsultacyjnych</w:t>
      </w:r>
      <w:r>
        <w:rPr>
          <w:lang w:bidi="en-US"/>
        </w:rPr>
        <w:t>,</w:t>
      </w:r>
    </w:p>
    <w:p w14:paraId="7417AC33" w14:textId="30C035AB" w:rsidR="00735EEB" w:rsidRDefault="00735EEB">
      <w:pPr>
        <w:pStyle w:val="Akapitzlist"/>
        <w:numPr>
          <w:ilvl w:val="0"/>
          <w:numId w:val="14"/>
        </w:numPr>
        <w:ind w:left="426" w:hanging="426"/>
        <w:rPr>
          <w:lang w:bidi="en-US"/>
        </w:rPr>
      </w:pPr>
      <w:r>
        <w:rPr>
          <w:lang w:bidi="en-US"/>
        </w:rPr>
        <w:t>analizę zewnętrznych procesów zachodzących na poziomie regionalnym i krajowym,</w:t>
      </w:r>
    </w:p>
    <w:p w14:paraId="1A689385" w14:textId="77777777" w:rsidR="00D429E0" w:rsidRDefault="00D429E0">
      <w:pPr>
        <w:pStyle w:val="Akapitzlist"/>
        <w:numPr>
          <w:ilvl w:val="0"/>
          <w:numId w:val="14"/>
        </w:numPr>
        <w:ind w:left="426" w:hanging="426"/>
        <w:rPr>
          <w:lang w:bidi="en-US"/>
        </w:rPr>
      </w:pPr>
      <w:r>
        <w:rPr>
          <w:lang w:bidi="en-US"/>
        </w:rPr>
        <w:t>komplementarność z celami polityki regionalnej na poziomie regionalnym, krajowym i UE.</w:t>
      </w:r>
    </w:p>
    <w:p w14:paraId="3D787BB8" w14:textId="77777777" w:rsidR="00D429E0" w:rsidRDefault="00D429E0">
      <w:pPr>
        <w:pStyle w:val="Akapitzlist"/>
        <w:numPr>
          <w:ilvl w:val="0"/>
          <w:numId w:val="14"/>
        </w:numPr>
        <w:ind w:left="426" w:hanging="426"/>
        <w:rPr>
          <w:lang w:bidi="en-US"/>
        </w:rPr>
      </w:pPr>
      <w:r>
        <w:rPr>
          <w:lang w:bidi="en-US"/>
        </w:rPr>
        <w:t>kompetencje ustawowe gminy oraz aspekty organizacyjne i możliwości finansowe,</w:t>
      </w:r>
    </w:p>
    <w:p w14:paraId="163A92DD" w14:textId="3F1BC406" w:rsidR="003C5643" w:rsidRDefault="003C5643" w:rsidP="00261698">
      <w:pPr>
        <w:rPr>
          <w:lang w:bidi="en-US"/>
        </w:rPr>
      </w:pPr>
    </w:p>
    <w:p w14:paraId="5AF40144" w14:textId="1F3AB056" w:rsidR="003C5643" w:rsidRDefault="00735EEB" w:rsidP="00084D9B">
      <w:pPr>
        <w:spacing w:after="0"/>
        <w:rPr>
          <w:noProof/>
          <w:lang w:bidi="en-US"/>
        </w:rPr>
      </w:pPr>
      <w:r>
        <w:rPr>
          <w:noProof/>
          <w:lang w:eastAsia="pl-PL"/>
        </w:rPr>
        <w:drawing>
          <wp:inline distT="0" distB="0" distL="0" distR="0" wp14:anchorId="71C5DDF4" wp14:editId="3960BB11">
            <wp:extent cx="5699760" cy="3276600"/>
            <wp:effectExtent l="0" t="0" r="15240" b="0"/>
            <wp:docPr id="212990762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78C5AB89" w14:textId="25CC37CE" w:rsidR="00F3211A" w:rsidRPr="00D429E0" w:rsidRDefault="00D429E0" w:rsidP="00261698">
      <w:pPr>
        <w:rPr>
          <w:i/>
          <w:iCs/>
          <w:noProof/>
          <w:sz w:val="18"/>
          <w:szCs w:val="18"/>
          <w:lang w:bidi="en-US"/>
        </w:rPr>
      </w:pPr>
      <w:r w:rsidRPr="00D429E0">
        <w:rPr>
          <w:i/>
          <w:iCs/>
          <w:noProof/>
          <w:sz w:val="18"/>
          <w:szCs w:val="18"/>
          <w:lang w:bidi="en-US"/>
        </w:rPr>
        <w:t>Źródło: opracowanie własne</w:t>
      </w:r>
    </w:p>
    <w:p w14:paraId="07B8FD4C" w14:textId="4C5547F2" w:rsidR="00F3211A" w:rsidRDefault="00F3211A" w:rsidP="00261698">
      <w:pPr>
        <w:rPr>
          <w:noProof/>
          <w:lang w:bidi="en-US"/>
        </w:rPr>
      </w:pPr>
    </w:p>
    <w:p w14:paraId="6DD48B8E" w14:textId="47D2E9FC" w:rsidR="00F3211A" w:rsidRDefault="00F3211A" w:rsidP="00261698">
      <w:pPr>
        <w:rPr>
          <w:noProof/>
          <w:lang w:bidi="en-US"/>
        </w:rPr>
      </w:pPr>
    </w:p>
    <w:p w14:paraId="685E487D" w14:textId="77E13BEA" w:rsidR="00F3211A" w:rsidRDefault="00F3211A" w:rsidP="00261698">
      <w:pPr>
        <w:rPr>
          <w:noProof/>
          <w:lang w:eastAsia="pl-PL"/>
        </w:rPr>
      </w:pPr>
    </w:p>
    <w:p w14:paraId="0935A370" w14:textId="77777777" w:rsidR="009D49B9" w:rsidRDefault="009D49B9" w:rsidP="00261698">
      <w:pPr>
        <w:rPr>
          <w:noProof/>
          <w:lang w:eastAsia="pl-PL"/>
        </w:rPr>
      </w:pPr>
    </w:p>
    <w:p w14:paraId="1EBF144A" w14:textId="77777777" w:rsidR="009D49B9" w:rsidRDefault="009D49B9" w:rsidP="00261698">
      <w:pPr>
        <w:rPr>
          <w:noProof/>
          <w:lang w:bidi="en-US"/>
        </w:rPr>
      </w:pPr>
    </w:p>
    <w:p w14:paraId="547A881A" w14:textId="1E139D73" w:rsidR="001A2490" w:rsidRDefault="0067314B" w:rsidP="00261698">
      <w:pPr>
        <w:rPr>
          <w:noProof/>
          <w:lang w:bidi="en-US"/>
        </w:rPr>
      </w:pPr>
      <w:r>
        <w:rPr>
          <w:noProof/>
          <w:lang w:eastAsia="pl-PL"/>
        </w:rPr>
        <w:lastRenderedPageBreak/>
        <w:drawing>
          <wp:inline distT="0" distB="0" distL="0" distR="0" wp14:anchorId="5E6CEF20" wp14:editId="61BE679E">
            <wp:extent cx="5755005" cy="4079323"/>
            <wp:effectExtent l="0" t="0" r="0" b="0"/>
            <wp:docPr id="4685109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76400" cy="4094488"/>
                    </a:xfrm>
                    <a:prstGeom prst="rect">
                      <a:avLst/>
                    </a:prstGeom>
                    <a:noFill/>
                  </pic:spPr>
                </pic:pic>
              </a:graphicData>
            </a:graphic>
          </wp:inline>
        </w:drawing>
      </w:r>
    </w:p>
    <w:p w14:paraId="648C52D1" w14:textId="77777777" w:rsidR="001A2490" w:rsidRDefault="001A2490" w:rsidP="00261698">
      <w:pPr>
        <w:rPr>
          <w:noProof/>
          <w:lang w:bidi="en-US"/>
        </w:rPr>
      </w:pPr>
    </w:p>
    <w:p w14:paraId="4EE08F78" w14:textId="77777777" w:rsidR="00084D9B" w:rsidRPr="00D429E0" w:rsidRDefault="00084D9B" w:rsidP="00084D9B">
      <w:pPr>
        <w:rPr>
          <w:i/>
          <w:iCs/>
          <w:noProof/>
          <w:sz w:val="18"/>
          <w:szCs w:val="18"/>
          <w:lang w:bidi="en-US"/>
        </w:rPr>
      </w:pPr>
      <w:r w:rsidRPr="00D429E0">
        <w:rPr>
          <w:i/>
          <w:iCs/>
          <w:noProof/>
          <w:sz w:val="18"/>
          <w:szCs w:val="18"/>
          <w:lang w:bidi="en-US"/>
        </w:rPr>
        <w:t>Źródło: opracowanie własne</w:t>
      </w:r>
    </w:p>
    <w:p w14:paraId="11536152" w14:textId="77777777" w:rsidR="001A2490" w:rsidRDefault="001A2490" w:rsidP="00261698">
      <w:pPr>
        <w:rPr>
          <w:noProof/>
          <w:lang w:bidi="en-US"/>
        </w:rPr>
      </w:pPr>
    </w:p>
    <w:p w14:paraId="23F8374C" w14:textId="330ABF90" w:rsidR="00261698" w:rsidRDefault="00261698" w:rsidP="00FC15E9">
      <w:pPr>
        <w:pStyle w:val="Nagwek1"/>
        <w:rPr>
          <w:lang w:bidi="en-US"/>
        </w:rPr>
      </w:pPr>
      <w:bookmarkStart w:id="191" w:name="_Toc191908798"/>
      <w:r>
        <w:rPr>
          <w:lang w:bidi="en-US"/>
        </w:rPr>
        <w:t>8. Oczekiwane rezultaty planowanych działań oraz wskaźniki ich osiągniecia</w:t>
      </w:r>
      <w:bookmarkEnd w:id="191"/>
    </w:p>
    <w:p w14:paraId="14676D58" w14:textId="7AEE7F3B" w:rsidR="00261698" w:rsidRDefault="00D81088" w:rsidP="00D81088">
      <w:pPr>
        <w:rPr>
          <w:lang w:bidi="en-US"/>
        </w:rPr>
      </w:pPr>
      <w:r>
        <w:rPr>
          <w:lang w:bidi="en-US"/>
        </w:rPr>
        <w:t xml:space="preserve">Zgodnie z art. 10e </w:t>
      </w:r>
      <w:r w:rsidR="00084D9B">
        <w:rPr>
          <w:lang w:bidi="en-US"/>
        </w:rPr>
        <w:t xml:space="preserve">ust. 3 pkt 3 </w:t>
      </w:r>
      <w:r>
        <w:rPr>
          <w:lang w:bidi="en-US"/>
        </w:rPr>
        <w:t xml:space="preserve">ustawy o samorządzie gminnym </w:t>
      </w:r>
      <w:r w:rsidR="00084D9B">
        <w:rPr>
          <w:lang w:bidi="en-US"/>
        </w:rPr>
        <w:t>(</w:t>
      </w:r>
      <w:bookmarkStart w:id="192" w:name="_Hlk183510283"/>
      <w:r w:rsidR="00084D9B">
        <w:rPr>
          <w:lang w:bidi="en-US"/>
        </w:rPr>
        <w:t>Dz. U. z 202</w:t>
      </w:r>
      <w:r w:rsidR="00CF45D6">
        <w:rPr>
          <w:lang w:bidi="en-US"/>
        </w:rPr>
        <w:t>4</w:t>
      </w:r>
      <w:r w:rsidR="00084D9B">
        <w:rPr>
          <w:lang w:bidi="en-US"/>
        </w:rPr>
        <w:t xml:space="preserve"> r. poz. </w:t>
      </w:r>
      <w:bookmarkEnd w:id="192"/>
      <w:r w:rsidR="00684697">
        <w:rPr>
          <w:lang w:bidi="en-US"/>
        </w:rPr>
        <w:t>1465</w:t>
      </w:r>
      <w:r w:rsidR="00084D9B">
        <w:rPr>
          <w:lang w:bidi="en-US"/>
        </w:rPr>
        <w:t xml:space="preserve">) </w:t>
      </w:r>
      <w:r>
        <w:rPr>
          <w:lang w:bidi="en-US"/>
        </w:rPr>
        <w:t>strategia rozwoju gminy określa oczekiwane rezultaty zaplanowanych działań, w tym w wymiarze przestrzennym oraz wskaźniki ich osiągnięcia.</w:t>
      </w:r>
      <w:r w:rsidR="00084D9B">
        <w:rPr>
          <w:lang w:bidi="en-US"/>
        </w:rPr>
        <w:t xml:space="preserve"> </w:t>
      </w:r>
      <w:r>
        <w:rPr>
          <w:lang w:bidi="en-US"/>
        </w:rPr>
        <w:t xml:space="preserve">Oczekiwane rezultaty to wszelkie przewidywane skutki </w:t>
      </w:r>
      <w:r w:rsidR="00084D9B">
        <w:rPr>
          <w:lang w:bidi="en-US"/>
        </w:rPr>
        <w:t>wdrażania</w:t>
      </w:r>
      <w:r>
        <w:rPr>
          <w:lang w:bidi="en-US"/>
        </w:rPr>
        <w:t xml:space="preserve"> strategii</w:t>
      </w:r>
      <w:r w:rsidR="00084D9B">
        <w:rPr>
          <w:lang w:bidi="en-US"/>
        </w:rPr>
        <w:t xml:space="preserve">, dla których </w:t>
      </w:r>
      <w:r>
        <w:rPr>
          <w:lang w:bidi="en-US"/>
        </w:rPr>
        <w:t>określ</w:t>
      </w:r>
      <w:r w:rsidR="00084D9B">
        <w:rPr>
          <w:lang w:bidi="en-US"/>
        </w:rPr>
        <w:t>ono</w:t>
      </w:r>
      <w:r>
        <w:rPr>
          <w:lang w:bidi="en-US"/>
        </w:rPr>
        <w:t xml:space="preserve"> odpowiedni</w:t>
      </w:r>
      <w:r w:rsidR="00084D9B">
        <w:rPr>
          <w:lang w:bidi="en-US"/>
        </w:rPr>
        <w:t>e</w:t>
      </w:r>
      <w:r>
        <w:rPr>
          <w:lang w:bidi="en-US"/>
        </w:rPr>
        <w:t xml:space="preserve"> wskaźnik</w:t>
      </w:r>
      <w:r w:rsidR="00084D9B">
        <w:rPr>
          <w:lang w:bidi="en-US"/>
        </w:rPr>
        <w:t>i</w:t>
      </w:r>
      <w:r>
        <w:rPr>
          <w:lang w:bidi="en-US"/>
        </w:rPr>
        <w:t xml:space="preserve"> służąc</w:t>
      </w:r>
      <w:r w:rsidR="00084D9B">
        <w:rPr>
          <w:lang w:bidi="en-US"/>
        </w:rPr>
        <w:t>e</w:t>
      </w:r>
      <w:r>
        <w:rPr>
          <w:lang w:bidi="en-US"/>
        </w:rPr>
        <w:t xml:space="preserve"> monitorowaniu postępów realizacji strategii</w:t>
      </w:r>
      <w:r w:rsidR="00084D9B">
        <w:rPr>
          <w:lang w:bidi="en-US"/>
        </w:rPr>
        <w:t>.</w:t>
      </w:r>
    </w:p>
    <w:p w14:paraId="02DE99CC" w14:textId="71F1A881" w:rsidR="00084D9B" w:rsidRDefault="00D81088" w:rsidP="00084D9B">
      <w:pPr>
        <w:rPr>
          <w:lang w:bidi="en-US"/>
        </w:rPr>
      </w:pPr>
      <w:r>
        <w:rPr>
          <w:lang w:bidi="en-US"/>
        </w:rPr>
        <w:t>Określając poniższe rezultaty i wskaźniki planowanych kierunków działań uwzględniono następujące uwarunkowania:</w:t>
      </w:r>
    </w:p>
    <w:p w14:paraId="34CC5D59" w14:textId="77777777" w:rsidR="00084D9B" w:rsidRDefault="00D81088">
      <w:pPr>
        <w:pStyle w:val="Akapitzlist"/>
        <w:numPr>
          <w:ilvl w:val="0"/>
          <w:numId w:val="15"/>
        </w:numPr>
        <w:ind w:left="284" w:hanging="284"/>
        <w:rPr>
          <w:lang w:bidi="en-US"/>
        </w:rPr>
      </w:pPr>
      <w:r>
        <w:rPr>
          <w:lang w:bidi="en-US"/>
        </w:rPr>
        <w:t>możliwości prawne, organizacyjne i finansowe gminy,</w:t>
      </w:r>
    </w:p>
    <w:p w14:paraId="465CC77B" w14:textId="77777777" w:rsidR="00084D9B" w:rsidRDefault="00D81088">
      <w:pPr>
        <w:pStyle w:val="Akapitzlist"/>
        <w:numPr>
          <w:ilvl w:val="0"/>
          <w:numId w:val="15"/>
        </w:numPr>
        <w:ind w:left="284" w:hanging="284"/>
        <w:rPr>
          <w:lang w:bidi="en-US"/>
        </w:rPr>
      </w:pPr>
      <w:r>
        <w:rPr>
          <w:lang w:bidi="en-US"/>
        </w:rPr>
        <w:t>plany i</w:t>
      </w:r>
      <w:r w:rsidR="00084D9B">
        <w:rPr>
          <w:lang w:bidi="en-US"/>
        </w:rPr>
        <w:t>nwestycyjne</w:t>
      </w:r>
      <w:r>
        <w:rPr>
          <w:lang w:bidi="en-US"/>
        </w:rPr>
        <w:t xml:space="preserve"> </w:t>
      </w:r>
      <w:r w:rsidR="00084D9B">
        <w:rPr>
          <w:lang w:bidi="en-US"/>
        </w:rPr>
        <w:t xml:space="preserve">samorządu gminy oraz oczekiwania </w:t>
      </w:r>
      <w:r>
        <w:rPr>
          <w:lang w:bidi="en-US"/>
        </w:rPr>
        <w:t>interesariuszy,</w:t>
      </w:r>
      <w:r w:rsidR="00084D9B" w:rsidRPr="00084D9B">
        <w:rPr>
          <w:lang w:bidi="en-US"/>
        </w:rPr>
        <w:t xml:space="preserve"> </w:t>
      </w:r>
    </w:p>
    <w:p w14:paraId="26A76D35" w14:textId="602E7B2C" w:rsidR="00D81088" w:rsidRDefault="00084D9B">
      <w:pPr>
        <w:pStyle w:val="Akapitzlist"/>
        <w:numPr>
          <w:ilvl w:val="0"/>
          <w:numId w:val="15"/>
        </w:numPr>
        <w:ind w:left="284" w:hanging="284"/>
        <w:rPr>
          <w:lang w:bidi="en-US"/>
        </w:rPr>
      </w:pPr>
      <w:r>
        <w:rPr>
          <w:lang w:bidi="en-US"/>
        </w:rPr>
        <w:t>dostępność danych na potrzeby monitoringu wskaźników,</w:t>
      </w:r>
    </w:p>
    <w:p w14:paraId="4AE2559D" w14:textId="54290181" w:rsidR="00D81088" w:rsidRDefault="00D81088">
      <w:pPr>
        <w:pStyle w:val="Akapitzlist"/>
        <w:numPr>
          <w:ilvl w:val="0"/>
          <w:numId w:val="15"/>
        </w:numPr>
        <w:ind w:left="284" w:hanging="284"/>
        <w:rPr>
          <w:lang w:bidi="en-US"/>
        </w:rPr>
      </w:pPr>
      <w:r>
        <w:rPr>
          <w:lang w:bidi="en-US"/>
        </w:rPr>
        <w:t>dobre praktyki projektowe i wdrożeniowe,</w:t>
      </w:r>
    </w:p>
    <w:p w14:paraId="780E222A" w14:textId="6D88DCB2" w:rsidR="00FC71C5" w:rsidRDefault="00D81088">
      <w:pPr>
        <w:pStyle w:val="Akapitzlist"/>
        <w:numPr>
          <w:ilvl w:val="0"/>
          <w:numId w:val="15"/>
        </w:numPr>
        <w:ind w:left="284" w:hanging="284"/>
        <w:rPr>
          <w:lang w:bidi="en-US"/>
        </w:rPr>
      </w:pPr>
      <w:r>
        <w:rPr>
          <w:lang w:bidi="en-US"/>
        </w:rPr>
        <w:t>uwarunkowania wynikające ze Strategii Rozwoju Województwa Lubelskiego 2030 oraz Polityki spójności UE 2021 – 2027.</w:t>
      </w:r>
    </w:p>
    <w:p w14:paraId="0B1FED0D" w14:textId="77777777" w:rsidR="00DB5677" w:rsidRPr="00FC71C5" w:rsidRDefault="00DB5677" w:rsidP="00DB5677">
      <w:pPr>
        <w:rPr>
          <w:lang w:bidi="en-US"/>
        </w:rPr>
      </w:pPr>
    </w:p>
    <w:tbl>
      <w:tblPr>
        <w:tblStyle w:val="Tabela-Siatka"/>
        <w:tblW w:w="0" w:type="auto"/>
        <w:tblLook w:val="04A0" w:firstRow="1" w:lastRow="0" w:firstColumn="1" w:lastColumn="0" w:noHBand="0" w:noVBand="1"/>
      </w:tblPr>
      <w:tblGrid>
        <w:gridCol w:w="2223"/>
        <w:gridCol w:w="2265"/>
        <w:gridCol w:w="4494"/>
      </w:tblGrid>
      <w:tr w:rsidR="00D81088" w14:paraId="2B8B09BD" w14:textId="77777777" w:rsidTr="00577FD8">
        <w:tc>
          <w:tcPr>
            <w:tcW w:w="8982" w:type="dxa"/>
            <w:gridSpan w:val="3"/>
            <w:tcBorders>
              <w:top w:val="single" w:sz="36" w:space="0" w:color="ED7D31" w:themeColor="accent2"/>
              <w:left w:val="single" w:sz="36" w:space="0" w:color="ED7D31" w:themeColor="accent2"/>
              <w:bottom w:val="single" w:sz="36" w:space="0" w:color="ED7D31" w:themeColor="accent2"/>
              <w:right w:val="single" w:sz="36" w:space="0" w:color="ED7D31" w:themeColor="accent2"/>
            </w:tcBorders>
            <w:shd w:val="clear" w:color="auto" w:fill="FFE07D"/>
            <w:vAlign w:val="center"/>
          </w:tcPr>
          <w:p w14:paraId="335A5566" w14:textId="79A4445F" w:rsidR="00D81088" w:rsidRPr="00BF09CD" w:rsidRDefault="00D81088" w:rsidP="00287C14">
            <w:pPr>
              <w:spacing w:before="120" w:line="240" w:lineRule="auto"/>
              <w:jc w:val="center"/>
              <w:rPr>
                <w:b/>
                <w:bCs/>
                <w:lang w:bidi="en-US"/>
              </w:rPr>
            </w:pPr>
            <w:r w:rsidRPr="00BF09CD">
              <w:rPr>
                <w:b/>
                <w:bCs/>
                <w:lang w:bidi="en-US"/>
              </w:rPr>
              <w:lastRenderedPageBreak/>
              <w:t xml:space="preserve">Cel strategiczny </w:t>
            </w:r>
            <w:r w:rsidR="00287C14">
              <w:rPr>
                <w:b/>
                <w:bCs/>
                <w:lang w:bidi="en-US"/>
              </w:rPr>
              <w:t>1 -</w:t>
            </w:r>
            <w:r w:rsidRPr="00BF09CD">
              <w:rPr>
                <w:b/>
                <w:bCs/>
                <w:lang w:bidi="en-US"/>
              </w:rPr>
              <w:t xml:space="preserve"> Wzrost spójności społecznej </w:t>
            </w:r>
          </w:p>
        </w:tc>
      </w:tr>
      <w:tr w:rsidR="00D81088" w14:paraId="3DEEA6E4" w14:textId="77777777" w:rsidTr="00577FD8">
        <w:tc>
          <w:tcPr>
            <w:tcW w:w="8982" w:type="dxa"/>
            <w:gridSpan w:val="3"/>
            <w:tcBorders>
              <w:top w:val="single" w:sz="36" w:space="0" w:color="ED7D31" w:themeColor="accent2"/>
              <w:left w:val="nil"/>
              <w:bottom w:val="single" w:sz="12" w:space="0" w:color="FFF3CD"/>
              <w:right w:val="nil"/>
            </w:tcBorders>
          </w:tcPr>
          <w:p w14:paraId="2229F026" w14:textId="77777777" w:rsidR="00D81088" w:rsidRDefault="00D81088" w:rsidP="00261698">
            <w:pPr>
              <w:rPr>
                <w:lang w:bidi="en-US"/>
              </w:rPr>
            </w:pPr>
          </w:p>
        </w:tc>
      </w:tr>
      <w:tr w:rsidR="00D81088" w:rsidRPr="00577FD8" w14:paraId="61DC05A8" w14:textId="77777777" w:rsidTr="00577FD8">
        <w:tc>
          <w:tcPr>
            <w:tcW w:w="2223" w:type="dxa"/>
            <w:tcBorders>
              <w:top w:val="single" w:sz="12" w:space="0" w:color="FFF3CD"/>
              <w:left w:val="single" w:sz="12" w:space="0" w:color="FFF3CD"/>
              <w:bottom w:val="single" w:sz="12" w:space="0" w:color="FFF3CD"/>
              <w:right w:val="single" w:sz="12" w:space="0" w:color="FFF3CD"/>
            </w:tcBorders>
            <w:shd w:val="clear" w:color="auto" w:fill="FFE07D"/>
            <w:vAlign w:val="center"/>
          </w:tcPr>
          <w:p w14:paraId="0EB84981" w14:textId="4F2F781A" w:rsidR="00D81088" w:rsidRPr="00577FD8" w:rsidRDefault="00D81088" w:rsidP="00577FD8">
            <w:pPr>
              <w:spacing w:before="80" w:after="80" w:line="240" w:lineRule="auto"/>
              <w:jc w:val="left"/>
              <w:rPr>
                <w:b/>
                <w:bCs/>
                <w:sz w:val="18"/>
                <w:szCs w:val="18"/>
                <w:lang w:bidi="en-US"/>
              </w:rPr>
            </w:pPr>
            <w:r w:rsidRPr="00577FD8">
              <w:rPr>
                <w:b/>
                <w:bCs/>
                <w:sz w:val="18"/>
                <w:szCs w:val="18"/>
                <w:lang w:bidi="en-US"/>
              </w:rPr>
              <w:t>Kierunek działania 1.1</w:t>
            </w:r>
          </w:p>
        </w:tc>
        <w:tc>
          <w:tcPr>
            <w:tcW w:w="6759" w:type="dxa"/>
            <w:gridSpan w:val="2"/>
            <w:tcBorders>
              <w:top w:val="single" w:sz="12" w:space="0" w:color="FFF3CD"/>
              <w:left w:val="single" w:sz="12" w:space="0" w:color="FFF3CD"/>
              <w:bottom w:val="single" w:sz="12" w:space="0" w:color="FFF3CD"/>
              <w:right w:val="single" w:sz="12" w:space="0" w:color="FFF3CD"/>
            </w:tcBorders>
            <w:shd w:val="clear" w:color="auto" w:fill="FFE07D"/>
            <w:vAlign w:val="center"/>
          </w:tcPr>
          <w:p w14:paraId="1DB91EB7" w14:textId="7A0ACEC8" w:rsidR="00D81088" w:rsidRPr="00577FD8" w:rsidRDefault="00BF09CD" w:rsidP="00577FD8">
            <w:pPr>
              <w:spacing w:before="80" w:after="80" w:line="240" w:lineRule="auto"/>
              <w:jc w:val="left"/>
              <w:rPr>
                <w:b/>
                <w:bCs/>
                <w:sz w:val="18"/>
                <w:szCs w:val="18"/>
                <w:lang w:bidi="en-US"/>
              </w:rPr>
            </w:pPr>
            <w:r w:rsidRPr="00577FD8">
              <w:rPr>
                <w:b/>
                <w:bCs/>
                <w:sz w:val="18"/>
                <w:szCs w:val="18"/>
                <w:lang w:bidi="en-US"/>
              </w:rPr>
              <w:t>Poprawa dostępności dla osób ze szczególnymi potrzebami</w:t>
            </w:r>
          </w:p>
        </w:tc>
      </w:tr>
      <w:tr w:rsidR="00D81088" w:rsidRPr="00577FD8" w14:paraId="7BDE8092"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vAlign w:val="center"/>
          </w:tcPr>
          <w:p w14:paraId="50D1DA31" w14:textId="4D619A2C" w:rsidR="00D81088" w:rsidRPr="00577FD8" w:rsidRDefault="00BF09CD" w:rsidP="00577FD8">
            <w:pPr>
              <w:spacing w:before="80" w:after="80" w:line="240" w:lineRule="auto"/>
              <w:jc w:val="left"/>
              <w:rPr>
                <w:b/>
                <w:bCs/>
                <w:sz w:val="18"/>
                <w:szCs w:val="18"/>
                <w:lang w:bidi="en-US"/>
              </w:rPr>
            </w:pPr>
            <w:r w:rsidRPr="00577FD8">
              <w:rPr>
                <w:b/>
                <w:bCs/>
                <w:sz w:val="18"/>
                <w:szCs w:val="18"/>
                <w:lang w:bidi="en-US"/>
              </w:rPr>
              <w:t>Planowane rezultaty</w:t>
            </w:r>
          </w:p>
        </w:tc>
        <w:tc>
          <w:tcPr>
            <w:tcW w:w="4494" w:type="dxa"/>
            <w:tcBorders>
              <w:top w:val="single" w:sz="12" w:space="0" w:color="FFF3CD"/>
              <w:left w:val="single" w:sz="12" w:space="0" w:color="FFF3CD"/>
              <w:bottom w:val="single" w:sz="12" w:space="0" w:color="FFF3CD"/>
              <w:right w:val="single" w:sz="12" w:space="0" w:color="FFF3CD"/>
            </w:tcBorders>
            <w:vAlign w:val="center"/>
          </w:tcPr>
          <w:p w14:paraId="1DAC73AD" w14:textId="2A0C0C4F" w:rsidR="00D81088" w:rsidRPr="00577FD8" w:rsidRDefault="00BF09CD" w:rsidP="00577FD8">
            <w:pPr>
              <w:spacing w:before="80" w:after="80" w:line="240" w:lineRule="auto"/>
              <w:jc w:val="left"/>
              <w:rPr>
                <w:b/>
                <w:bCs/>
                <w:sz w:val="18"/>
                <w:szCs w:val="18"/>
                <w:lang w:bidi="en-US"/>
              </w:rPr>
            </w:pPr>
            <w:r w:rsidRPr="00577FD8">
              <w:rPr>
                <w:b/>
                <w:bCs/>
                <w:sz w:val="18"/>
                <w:szCs w:val="18"/>
                <w:lang w:bidi="en-US"/>
              </w:rPr>
              <w:t>Wskaźniki osiągnięcia/</w:t>
            </w:r>
            <w:r w:rsidRPr="00BD67EA">
              <w:rPr>
                <w:b/>
                <w:bCs/>
                <w:color w:val="C45911" w:themeColor="accent2" w:themeShade="BF"/>
                <w:sz w:val="18"/>
                <w:szCs w:val="18"/>
                <w:lang w:bidi="en-US"/>
              </w:rPr>
              <w:t>oczekiwany trend</w:t>
            </w:r>
          </w:p>
        </w:tc>
      </w:tr>
      <w:tr w:rsidR="00D81088" w14:paraId="671F8C6C" w14:textId="77777777" w:rsidTr="007D0A8A">
        <w:tc>
          <w:tcPr>
            <w:tcW w:w="4488" w:type="dxa"/>
            <w:gridSpan w:val="2"/>
            <w:tcBorders>
              <w:top w:val="single" w:sz="12" w:space="0" w:color="FFF3CD"/>
              <w:left w:val="single" w:sz="12" w:space="0" w:color="FFF3CD"/>
              <w:bottom w:val="single" w:sz="12" w:space="0" w:color="FFF3CD"/>
              <w:right w:val="single" w:sz="12" w:space="0" w:color="FFF3CD"/>
            </w:tcBorders>
          </w:tcPr>
          <w:p w14:paraId="21F7613E" w14:textId="4C0A0305" w:rsidR="004D1588" w:rsidRPr="00802E10" w:rsidRDefault="004D1588">
            <w:pPr>
              <w:pStyle w:val="Akapitzlist"/>
              <w:numPr>
                <w:ilvl w:val="0"/>
                <w:numId w:val="36"/>
              </w:numPr>
              <w:spacing w:after="0"/>
              <w:ind w:left="411" w:hanging="283"/>
              <w:jc w:val="left"/>
              <w:rPr>
                <w:sz w:val="18"/>
                <w:szCs w:val="20"/>
                <w:lang w:bidi="en-US"/>
              </w:rPr>
            </w:pPr>
            <w:r w:rsidRPr="004D1588">
              <w:rPr>
                <w:sz w:val="18"/>
                <w:szCs w:val="20"/>
                <w:lang w:bidi="en-US"/>
              </w:rPr>
              <w:t>zwiększenie dostępności obiektów użyteczności publicznej dla osób ze szczególnymi potrzebami</w:t>
            </w:r>
          </w:p>
        </w:tc>
        <w:tc>
          <w:tcPr>
            <w:tcW w:w="4494" w:type="dxa"/>
            <w:tcBorders>
              <w:top w:val="single" w:sz="12" w:space="0" w:color="FFF3CD"/>
              <w:left w:val="single" w:sz="12" w:space="0" w:color="FFF3CD"/>
              <w:bottom w:val="single" w:sz="12" w:space="0" w:color="FFF3CD"/>
              <w:right w:val="single" w:sz="12" w:space="0" w:color="FFF3CD"/>
            </w:tcBorders>
          </w:tcPr>
          <w:p w14:paraId="1CA7C9A4" w14:textId="7AF7200F" w:rsidR="00AD43BD" w:rsidRPr="00C03928" w:rsidRDefault="00AD43BD">
            <w:pPr>
              <w:pStyle w:val="Akapitzlist"/>
              <w:numPr>
                <w:ilvl w:val="0"/>
                <w:numId w:val="36"/>
              </w:numPr>
              <w:spacing w:after="0"/>
              <w:ind w:left="318" w:hanging="284"/>
              <w:jc w:val="left"/>
              <w:rPr>
                <w:sz w:val="18"/>
                <w:szCs w:val="20"/>
                <w:lang w:bidi="en-US"/>
              </w:rPr>
            </w:pPr>
            <w:r>
              <w:rPr>
                <w:sz w:val="18"/>
                <w:szCs w:val="20"/>
                <w:lang w:bidi="en-US"/>
              </w:rPr>
              <w:t>l</w:t>
            </w:r>
            <w:r w:rsidRPr="00645D51">
              <w:rPr>
                <w:sz w:val="18"/>
                <w:szCs w:val="20"/>
                <w:lang w:bidi="en-US"/>
              </w:rPr>
              <w:t>iczba obiektów dostosowanych do potrzeb osób z</w:t>
            </w:r>
            <w:r w:rsidR="00C03928">
              <w:rPr>
                <w:sz w:val="18"/>
                <w:szCs w:val="20"/>
                <w:lang w:bidi="en-US"/>
              </w:rPr>
              <w:t xml:space="preserve"> </w:t>
            </w:r>
            <w:r w:rsidRPr="00C03928">
              <w:rPr>
                <w:sz w:val="18"/>
                <w:szCs w:val="20"/>
                <w:lang w:bidi="en-US"/>
              </w:rPr>
              <w:t>niepełnosprawnościami</w:t>
            </w:r>
            <w:r w:rsidR="00C03928">
              <w:rPr>
                <w:sz w:val="18"/>
                <w:szCs w:val="20"/>
                <w:lang w:bidi="en-US"/>
              </w:rPr>
              <w:t xml:space="preserve"> </w:t>
            </w:r>
            <w:r w:rsidR="00785160" w:rsidRPr="00785160">
              <w:rPr>
                <w:color w:val="C45911" w:themeColor="accent2" w:themeShade="BF"/>
                <w:szCs w:val="20"/>
                <w:lang w:bidi="en-US"/>
              </w:rPr>
              <w:sym w:font="Wingdings" w:char="F0EC"/>
            </w:r>
          </w:p>
          <w:p w14:paraId="2A5A5946" w14:textId="0147085A" w:rsidR="00D81088" w:rsidRPr="00C03928" w:rsidRDefault="00AD43BD">
            <w:pPr>
              <w:pStyle w:val="Akapitzlist"/>
              <w:numPr>
                <w:ilvl w:val="0"/>
                <w:numId w:val="36"/>
              </w:numPr>
              <w:spacing w:after="0"/>
              <w:ind w:left="318" w:hanging="284"/>
              <w:jc w:val="left"/>
              <w:rPr>
                <w:sz w:val="18"/>
                <w:szCs w:val="20"/>
                <w:lang w:bidi="en-US"/>
              </w:rPr>
            </w:pPr>
            <w:r w:rsidRPr="0072609E">
              <w:rPr>
                <w:sz w:val="18"/>
                <w:szCs w:val="20"/>
                <w:lang w:bidi="en-US"/>
              </w:rPr>
              <w:t>liczba projektów, w których sfinansowano koszty racjonalnych</w:t>
            </w:r>
            <w:r w:rsidR="00C03928">
              <w:rPr>
                <w:sz w:val="18"/>
                <w:szCs w:val="20"/>
                <w:lang w:bidi="en-US"/>
              </w:rPr>
              <w:t xml:space="preserve"> </w:t>
            </w:r>
            <w:r w:rsidRPr="00C03928">
              <w:rPr>
                <w:sz w:val="18"/>
                <w:szCs w:val="20"/>
                <w:lang w:bidi="en-US"/>
              </w:rPr>
              <w:t>usprawnień dla osób z</w:t>
            </w:r>
            <w:r w:rsidR="005D222C">
              <w:rPr>
                <w:sz w:val="18"/>
                <w:szCs w:val="20"/>
                <w:lang w:bidi="en-US"/>
              </w:rPr>
              <w:t> </w:t>
            </w:r>
            <w:r w:rsidRPr="00C03928">
              <w:rPr>
                <w:sz w:val="18"/>
                <w:szCs w:val="20"/>
                <w:lang w:bidi="en-US"/>
              </w:rPr>
              <w:t>niepełnosprawnościami</w:t>
            </w:r>
            <w:r w:rsidR="00785160">
              <w:rPr>
                <w:sz w:val="18"/>
                <w:szCs w:val="20"/>
                <w:lang w:bidi="en-US"/>
              </w:rPr>
              <w:t xml:space="preserve"> </w:t>
            </w:r>
            <w:r w:rsidR="00785160" w:rsidRPr="00785160">
              <w:rPr>
                <w:color w:val="C45911" w:themeColor="accent2" w:themeShade="BF"/>
                <w:szCs w:val="20"/>
                <w:lang w:bidi="en-US"/>
              </w:rPr>
              <w:sym w:font="Wingdings" w:char="F0EC"/>
            </w:r>
          </w:p>
        </w:tc>
      </w:tr>
      <w:tr w:rsidR="00BF09CD" w14:paraId="578F5AC5" w14:textId="77777777" w:rsidTr="00577FD8">
        <w:tc>
          <w:tcPr>
            <w:tcW w:w="8982" w:type="dxa"/>
            <w:gridSpan w:val="3"/>
            <w:tcBorders>
              <w:top w:val="single" w:sz="12" w:space="0" w:color="FFF3CD"/>
              <w:left w:val="nil"/>
              <w:bottom w:val="single" w:sz="12" w:space="0" w:color="FFF3CD"/>
              <w:right w:val="nil"/>
            </w:tcBorders>
            <w:vAlign w:val="center"/>
          </w:tcPr>
          <w:p w14:paraId="7D76F484" w14:textId="77777777" w:rsidR="00BF09CD" w:rsidRDefault="00BF09CD" w:rsidP="00BF09CD">
            <w:pPr>
              <w:spacing w:after="0"/>
              <w:jc w:val="left"/>
              <w:rPr>
                <w:lang w:bidi="en-US"/>
              </w:rPr>
            </w:pPr>
          </w:p>
        </w:tc>
      </w:tr>
      <w:tr w:rsidR="00D81088" w:rsidRPr="00577FD8" w14:paraId="0E8F533C" w14:textId="77777777" w:rsidTr="00577FD8">
        <w:tc>
          <w:tcPr>
            <w:tcW w:w="2223" w:type="dxa"/>
            <w:tcBorders>
              <w:top w:val="single" w:sz="12" w:space="0" w:color="FFF3CD"/>
              <w:left w:val="single" w:sz="12" w:space="0" w:color="FFF3CD"/>
              <w:bottom w:val="single" w:sz="12" w:space="0" w:color="FFF3CD"/>
              <w:right w:val="single" w:sz="12" w:space="0" w:color="FFF3CD"/>
            </w:tcBorders>
            <w:shd w:val="clear" w:color="auto" w:fill="FFE07D"/>
            <w:vAlign w:val="center"/>
          </w:tcPr>
          <w:p w14:paraId="09B1FDC5" w14:textId="22EE0CD0" w:rsidR="00D81088" w:rsidRPr="00577FD8" w:rsidRDefault="00D81088" w:rsidP="00577FD8">
            <w:pPr>
              <w:spacing w:before="80" w:after="80" w:line="240" w:lineRule="auto"/>
              <w:jc w:val="left"/>
              <w:rPr>
                <w:b/>
                <w:bCs/>
                <w:sz w:val="18"/>
                <w:szCs w:val="18"/>
                <w:lang w:bidi="en-US"/>
              </w:rPr>
            </w:pPr>
            <w:r w:rsidRPr="00577FD8">
              <w:rPr>
                <w:b/>
                <w:bCs/>
                <w:sz w:val="18"/>
                <w:szCs w:val="18"/>
                <w:lang w:bidi="en-US"/>
              </w:rPr>
              <w:t>Kierunek działania 1.2</w:t>
            </w:r>
          </w:p>
        </w:tc>
        <w:tc>
          <w:tcPr>
            <w:tcW w:w="6759" w:type="dxa"/>
            <w:gridSpan w:val="2"/>
            <w:tcBorders>
              <w:top w:val="single" w:sz="12" w:space="0" w:color="FFF3CD"/>
              <w:left w:val="single" w:sz="12" w:space="0" w:color="FFF3CD"/>
              <w:bottom w:val="single" w:sz="12" w:space="0" w:color="FFF3CD"/>
              <w:right w:val="single" w:sz="12" w:space="0" w:color="FFF3CD"/>
            </w:tcBorders>
            <w:shd w:val="clear" w:color="auto" w:fill="FFE07D"/>
            <w:vAlign w:val="center"/>
          </w:tcPr>
          <w:p w14:paraId="0254E985" w14:textId="6D4286FD" w:rsidR="00D81088" w:rsidRPr="00577FD8" w:rsidRDefault="00BF09CD" w:rsidP="00577FD8">
            <w:pPr>
              <w:spacing w:before="80" w:after="80" w:line="240" w:lineRule="auto"/>
              <w:jc w:val="left"/>
              <w:rPr>
                <w:b/>
                <w:bCs/>
                <w:sz w:val="18"/>
                <w:szCs w:val="18"/>
                <w:lang w:bidi="en-US"/>
              </w:rPr>
            </w:pPr>
            <w:r w:rsidRPr="00577FD8">
              <w:rPr>
                <w:b/>
                <w:bCs/>
                <w:sz w:val="18"/>
                <w:szCs w:val="18"/>
                <w:lang w:bidi="en-US"/>
              </w:rPr>
              <w:t>Wzrost jakości usług i infrastruktury pomocy społecznej</w:t>
            </w:r>
          </w:p>
        </w:tc>
      </w:tr>
      <w:tr w:rsidR="00BF09CD" w:rsidRPr="00577FD8" w14:paraId="1287AF86"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vAlign w:val="center"/>
          </w:tcPr>
          <w:p w14:paraId="2B78D5F4" w14:textId="282ACAE8" w:rsidR="00BF09CD" w:rsidRPr="00577FD8" w:rsidRDefault="00BF09CD" w:rsidP="00577FD8">
            <w:pPr>
              <w:spacing w:before="80" w:after="80" w:line="240" w:lineRule="auto"/>
              <w:jc w:val="left"/>
              <w:rPr>
                <w:b/>
                <w:bCs/>
                <w:sz w:val="18"/>
                <w:szCs w:val="18"/>
                <w:lang w:bidi="en-US"/>
              </w:rPr>
            </w:pPr>
            <w:r w:rsidRPr="00577FD8">
              <w:rPr>
                <w:b/>
                <w:bCs/>
                <w:sz w:val="18"/>
                <w:szCs w:val="18"/>
                <w:lang w:bidi="en-US"/>
              </w:rPr>
              <w:t>Planowane rezultaty</w:t>
            </w:r>
          </w:p>
        </w:tc>
        <w:tc>
          <w:tcPr>
            <w:tcW w:w="4494" w:type="dxa"/>
            <w:tcBorders>
              <w:top w:val="single" w:sz="12" w:space="0" w:color="FFF3CD"/>
              <w:left w:val="single" w:sz="12" w:space="0" w:color="FFF3CD"/>
              <w:bottom w:val="single" w:sz="12" w:space="0" w:color="FFF3CD"/>
              <w:right w:val="single" w:sz="12" w:space="0" w:color="FFF3CD"/>
            </w:tcBorders>
            <w:vAlign w:val="center"/>
          </w:tcPr>
          <w:p w14:paraId="55B4C21D" w14:textId="59F6A77C" w:rsidR="00BF09CD" w:rsidRPr="00577FD8" w:rsidRDefault="00BF09CD" w:rsidP="00577FD8">
            <w:pPr>
              <w:spacing w:before="80" w:after="80" w:line="240" w:lineRule="auto"/>
              <w:jc w:val="left"/>
              <w:rPr>
                <w:b/>
                <w:bCs/>
                <w:sz w:val="18"/>
                <w:szCs w:val="18"/>
                <w:lang w:bidi="en-US"/>
              </w:rPr>
            </w:pPr>
            <w:r w:rsidRPr="00577FD8">
              <w:rPr>
                <w:b/>
                <w:bCs/>
                <w:sz w:val="18"/>
                <w:szCs w:val="18"/>
                <w:lang w:bidi="en-US"/>
              </w:rPr>
              <w:t>Wskaźniki osiągnięcia/</w:t>
            </w:r>
            <w:r w:rsidRPr="00BD67EA">
              <w:rPr>
                <w:b/>
                <w:bCs/>
                <w:color w:val="C45911" w:themeColor="accent2" w:themeShade="BF"/>
                <w:sz w:val="18"/>
                <w:szCs w:val="18"/>
                <w:lang w:bidi="en-US"/>
              </w:rPr>
              <w:t>oczekiwany trend</w:t>
            </w:r>
          </w:p>
        </w:tc>
      </w:tr>
      <w:tr w:rsidR="00BF09CD" w14:paraId="4F23C211"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tcPr>
          <w:p w14:paraId="21193876" w14:textId="2756A51F" w:rsidR="007219BF" w:rsidRPr="00B82F63" w:rsidRDefault="00B82F63">
            <w:pPr>
              <w:pStyle w:val="Akapitzlist"/>
              <w:numPr>
                <w:ilvl w:val="0"/>
                <w:numId w:val="35"/>
              </w:numPr>
              <w:spacing w:after="0"/>
              <w:ind w:left="411" w:hanging="283"/>
              <w:jc w:val="left"/>
              <w:rPr>
                <w:sz w:val="18"/>
                <w:szCs w:val="20"/>
                <w:lang w:bidi="en-US"/>
              </w:rPr>
            </w:pPr>
            <w:r w:rsidRPr="00B82F63">
              <w:rPr>
                <w:sz w:val="18"/>
                <w:szCs w:val="20"/>
                <w:lang w:bidi="en-US"/>
              </w:rPr>
              <w:t xml:space="preserve">rozwój infrastruktury </w:t>
            </w:r>
            <w:r w:rsidR="00802E10">
              <w:rPr>
                <w:sz w:val="18"/>
                <w:szCs w:val="20"/>
                <w:lang w:bidi="en-US"/>
              </w:rPr>
              <w:t xml:space="preserve">i usług </w:t>
            </w:r>
            <w:r w:rsidRPr="00B82F63">
              <w:rPr>
                <w:sz w:val="18"/>
                <w:szCs w:val="20"/>
                <w:lang w:bidi="en-US"/>
              </w:rPr>
              <w:t>pomocy społecznej</w:t>
            </w:r>
          </w:p>
          <w:p w14:paraId="467E6618" w14:textId="77777777" w:rsidR="00B82F63" w:rsidRPr="00B82F63" w:rsidRDefault="00B82F63">
            <w:pPr>
              <w:pStyle w:val="Akapitzlist"/>
              <w:numPr>
                <w:ilvl w:val="0"/>
                <w:numId w:val="35"/>
              </w:numPr>
              <w:spacing w:after="0"/>
              <w:ind w:left="411" w:hanging="283"/>
              <w:jc w:val="left"/>
              <w:rPr>
                <w:lang w:bidi="en-US"/>
              </w:rPr>
            </w:pPr>
            <w:r w:rsidRPr="00B82F63">
              <w:rPr>
                <w:sz w:val="18"/>
                <w:szCs w:val="20"/>
                <w:lang w:bidi="en-US"/>
              </w:rPr>
              <w:t>poprawa dostępności usług społecznych dla wszystkich grup wiekowych</w:t>
            </w:r>
          </w:p>
          <w:p w14:paraId="7A656B1D" w14:textId="57C6292A" w:rsidR="00B82F63" w:rsidRDefault="00802E10">
            <w:pPr>
              <w:pStyle w:val="Akapitzlist"/>
              <w:numPr>
                <w:ilvl w:val="0"/>
                <w:numId w:val="35"/>
              </w:numPr>
              <w:spacing w:after="0"/>
              <w:ind w:left="411" w:hanging="283"/>
              <w:jc w:val="left"/>
              <w:rPr>
                <w:lang w:bidi="en-US"/>
              </w:rPr>
            </w:pPr>
            <w:r w:rsidRPr="004D1588">
              <w:rPr>
                <w:sz w:val="18"/>
                <w:szCs w:val="20"/>
                <w:lang w:bidi="en-US"/>
              </w:rPr>
              <w:t>funkcjonowanie instytucji mającej na celu pomoc w otrzymaniu wsparcia oraz udzielenie informacji o możliwościach otrzymania pomocy przez osoby ze szczególnymi potrzebami</w:t>
            </w:r>
          </w:p>
        </w:tc>
        <w:tc>
          <w:tcPr>
            <w:tcW w:w="4494" w:type="dxa"/>
            <w:tcBorders>
              <w:top w:val="single" w:sz="12" w:space="0" w:color="FFF3CD"/>
              <w:left w:val="single" w:sz="12" w:space="0" w:color="FFF3CD"/>
              <w:bottom w:val="single" w:sz="12" w:space="0" w:color="FFF3CD"/>
              <w:right w:val="single" w:sz="12" w:space="0" w:color="FFF3CD"/>
            </w:tcBorders>
          </w:tcPr>
          <w:p w14:paraId="637E4DFA" w14:textId="2BD85430" w:rsidR="00C03928" w:rsidRPr="007D0A8A" w:rsidRDefault="00C03928">
            <w:pPr>
              <w:pStyle w:val="Akapitzlist"/>
              <w:numPr>
                <w:ilvl w:val="0"/>
                <w:numId w:val="35"/>
              </w:numPr>
              <w:spacing w:after="0"/>
              <w:ind w:left="318" w:hanging="284"/>
              <w:jc w:val="left"/>
              <w:rPr>
                <w:sz w:val="18"/>
                <w:szCs w:val="18"/>
                <w:lang w:bidi="en-US"/>
              </w:rPr>
            </w:pPr>
            <w:r w:rsidRPr="007D0A8A">
              <w:rPr>
                <w:sz w:val="18"/>
                <w:szCs w:val="18"/>
                <w:lang w:bidi="en-US"/>
              </w:rPr>
              <w:t>liczba wspartych obiektów, w których realizowane są usługi społeczne</w:t>
            </w:r>
            <w:r w:rsidR="00785160" w:rsidRPr="007D0A8A">
              <w:rPr>
                <w:sz w:val="18"/>
                <w:szCs w:val="18"/>
                <w:lang w:bidi="en-US"/>
              </w:rPr>
              <w:t xml:space="preserve"> </w:t>
            </w:r>
            <w:r w:rsidR="00785160" w:rsidRPr="00785160">
              <w:rPr>
                <w:color w:val="C45911" w:themeColor="accent2" w:themeShade="BF"/>
                <w:szCs w:val="20"/>
                <w:lang w:bidi="en-US"/>
              </w:rPr>
              <w:sym w:font="Wingdings" w:char="F0EC"/>
            </w:r>
          </w:p>
          <w:p w14:paraId="7F824DB4" w14:textId="64B96093" w:rsidR="00C03928" w:rsidRPr="007D0A8A" w:rsidRDefault="00C03928">
            <w:pPr>
              <w:pStyle w:val="Akapitzlist"/>
              <w:numPr>
                <w:ilvl w:val="0"/>
                <w:numId w:val="35"/>
              </w:numPr>
              <w:spacing w:after="0"/>
              <w:ind w:left="318" w:hanging="284"/>
              <w:jc w:val="left"/>
              <w:rPr>
                <w:sz w:val="18"/>
                <w:szCs w:val="18"/>
                <w:lang w:bidi="en-US"/>
              </w:rPr>
            </w:pPr>
            <w:r w:rsidRPr="007D0A8A">
              <w:rPr>
                <w:sz w:val="18"/>
                <w:szCs w:val="18"/>
                <w:lang w:bidi="en-US"/>
              </w:rPr>
              <w:t>liczba osób, których sytuacja społeczna uległa poprawie</w:t>
            </w:r>
            <w:r w:rsidR="00785160" w:rsidRPr="007D0A8A">
              <w:rPr>
                <w:sz w:val="18"/>
                <w:szCs w:val="18"/>
                <w:lang w:bidi="en-US"/>
              </w:rPr>
              <w:t xml:space="preserve"> </w:t>
            </w:r>
            <w:r w:rsidR="00785160" w:rsidRPr="00785160">
              <w:rPr>
                <w:color w:val="C45911" w:themeColor="accent2" w:themeShade="BF"/>
                <w:szCs w:val="20"/>
                <w:lang w:bidi="en-US"/>
              </w:rPr>
              <w:sym w:font="Wingdings" w:char="F0EC"/>
            </w:r>
          </w:p>
          <w:p w14:paraId="1FCB23A9" w14:textId="7C80781B" w:rsidR="00BF09CD" w:rsidRDefault="00C03928">
            <w:pPr>
              <w:pStyle w:val="Akapitzlist"/>
              <w:numPr>
                <w:ilvl w:val="0"/>
                <w:numId w:val="35"/>
              </w:numPr>
              <w:spacing w:after="0"/>
              <w:ind w:left="318" w:hanging="284"/>
              <w:jc w:val="left"/>
              <w:rPr>
                <w:lang w:bidi="en-US"/>
              </w:rPr>
            </w:pPr>
            <w:r w:rsidRPr="007D0A8A">
              <w:rPr>
                <w:sz w:val="18"/>
                <w:szCs w:val="18"/>
                <w:lang w:bidi="en-US"/>
              </w:rPr>
              <w:t>liczba przedstawicieli organizacji społeczeństwa obywatelskiego, którzy zdobyli nowe umiejętności, wiedzę lub uzyskali kwalifikacje</w:t>
            </w:r>
            <w:r w:rsidR="00785160" w:rsidRPr="007D0A8A">
              <w:rPr>
                <w:sz w:val="18"/>
                <w:szCs w:val="18"/>
                <w:lang w:bidi="en-US"/>
              </w:rPr>
              <w:t xml:space="preserve"> </w:t>
            </w:r>
            <w:r w:rsidR="00785160" w:rsidRPr="00785160">
              <w:rPr>
                <w:color w:val="C45911" w:themeColor="accent2" w:themeShade="BF"/>
                <w:szCs w:val="20"/>
                <w:lang w:bidi="en-US"/>
              </w:rPr>
              <w:sym w:font="Wingdings" w:char="F0EC"/>
            </w:r>
          </w:p>
        </w:tc>
      </w:tr>
      <w:tr w:rsidR="00BF09CD" w14:paraId="79B4B44F" w14:textId="77777777" w:rsidTr="00577FD8">
        <w:tc>
          <w:tcPr>
            <w:tcW w:w="8982" w:type="dxa"/>
            <w:gridSpan w:val="3"/>
            <w:tcBorders>
              <w:top w:val="single" w:sz="12" w:space="0" w:color="FFF3CD"/>
              <w:left w:val="nil"/>
              <w:bottom w:val="single" w:sz="12" w:space="0" w:color="FFF3CD"/>
              <w:right w:val="nil"/>
            </w:tcBorders>
            <w:vAlign w:val="center"/>
          </w:tcPr>
          <w:p w14:paraId="7FDA6DD6" w14:textId="77777777" w:rsidR="00BF09CD" w:rsidRDefault="00BF09CD" w:rsidP="00BF09CD">
            <w:pPr>
              <w:spacing w:after="0"/>
              <w:jc w:val="left"/>
              <w:rPr>
                <w:lang w:bidi="en-US"/>
              </w:rPr>
            </w:pPr>
          </w:p>
        </w:tc>
      </w:tr>
      <w:tr w:rsidR="00BF09CD" w:rsidRPr="00577FD8" w14:paraId="35FDAB8B" w14:textId="77777777" w:rsidTr="00577FD8">
        <w:tc>
          <w:tcPr>
            <w:tcW w:w="2223" w:type="dxa"/>
            <w:tcBorders>
              <w:top w:val="single" w:sz="12" w:space="0" w:color="FFF3CD"/>
              <w:left w:val="single" w:sz="12" w:space="0" w:color="FFF3CD"/>
              <w:bottom w:val="single" w:sz="12" w:space="0" w:color="FFF3CD"/>
              <w:right w:val="single" w:sz="12" w:space="0" w:color="FFF3CD"/>
            </w:tcBorders>
            <w:shd w:val="clear" w:color="auto" w:fill="FFE07D"/>
            <w:vAlign w:val="center"/>
          </w:tcPr>
          <w:p w14:paraId="61FCF60D" w14:textId="216E3C3D" w:rsidR="00BF09CD" w:rsidRPr="00577FD8" w:rsidRDefault="00BF09CD" w:rsidP="00577FD8">
            <w:pPr>
              <w:spacing w:before="80" w:after="80" w:line="240" w:lineRule="auto"/>
              <w:jc w:val="left"/>
              <w:rPr>
                <w:b/>
                <w:bCs/>
                <w:sz w:val="18"/>
                <w:szCs w:val="18"/>
                <w:lang w:bidi="en-US"/>
              </w:rPr>
            </w:pPr>
            <w:r w:rsidRPr="00577FD8">
              <w:rPr>
                <w:b/>
                <w:bCs/>
                <w:sz w:val="18"/>
                <w:szCs w:val="18"/>
                <w:lang w:bidi="en-US"/>
              </w:rPr>
              <w:t>Kierunek działania 1.3</w:t>
            </w:r>
          </w:p>
        </w:tc>
        <w:tc>
          <w:tcPr>
            <w:tcW w:w="6759" w:type="dxa"/>
            <w:gridSpan w:val="2"/>
            <w:tcBorders>
              <w:top w:val="single" w:sz="12" w:space="0" w:color="FFF3CD"/>
              <w:left w:val="single" w:sz="12" w:space="0" w:color="FFF3CD"/>
              <w:bottom w:val="single" w:sz="12" w:space="0" w:color="FFF3CD"/>
              <w:right w:val="single" w:sz="12" w:space="0" w:color="FFF3CD"/>
            </w:tcBorders>
            <w:shd w:val="clear" w:color="auto" w:fill="FFE07D"/>
            <w:vAlign w:val="center"/>
          </w:tcPr>
          <w:p w14:paraId="63D3234A" w14:textId="29593E51" w:rsidR="00BF09CD" w:rsidRPr="00577FD8" w:rsidRDefault="000E1DD2" w:rsidP="00577FD8">
            <w:pPr>
              <w:spacing w:before="80" w:after="80" w:line="240" w:lineRule="auto"/>
              <w:jc w:val="left"/>
              <w:rPr>
                <w:b/>
                <w:bCs/>
                <w:sz w:val="18"/>
                <w:szCs w:val="18"/>
                <w:lang w:bidi="en-US"/>
              </w:rPr>
            </w:pPr>
            <w:r w:rsidRPr="00577FD8">
              <w:rPr>
                <w:b/>
                <w:bCs/>
                <w:sz w:val="18"/>
                <w:szCs w:val="18"/>
                <w:lang w:bidi="en-US"/>
              </w:rPr>
              <w:t>Zwiększenie atrakcyjności obiektów kultury i ochrona dziedzictwa kulturowego</w:t>
            </w:r>
          </w:p>
        </w:tc>
      </w:tr>
      <w:tr w:rsidR="00BF09CD" w:rsidRPr="00577FD8" w14:paraId="20D9048F"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vAlign w:val="center"/>
          </w:tcPr>
          <w:p w14:paraId="5FAACF48" w14:textId="398E3F81" w:rsidR="00BF09CD" w:rsidRPr="00577FD8" w:rsidRDefault="00BF09CD" w:rsidP="00577FD8">
            <w:pPr>
              <w:spacing w:before="80" w:after="80" w:line="240" w:lineRule="auto"/>
              <w:jc w:val="left"/>
              <w:rPr>
                <w:b/>
                <w:bCs/>
                <w:sz w:val="18"/>
                <w:szCs w:val="18"/>
                <w:lang w:bidi="en-US"/>
              </w:rPr>
            </w:pPr>
            <w:r w:rsidRPr="00577FD8">
              <w:rPr>
                <w:b/>
                <w:bCs/>
                <w:sz w:val="18"/>
                <w:szCs w:val="18"/>
                <w:lang w:bidi="en-US"/>
              </w:rPr>
              <w:t>Planowane rezultaty</w:t>
            </w:r>
          </w:p>
        </w:tc>
        <w:tc>
          <w:tcPr>
            <w:tcW w:w="4494" w:type="dxa"/>
            <w:tcBorders>
              <w:top w:val="single" w:sz="12" w:space="0" w:color="FFF3CD"/>
              <w:left w:val="single" w:sz="12" w:space="0" w:color="FFF3CD"/>
              <w:bottom w:val="single" w:sz="12" w:space="0" w:color="FFF3CD"/>
              <w:right w:val="single" w:sz="12" w:space="0" w:color="FFF3CD"/>
            </w:tcBorders>
            <w:vAlign w:val="center"/>
          </w:tcPr>
          <w:p w14:paraId="36DEEA8D" w14:textId="3D0CDDFD" w:rsidR="00BF09CD" w:rsidRPr="00577FD8" w:rsidRDefault="00BF09CD" w:rsidP="00577FD8">
            <w:pPr>
              <w:spacing w:before="80" w:after="80" w:line="240" w:lineRule="auto"/>
              <w:jc w:val="left"/>
              <w:rPr>
                <w:b/>
                <w:bCs/>
                <w:sz w:val="18"/>
                <w:szCs w:val="18"/>
                <w:lang w:bidi="en-US"/>
              </w:rPr>
            </w:pPr>
            <w:r w:rsidRPr="00577FD8">
              <w:rPr>
                <w:b/>
                <w:bCs/>
                <w:sz w:val="18"/>
                <w:szCs w:val="18"/>
                <w:lang w:bidi="en-US"/>
              </w:rPr>
              <w:t>Wskaźniki osiągnięcia/</w:t>
            </w:r>
            <w:r w:rsidRPr="00BD67EA">
              <w:rPr>
                <w:b/>
                <w:bCs/>
                <w:color w:val="C45911" w:themeColor="accent2" w:themeShade="BF"/>
                <w:sz w:val="18"/>
                <w:szCs w:val="18"/>
                <w:lang w:bidi="en-US"/>
              </w:rPr>
              <w:t>oczekiwany trend</w:t>
            </w:r>
          </w:p>
        </w:tc>
      </w:tr>
      <w:tr w:rsidR="00BF09CD" w14:paraId="1E1E0131"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vAlign w:val="center"/>
          </w:tcPr>
          <w:p w14:paraId="188E03EE" w14:textId="77777777" w:rsidR="00BF09CD" w:rsidRPr="002479C7" w:rsidRDefault="00B82F63">
            <w:pPr>
              <w:pStyle w:val="Akapitzlist"/>
              <w:numPr>
                <w:ilvl w:val="0"/>
                <w:numId w:val="34"/>
              </w:numPr>
              <w:spacing w:after="0"/>
              <w:ind w:left="411" w:hanging="283"/>
              <w:jc w:val="left"/>
              <w:rPr>
                <w:sz w:val="18"/>
                <w:szCs w:val="20"/>
                <w:lang w:bidi="en-US"/>
              </w:rPr>
            </w:pPr>
            <w:r w:rsidRPr="002479C7">
              <w:rPr>
                <w:sz w:val="18"/>
                <w:szCs w:val="20"/>
                <w:lang w:bidi="en-US"/>
              </w:rPr>
              <w:t>integracja i aktywizacja społeczno-kulturowa mieszkańców</w:t>
            </w:r>
          </w:p>
          <w:p w14:paraId="4B5EA716" w14:textId="77777777" w:rsidR="00B82F63" w:rsidRPr="002479C7" w:rsidRDefault="00B82F63">
            <w:pPr>
              <w:pStyle w:val="Akapitzlist"/>
              <w:numPr>
                <w:ilvl w:val="0"/>
                <w:numId w:val="34"/>
              </w:numPr>
              <w:spacing w:after="0"/>
              <w:ind w:left="411" w:hanging="283"/>
              <w:jc w:val="left"/>
              <w:rPr>
                <w:sz w:val="18"/>
                <w:szCs w:val="20"/>
                <w:lang w:bidi="en-US"/>
              </w:rPr>
            </w:pPr>
            <w:r w:rsidRPr="002479C7">
              <w:rPr>
                <w:sz w:val="18"/>
                <w:szCs w:val="20"/>
              </w:rPr>
              <w:t>promocja opolskiego dziedzictwa poza terenem miasta i Gminy Opole Lubelskie</w:t>
            </w:r>
          </w:p>
          <w:p w14:paraId="75D6261F" w14:textId="77777777" w:rsidR="00B82F63" w:rsidRPr="002479C7" w:rsidRDefault="00B82F63">
            <w:pPr>
              <w:pStyle w:val="Akapitzlist"/>
              <w:numPr>
                <w:ilvl w:val="0"/>
                <w:numId w:val="34"/>
              </w:numPr>
              <w:spacing w:after="0"/>
              <w:ind w:left="411" w:hanging="283"/>
              <w:jc w:val="left"/>
              <w:rPr>
                <w:sz w:val="18"/>
                <w:szCs w:val="20"/>
                <w:lang w:bidi="en-US"/>
              </w:rPr>
            </w:pPr>
            <w:r w:rsidRPr="002479C7">
              <w:rPr>
                <w:sz w:val="18"/>
                <w:szCs w:val="20"/>
              </w:rPr>
              <w:t>poprawa stanu technicznego obiektów kultury i obiektów zabytkowych</w:t>
            </w:r>
          </w:p>
          <w:p w14:paraId="4090938D" w14:textId="3A720533" w:rsidR="00B82F63" w:rsidRDefault="00B82F63">
            <w:pPr>
              <w:pStyle w:val="Akapitzlist"/>
              <w:numPr>
                <w:ilvl w:val="0"/>
                <w:numId w:val="34"/>
              </w:numPr>
              <w:spacing w:after="0"/>
              <w:ind w:left="411" w:hanging="283"/>
              <w:jc w:val="left"/>
              <w:rPr>
                <w:lang w:bidi="en-US"/>
              </w:rPr>
            </w:pPr>
            <w:r w:rsidRPr="002479C7">
              <w:rPr>
                <w:sz w:val="18"/>
                <w:szCs w:val="20"/>
              </w:rPr>
              <w:t>promowanie rozwoju rzemiosła i sztuki ludowej oraz lokalnego folkloru ludowego</w:t>
            </w:r>
          </w:p>
        </w:tc>
        <w:tc>
          <w:tcPr>
            <w:tcW w:w="4494" w:type="dxa"/>
            <w:tcBorders>
              <w:top w:val="single" w:sz="12" w:space="0" w:color="FFF3CD"/>
              <w:left w:val="single" w:sz="12" w:space="0" w:color="FFF3CD"/>
              <w:bottom w:val="single" w:sz="12" w:space="0" w:color="FFF3CD"/>
              <w:right w:val="single" w:sz="12" w:space="0" w:color="FFF3CD"/>
            </w:tcBorders>
          </w:tcPr>
          <w:p w14:paraId="369A1350" w14:textId="0F7629B8" w:rsidR="00C03928" w:rsidRPr="007D0A8A" w:rsidRDefault="00C03928">
            <w:pPr>
              <w:pStyle w:val="Akapitzlist"/>
              <w:numPr>
                <w:ilvl w:val="0"/>
                <w:numId w:val="34"/>
              </w:numPr>
              <w:spacing w:after="0"/>
              <w:ind w:left="318" w:hanging="284"/>
              <w:jc w:val="left"/>
              <w:rPr>
                <w:sz w:val="18"/>
                <w:szCs w:val="18"/>
                <w:lang w:bidi="en-US"/>
              </w:rPr>
            </w:pPr>
            <w:r w:rsidRPr="007D0A8A">
              <w:rPr>
                <w:sz w:val="18"/>
                <w:szCs w:val="18"/>
              </w:rPr>
              <w:t>liczba osób odwiedzających obiekty kulturalne i turystyczne objęte wsparciem</w:t>
            </w:r>
            <w:r w:rsidR="00785160" w:rsidRPr="007D0A8A">
              <w:rPr>
                <w:sz w:val="18"/>
                <w:szCs w:val="18"/>
              </w:rPr>
              <w:t xml:space="preserve"> </w:t>
            </w:r>
            <w:r w:rsidR="00785160" w:rsidRPr="00785160">
              <w:rPr>
                <w:color w:val="C45911" w:themeColor="accent2" w:themeShade="BF"/>
                <w:szCs w:val="20"/>
                <w:lang w:bidi="en-US"/>
              </w:rPr>
              <w:sym w:font="Wingdings" w:char="F0EC"/>
            </w:r>
          </w:p>
          <w:p w14:paraId="0FC2F32F" w14:textId="5CD3A0A6" w:rsidR="00C03928" w:rsidRPr="007D0A8A" w:rsidRDefault="00C03928">
            <w:pPr>
              <w:pStyle w:val="Akapitzlist"/>
              <w:numPr>
                <w:ilvl w:val="0"/>
                <w:numId w:val="34"/>
              </w:numPr>
              <w:spacing w:after="0"/>
              <w:ind w:left="318" w:hanging="284"/>
              <w:jc w:val="left"/>
              <w:rPr>
                <w:sz w:val="18"/>
                <w:szCs w:val="18"/>
                <w:lang w:bidi="en-US"/>
              </w:rPr>
            </w:pPr>
            <w:r w:rsidRPr="007D0A8A">
              <w:rPr>
                <w:sz w:val="18"/>
                <w:szCs w:val="18"/>
              </w:rPr>
              <w:t xml:space="preserve">liczba instytucji kultury objętych </w:t>
            </w:r>
          </w:p>
          <w:p w14:paraId="4FE3A4A6" w14:textId="5650EF24" w:rsidR="00C03928" w:rsidRPr="007D0A8A" w:rsidRDefault="00C03928">
            <w:pPr>
              <w:pStyle w:val="Akapitzlist"/>
              <w:numPr>
                <w:ilvl w:val="0"/>
                <w:numId w:val="34"/>
              </w:numPr>
              <w:spacing w:after="0"/>
              <w:ind w:left="318" w:hanging="284"/>
              <w:jc w:val="left"/>
              <w:rPr>
                <w:sz w:val="18"/>
                <w:szCs w:val="18"/>
                <w:lang w:bidi="en-US"/>
              </w:rPr>
            </w:pPr>
            <w:r w:rsidRPr="007D0A8A">
              <w:rPr>
                <w:sz w:val="18"/>
                <w:szCs w:val="18"/>
              </w:rPr>
              <w:t>wsparciem</w:t>
            </w:r>
            <w:r w:rsidR="00785160" w:rsidRPr="007D0A8A">
              <w:rPr>
                <w:sz w:val="18"/>
                <w:szCs w:val="18"/>
              </w:rPr>
              <w:t xml:space="preserve"> </w:t>
            </w:r>
            <w:r w:rsidR="00785160" w:rsidRPr="00785160">
              <w:rPr>
                <w:color w:val="C45911" w:themeColor="accent2" w:themeShade="BF"/>
                <w:szCs w:val="20"/>
                <w:lang w:bidi="en-US"/>
              </w:rPr>
              <w:sym w:font="Wingdings" w:char="F0EC"/>
            </w:r>
          </w:p>
          <w:p w14:paraId="05796B82" w14:textId="27DE4A06" w:rsidR="00BF09CD" w:rsidRPr="007D0A8A" w:rsidRDefault="00C03928">
            <w:pPr>
              <w:pStyle w:val="Akapitzlist"/>
              <w:numPr>
                <w:ilvl w:val="0"/>
                <w:numId w:val="34"/>
              </w:numPr>
              <w:spacing w:after="0"/>
              <w:ind w:left="318" w:hanging="284"/>
              <w:jc w:val="left"/>
              <w:rPr>
                <w:sz w:val="18"/>
                <w:szCs w:val="18"/>
                <w:lang w:bidi="en-US"/>
              </w:rPr>
            </w:pPr>
            <w:r w:rsidRPr="007D0A8A">
              <w:rPr>
                <w:sz w:val="18"/>
                <w:szCs w:val="18"/>
              </w:rPr>
              <w:t>liczba zabytków nieruchomych objętych wsparciem</w:t>
            </w:r>
            <w:r w:rsidR="00785160" w:rsidRPr="007D0A8A">
              <w:rPr>
                <w:sz w:val="18"/>
                <w:szCs w:val="18"/>
              </w:rPr>
              <w:t xml:space="preserve"> </w:t>
            </w:r>
            <w:r w:rsidR="00785160" w:rsidRPr="00785160">
              <w:rPr>
                <w:color w:val="C45911" w:themeColor="accent2" w:themeShade="BF"/>
                <w:szCs w:val="20"/>
                <w:lang w:bidi="en-US"/>
              </w:rPr>
              <w:sym w:font="Wingdings" w:char="F0EC"/>
            </w:r>
          </w:p>
        </w:tc>
      </w:tr>
      <w:tr w:rsidR="00BF09CD" w14:paraId="7C0BCE40" w14:textId="77777777" w:rsidTr="00577FD8">
        <w:tc>
          <w:tcPr>
            <w:tcW w:w="8982" w:type="dxa"/>
            <w:gridSpan w:val="3"/>
            <w:tcBorders>
              <w:top w:val="single" w:sz="12" w:space="0" w:color="FFF3CD"/>
              <w:left w:val="nil"/>
              <w:bottom w:val="single" w:sz="12" w:space="0" w:color="FFF3CD"/>
              <w:right w:val="nil"/>
            </w:tcBorders>
            <w:vAlign w:val="center"/>
          </w:tcPr>
          <w:p w14:paraId="78E81F75" w14:textId="799D450E" w:rsidR="000E1DD2" w:rsidRDefault="000E1DD2" w:rsidP="00BF09CD">
            <w:pPr>
              <w:spacing w:after="0"/>
              <w:jc w:val="left"/>
              <w:rPr>
                <w:lang w:bidi="en-US"/>
              </w:rPr>
            </w:pPr>
          </w:p>
        </w:tc>
      </w:tr>
      <w:tr w:rsidR="00BF09CD" w:rsidRPr="00577FD8" w14:paraId="6EF7F9DF" w14:textId="77777777" w:rsidTr="00577FD8">
        <w:tc>
          <w:tcPr>
            <w:tcW w:w="2223" w:type="dxa"/>
            <w:tcBorders>
              <w:top w:val="single" w:sz="12" w:space="0" w:color="FFF3CD"/>
              <w:left w:val="single" w:sz="12" w:space="0" w:color="FFF3CD"/>
              <w:bottom w:val="single" w:sz="12" w:space="0" w:color="FFF3CD"/>
              <w:right w:val="single" w:sz="12" w:space="0" w:color="FFF3CD"/>
            </w:tcBorders>
            <w:shd w:val="clear" w:color="auto" w:fill="FFE07D"/>
            <w:vAlign w:val="center"/>
          </w:tcPr>
          <w:p w14:paraId="1D8F5B72" w14:textId="1D09BE3D" w:rsidR="00BF09CD" w:rsidRPr="00577FD8" w:rsidRDefault="00BF09CD" w:rsidP="00577FD8">
            <w:pPr>
              <w:spacing w:before="80" w:after="80" w:line="240" w:lineRule="auto"/>
              <w:jc w:val="left"/>
              <w:rPr>
                <w:b/>
                <w:bCs/>
                <w:sz w:val="18"/>
                <w:szCs w:val="18"/>
                <w:lang w:bidi="en-US"/>
              </w:rPr>
            </w:pPr>
            <w:r w:rsidRPr="00577FD8">
              <w:rPr>
                <w:b/>
                <w:bCs/>
                <w:sz w:val="18"/>
                <w:szCs w:val="18"/>
                <w:lang w:bidi="en-US"/>
              </w:rPr>
              <w:t>Kierunek działania 1.4</w:t>
            </w:r>
          </w:p>
        </w:tc>
        <w:tc>
          <w:tcPr>
            <w:tcW w:w="6759" w:type="dxa"/>
            <w:gridSpan w:val="2"/>
            <w:tcBorders>
              <w:top w:val="single" w:sz="12" w:space="0" w:color="FFF3CD"/>
              <w:left w:val="single" w:sz="12" w:space="0" w:color="FFF3CD"/>
              <w:bottom w:val="single" w:sz="12" w:space="0" w:color="FFF3CD"/>
              <w:right w:val="single" w:sz="12" w:space="0" w:color="FFF3CD"/>
            </w:tcBorders>
            <w:shd w:val="clear" w:color="auto" w:fill="FFE07D"/>
            <w:vAlign w:val="center"/>
          </w:tcPr>
          <w:p w14:paraId="1D0BF663" w14:textId="78F8F07C" w:rsidR="00BF09CD" w:rsidRPr="00577FD8" w:rsidRDefault="000E1DD2" w:rsidP="00577FD8">
            <w:pPr>
              <w:spacing w:before="80" w:after="80" w:line="240" w:lineRule="auto"/>
              <w:jc w:val="left"/>
              <w:rPr>
                <w:b/>
                <w:bCs/>
                <w:sz w:val="18"/>
                <w:szCs w:val="18"/>
                <w:lang w:bidi="en-US"/>
              </w:rPr>
            </w:pPr>
            <w:r w:rsidRPr="00577FD8">
              <w:rPr>
                <w:b/>
                <w:bCs/>
                <w:sz w:val="18"/>
                <w:szCs w:val="18"/>
                <w:lang w:bidi="en-US"/>
              </w:rPr>
              <w:t>Wzrost</w:t>
            </w:r>
            <w:r w:rsidR="00BF09CD" w:rsidRPr="00577FD8">
              <w:rPr>
                <w:b/>
                <w:bCs/>
                <w:sz w:val="18"/>
                <w:szCs w:val="18"/>
                <w:lang w:bidi="en-US"/>
              </w:rPr>
              <w:t xml:space="preserve"> bezpieczeństwa publicznego</w:t>
            </w:r>
          </w:p>
        </w:tc>
      </w:tr>
      <w:tr w:rsidR="00BF09CD" w:rsidRPr="00577FD8" w14:paraId="674D1AB0"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vAlign w:val="center"/>
          </w:tcPr>
          <w:p w14:paraId="3A39CBE9" w14:textId="4B194AB2" w:rsidR="00BF09CD" w:rsidRPr="00577FD8" w:rsidRDefault="00BF09CD" w:rsidP="00577FD8">
            <w:pPr>
              <w:spacing w:before="80" w:after="80" w:line="240" w:lineRule="auto"/>
              <w:jc w:val="left"/>
              <w:rPr>
                <w:b/>
                <w:bCs/>
                <w:sz w:val="18"/>
                <w:szCs w:val="18"/>
                <w:lang w:bidi="en-US"/>
              </w:rPr>
            </w:pPr>
            <w:r w:rsidRPr="00577FD8">
              <w:rPr>
                <w:b/>
                <w:bCs/>
                <w:sz w:val="18"/>
                <w:szCs w:val="18"/>
                <w:lang w:bidi="en-US"/>
              </w:rPr>
              <w:t>Planowane rezultaty</w:t>
            </w:r>
          </w:p>
        </w:tc>
        <w:tc>
          <w:tcPr>
            <w:tcW w:w="4494" w:type="dxa"/>
            <w:tcBorders>
              <w:top w:val="single" w:sz="12" w:space="0" w:color="FFF3CD"/>
              <w:left w:val="single" w:sz="12" w:space="0" w:color="FFF3CD"/>
              <w:bottom w:val="single" w:sz="12" w:space="0" w:color="FFF3CD"/>
              <w:right w:val="single" w:sz="12" w:space="0" w:color="FFF3CD"/>
            </w:tcBorders>
            <w:vAlign w:val="center"/>
          </w:tcPr>
          <w:p w14:paraId="565072B3" w14:textId="2A668476" w:rsidR="00BF09CD" w:rsidRPr="00577FD8" w:rsidRDefault="00BF09CD" w:rsidP="00577FD8">
            <w:pPr>
              <w:spacing w:before="80" w:after="80" w:line="240" w:lineRule="auto"/>
              <w:jc w:val="left"/>
              <w:rPr>
                <w:b/>
                <w:bCs/>
                <w:sz w:val="18"/>
                <w:szCs w:val="18"/>
                <w:lang w:bidi="en-US"/>
              </w:rPr>
            </w:pPr>
            <w:r w:rsidRPr="00577FD8">
              <w:rPr>
                <w:b/>
                <w:bCs/>
                <w:sz w:val="18"/>
                <w:szCs w:val="18"/>
                <w:lang w:bidi="en-US"/>
              </w:rPr>
              <w:t>Wskaźniki osiągnięcia/</w:t>
            </w:r>
            <w:r w:rsidRPr="00BD67EA">
              <w:rPr>
                <w:b/>
                <w:bCs/>
                <w:color w:val="C45911" w:themeColor="accent2" w:themeShade="BF"/>
                <w:sz w:val="18"/>
                <w:szCs w:val="18"/>
                <w:lang w:bidi="en-US"/>
              </w:rPr>
              <w:t>oczekiwany trend</w:t>
            </w:r>
          </w:p>
        </w:tc>
      </w:tr>
      <w:tr w:rsidR="00BF09CD" w14:paraId="7DBA1846"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vAlign w:val="center"/>
          </w:tcPr>
          <w:p w14:paraId="00E4CC40" w14:textId="77777777" w:rsidR="007D0A8A" w:rsidRDefault="002479C7">
            <w:pPr>
              <w:pStyle w:val="Akapitzlist"/>
              <w:numPr>
                <w:ilvl w:val="0"/>
                <w:numId w:val="32"/>
              </w:numPr>
              <w:spacing w:after="0"/>
              <w:ind w:left="411" w:hanging="283"/>
              <w:jc w:val="left"/>
              <w:rPr>
                <w:sz w:val="18"/>
                <w:szCs w:val="20"/>
                <w:lang w:bidi="en-US"/>
              </w:rPr>
            </w:pPr>
            <w:r w:rsidRPr="002479C7">
              <w:rPr>
                <w:sz w:val="18"/>
                <w:szCs w:val="20"/>
                <w:lang w:bidi="en-US"/>
              </w:rPr>
              <w:t>wzrost poziomu bezpieczeństwa mieszkańców</w:t>
            </w:r>
          </w:p>
          <w:p w14:paraId="1405ADBA" w14:textId="6FD95D7F" w:rsidR="002479C7" w:rsidRPr="007D0A8A" w:rsidRDefault="002479C7">
            <w:pPr>
              <w:pStyle w:val="Akapitzlist"/>
              <w:numPr>
                <w:ilvl w:val="0"/>
                <w:numId w:val="32"/>
              </w:numPr>
              <w:spacing w:after="0"/>
              <w:ind w:left="411" w:hanging="283"/>
              <w:jc w:val="left"/>
              <w:rPr>
                <w:sz w:val="18"/>
                <w:szCs w:val="20"/>
                <w:lang w:bidi="en-US"/>
              </w:rPr>
            </w:pPr>
            <w:r w:rsidRPr="007D0A8A">
              <w:rPr>
                <w:sz w:val="18"/>
                <w:szCs w:val="20"/>
                <w:lang w:bidi="en-US"/>
              </w:rPr>
              <w:t>wzrost świadomości mieszkańców w zakresie pierwszej pomocy oraz obsługi urządzeń służących do ratowania życia</w:t>
            </w:r>
          </w:p>
        </w:tc>
        <w:tc>
          <w:tcPr>
            <w:tcW w:w="4494" w:type="dxa"/>
            <w:tcBorders>
              <w:top w:val="single" w:sz="12" w:space="0" w:color="FFF3CD"/>
              <w:left w:val="single" w:sz="12" w:space="0" w:color="FFF3CD"/>
              <w:bottom w:val="single" w:sz="12" w:space="0" w:color="FFF3CD"/>
              <w:right w:val="single" w:sz="12" w:space="0" w:color="FFF3CD"/>
            </w:tcBorders>
          </w:tcPr>
          <w:p w14:paraId="29835158" w14:textId="77777777" w:rsidR="007D0A8A" w:rsidRPr="007D0A8A" w:rsidRDefault="00137CF3">
            <w:pPr>
              <w:pStyle w:val="Akapitzlist"/>
              <w:numPr>
                <w:ilvl w:val="0"/>
                <w:numId w:val="33"/>
              </w:numPr>
              <w:spacing w:after="0"/>
              <w:ind w:left="318" w:hanging="284"/>
              <w:jc w:val="left"/>
              <w:rPr>
                <w:lang w:bidi="en-US"/>
              </w:rPr>
            </w:pPr>
            <w:r w:rsidRPr="007D0A8A">
              <w:rPr>
                <w:sz w:val="18"/>
                <w:szCs w:val="20"/>
                <w:lang w:bidi="en-US"/>
              </w:rPr>
              <w:t>l</w:t>
            </w:r>
            <w:r w:rsidR="009F65CA" w:rsidRPr="007D0A8A">
              <w:rPr>
                <w:sz w:val="18"/>
                <w:szCs w:val="20"/>
                <w:lang w:bidi="en-US"/>
              </w:rPr>
              <w:t>iczba osób, które uzyskały kwalifikacje</w:t>
            </w:r>
            <w:r w:rsidR="00785160" w:rsidRPr="007D0A8A">
              <w:rPr>
                <w:sz w:val="18"/>
                <w:szCs w:val="20"/>
                <w:lang w:bidi="en-US"/>
              </w:rPr>
              <w:t xml:space="preserve"> </w:t>
            </w:r>
            <w:r w:rsidR="00785160" w:rsidRPr="00785160">
              <w:rPr>
                <w:color w:val="C45911" w:themeColor="accent2" w:themeShade="BF"/>
                <w:lang w:bidi="en-US"/>
              </w:rPr>
              <w:sym w:font="Wingdings" w:char="F0EC"/>
            </w:r>
          </w:p>
          <w:p w14:paraId="38E67F9A" w14:textId="0A2E33BB" w:rsidR="00802E10" w:rsidRPr="007D0A8A" w:rsidRDefault="00802E10">
            <w:pPr>
              <w:pStyle w:val="Akapitzlist"/>
              <w:numPr>
                <w:ilvl w:val="0"/>
                <w:numId w:val="33"/>
              </w:numPr>
              <w:spacing w:after="0"/>
              <w:ind w:left="318" w:hanging="284"/>
              <w:jc w:val="left"/>
              <w:rPr>
                <w:lang w:bidi="en-US"/>
              </w:rPr>
            </w:pPr>
            <w:r w:rsidRPr="007D0A8A">
              <w:rPr>
                <w:sz w:val="18"/>
                <w:szCs w:val="18"/>
                <w:lang w:bidi="en-US"/>
              </w:rPr>
              <w:t xml:space="preserve">Liczba przedsięwzięć z zakresu poprawy bezpieczeństwa mieszkańców </w:t>
            </w:r>
            <w:r w:rsidR="00785160" w:rsidRPr="00785160">
              <w:rPr>
                <w:color w:val="C45911" w:themeColor="accent2" w:themeShade="BF"/>
                <w:szCs w:val="20"/>
                <w:lang w:bidi="en-US"/>
              </w:rPr>
              <w:sym w:font="Wingdings" w:char="F0EC"/>
            </w:r>
          </w:p>
        </w:tc>
      </w:tr>
      <w:tr w:rsidR="00BF09CD" w14:paraId="336CAB8C" w14:textId="77777777" w:rsidTr="00577FD8">
        <w:tc>
          <w:tcPr>
            <w:tcW w:w="8982" w:type="dxa"/>
            <w:gridSpan w:val="3"/>
            <w:tcBorders>
              <w:top w:val="single" w:sz="12" w:space="0" w:color="FFF3CD"/>
              <w:left w:val="nil"/>
              <w:bottom w:val="nil"/>
              <w:right w:val="nil"/>
            </w:tcBorders>
            <w:vAlign w:val="center"/>
          </w:tcPr>
          <w:p w14:paraId="71C87CE7" w14:textId="77777777" w:rsidR="00BF09CD" w:rsidRDefault="00BF09CD" w:rsidP="00BF09CD">
            <w:pPr>
              <w:spacing w:after="0"/>
              <w:jc w:val="left"/>
              <w:rPr>
                <w:lang w:bidi="en-US"/>
              </w:rPr>
            </w:pPr>
          </w:p>
        </w:tc>
      </w:tr>
      <w:tr w:rsidR="00BF09CD" w:rsidRPr="00577FD8" w14:paraId="680958A1" w14:textId="77777777" w:rsidTr="00577FD8">
        <w:tc>
          <w:tcPr>
            <w:tcW w:w="2223" w:type="dxa"/>
            <w:tcBorders>
              <w:top w:val="nil"/>
              <w:left w:val="single" w:sz="12" w:space="0" w:color="FFF3CD"/>
              <w:bottom w:val="single" w:sz="12" w:space="0" w:color="FFF3CD"/>
              <w:right w:val="single" w:sz="12" w:space="0" w:color="FFF3CD"/>
            </w:tcBorders>
            <w:shd w:val="clear" w:color="auto" w:fill="FFE07D"/>
            <w:vAlign w:val="center"/>
          </w:tcPr>
          <w:p w14:paraId="18589EED" w14:textId="318CF2F3" w:rsidR="00BF09CD" w:rsidRPr="00577FD8" w:rsidRDefault="00BF09CD" w:rsidP="00577FD8">
            <w:pPr>
              <w:spacing w:before="80" w:after="80" w:line="240" w:lineRule="auto"/>
              <w:jc w:val="left"/>
              <w:rPr>
                <w:b/>
                <w:bCs/>
                <w:sz w:val="18"/>
                <w:szCs w:val="18"/>
                <w:lang w:bidi="en-US"/>
              </w:rPr>
            </w:pPr>
            <w:r w:rsidRPr="00577FD8">
              <w:rPr>
                <w:b/>
                <w:bCs/>
                <w:sz w:val="18"/>
                <w:szCs w:val="18"/>
                <w:lang w:bidi="en-US"/>
              </w:rPr>
              <w:lastRenderedPageBreak/>
              <w:t>Kierunek działania 1.</w:t>
            </w:r>
            <w:r w:rsidR="00802E10" w:rsidRPr="00577FD8">
              <w:rPr>
                <w:b/>
                <w:bCs/>
                <w:sz w:val="18"/>
                <w:szCs w:val="18"/>
                <w:lang w:bidi="en-US"/>
              </w:rPr>
              <w:t>5</w:t>
            </w:r>
          </w:p>
        </w:tc>
        <w:tc>
          <w:tcPr>
            <w:tcW w:w="6759" w:type="dxa"/>
            <w:gridSpan w:val="2"/>
            <w:tcBorders>
              <w:top w:val="nil"/>
              <w:left w:val="single" w:sz="12" w:space="0" w:color="FFF3CD"/>
              <w:bottom w:val="single" w:sz="12" w:space="0" w:color="FFF3CD"/>
              <w:right w:val="single" w:sz="12" w:space="0" w:color="FFF3CD"/>
            </w:tcBorders>
            <w:shd w:val="clear" w:color="auto" w:fill="FFE07D"/>
            <w:vAlign w:val="center"/>
          </w:tcPr>
          <w:p w14:paraId="6CADF127" w14:textId="2644E57B" w:rsidR="00BF09CD" w:rsidRPr="00577FD8" w:rsidRDefault="00BF09CD" w:rsidP="00577FD8">
            <w:pPr>
              <w:spacing w:before="80" w:after="80" w:line="240" w:lineRule="auto"/>
              <w:jc w:val="left"/>
              <w:rPr>
                <w:b/>
                <w:bCs/>
                <w:sz w:val="18"/>
                <w:szCs w:val="18"/>
                <w:lang w:bidi="en-US"/>
              </w:rPr>
            </w:pPr>
            <w:r w:rsidRPr="00577FD8">
              <w:rPr>
                <w:b/>
                <w:bCs/>
                <w:sz w:val="18"/>
                <w:szCs w:val="18"/>
                <w:lang w:bidi="en-US"/>
              </w:rPr>
              <w:t xml:space="preserve">Doskonalenie jakości edukacji oraz </w:t>
            </w:r>
            <w:r w:rsidR="00802E10" w:rsidRPr="00577FD8">
              <w:rPr>
                <w:b/>
                <w:bCs/>
                <w:sz w:val="18"/>
                <w:szCs w:val="18"/>
                <w:lang w:bidi="en-US"/>
              </w:rPr>
              <w:t>rozwój kompetencji</w:t>
            </w:r>
          </w:p>
        </w:tc>
      </w:tr>
      <w:tr w:rsidR="002479C7" w:rsidRPr="00577FD8" w14:paraId="747495E0"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vAlign w:val="center"/>
          </w:tcPr>
          <w:p w14:paraId="499A153E" w14:textId="0D9A9300" w:rsidR="002479C7" w:rsidRPr="00577FD8" w:rsidRDefault="002479C7" w:rsidP="00577FD8">
            <w:pPr>
              <w:spacing w:before="80" w:after="80" w:line="240" w:lineRule="auto"/>
              <w:jc w:val="left"/>
              <w:rPr>
                <w:b/>
                <w:bCs/>
                <w:sz w:val="18"/>
                <w:szCs w:val="18"/>
                <w:lang w:bidi="en-US"/>
              </w:rPr>
            </w:pPr>
            <w:r w:rsidRPr="00577FD8">
              <w:rPr>
                <w:b/>
                <w:bCs/>
                <w:sz w:val="18"/>
                <w:szCs w:val="18"/>
                <w:lang w:bidi="en-US"/>
              </w:rPr>
              <w:t>Planowane rezultaty</w:t>
            </w:r>
          </w:p>
        </w:tc>
        <w:tc>
          <w:tcPr>
            <w:tcW w:w="4494" w:type="dxa"/>
            <w:tcBorders>
              <w:top w:val="single" w:sz="12" w:space="0" w:color="FFF3CD"/>
              <w:left w:val="single" w:sz="12" w:space="0" w:color="FFF3CD"/>
              <w:bottom w:val="single" w:sz="12" w:space="0" w:color="FFF3CD"/>
              <w:right w:val="single" w:sz="12" w:space="0" w:color="FFF3CD"/>
            </w:tcBorders>
            <w:vAlign w:val="center"/>
          </w:tcPr>
          <w:p w14:paraId="372DD5EC" w14:textId="7E062749" w:rsidR="002479C7" w:rsidRPr="00577FD8" w:rsidRDefault="002479C7" w:rsidP="00577FD8">
            <w:pPr>
              <w:spacing w:before="80" w:after="80" w:line="240" w:lineRule="auto"/>
              <w:jc w:val="left"/>
              <w:rPr>
                <w:b/>
                <w:bCs/>
                <w:sz w:val="18"/>
                <w:szCs w:val="18"/>
                <w:lang w:bidi="en-US"/>
              </w:rPr>
            </w:pPr>
            <w:r w:rsidRPr="00577FD8">
              <w:rPr>
                <w:b/>
                <w:bCs/>
                <w:sz w:val="18"/>
                <w:szCs w:val="18"/>
                <w:lang w:bidi="en-US"/>
              </w:rPr>
              <w:t>Wskaźniki osiągnięcia/</w:t>
            </w:r>
            <w:r w:rsidRPr="00BD67EA">
              <w:rPr>
                <w:b/>
                <w:bCs/>
                <w:color w:val="C45911" w:themeColor="accent2" w:themeShade="BF"/>
                <w:sz w:val="18"/>
                <w:szCs w:val="18"/>
                <w:lang w:bidi="en-US"/>
              </w:rPr>
              <w:t>oczekiwany trend</w:t>
            </w:r>
          </w:p>
        </w:tc>
      </w:tr>
      <w:tr w:rsidR="002479C7" w14:paraId="621A86E9"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vAlign w:val="center"/>
          </w:tcPr>
          <w:p w14:paraId="13578C36" w14:textId="77777777" w:rsidR="002479C7" w:rsidRPr="002479C7" w:rsidRDefault="002479C7">
            <w:pPr>
              <w:pStyle w:val="Akapitzlist"/>
              <w:numPr>
                <w:ilvl w:val="0"/>
                <w:numId w:val="31"/>
              </w:numPr>
              <w:spacing w:after="0"/>
              <w:ind w:left="411" w:hanging="283"/>
              <w:jc w:val="left"/>
              <w:rPr>
                <w:sz w:val="18"/>
                <w:szCs w:val="20"/>
                <w:lang w:bidi="en-US"/>
              </w:rPr>
            </w:pPr>
            <w:r w:rsidRPr="002479C7">
              <w:rPr>
                <w:sz w:val="18"/>
                <w:szCs w:val="20"/>
                <w:lang w:bidi="en-US"/>
              </w:rPr>
              <w:t>zwiększenie oferty edukacyjnej dla dzieci i młodzieży</w:t>
            </w:r>
          </w:p>
          <w:p w14:paraId="20AAAEF6" w14:textId="77777777" w:rsidR="002479C7" w:rsidRPr="002479C7" w:rsidRDefault="002479C7">
            <w:pPr>
              <w:pStyle w:val="Akapitzlist"/>
              <w:numPr>
                <w:ilvl w:val="0"/>
                <w:numId w:val="31"/>
              </w:numPr>
              <w:spacing w:after="0"/>
              <w:ind w:left="411" w:hanging="283"/>
              <w:jc w:val="left"/>
              <w:rPr>
                <w:sz w:val="18"/>
                <w:szCs w:val="20"/>
                <w:lang w:bidi="en-US"/>
              </w:rPr>
            </w:pPr>
            <w:r w:rsidRPr="002479C7">
              <w:rPr>
                <w:sz w:val="18"/>
                <w:szCs w:val="20"/>
                <w:lang w:bidi="en-US"/>
              </w:rPr>
              <w:t>zdobycie przez uczniów i mieszkańców wiedzy i specjalistycznych kompetencji (np. znajomość języka obcego)</w:t>
            </w:r>
          </w:p>
          <w:p w14:paraId="1FD38738" w14:textId="77777777" w:rsidR="002479C7" w:rsidRDefault="002479C7">
            <w:pPr>
              <w:pStyle w:val="Akapitzlist"/>
              <w:numPr>
                <w:ilvl w:val="0"/>
                <w:numId w:val="31"/>
              </w:numPr>
              <w:spacing w:after="0"/>
              <w:ind w:left="411" w:hanging="283"/>
              <w:jc w:val="left"/>
              <w:rPr>
                <w:sz w:val="18"/>
                <w:szCs w:val="20"/>
                <w:lang w:bidi="en-US"/>
              </w:rPr>
            </w:pPr>
            <w:r w:rsidRPr="002479C7">
              <w:rPr>
                <w:sz w:val="18"/>
                <w:szCs w:val="20"/>
                <w:lang w:bidi="en-US"/>
              </w:rPr>
              <w:t>poprawa jakości wyposażenia obiektów oświaty</w:t>
            </w:r>
          </w:p>
          <w:p w14:paraId="22901EE2" w14:textId="77777777" w:rsidR="002479C7" w:rsidRDefault="002479C7">
            <w:pPr>
              <w:pStyle w:val="Akapitzlist"/>
              <w:numPr>
                <w:ilvl w:val="0"/>
                <w:numId w:val="31"/>
              </w:numPr>
              <w:spacing w:after="0"/>
              <w:ind w:left="411" w:hanging="283"/>
              <w:jc w:val="left"/>
              <w:rPr>
                <w:sz w:val="18"/>
                <w:szCs w:val="20"/>
                <w:lang w:bidi="en-US"/>
              </w:rPr>
            </w:pPr>
            <w:r w:rsidRPr="002479C7">
              <w:rPr>
                <w:sz w:val="18"/>
                <w:szCs w:val="20"/>
                <w:lang w:bidi="en-US"/>
              </w:rPr>
              <w:t>polepszenie warunków kształcenia</w:t>
            </w:r>
          </w:p>
          <w:p w14:paraId="37A695BB" w14:textId="47291B19" w:rsidR="000A2983" w:rsidRPr="002479C7" w:rsidRDefault="000A2983">
            <w:pPr>
              <w:pStyle w:val="Akapitzlist"/>
              <w:numPr>
                <w:ilvl w:val="0"/>
                <w:numId w:val="31"/>
              </w:numPr>
              <w:spacing w:after="0"/>
              <w:ind w:left="411" w:hanging="283"/>
              <w:jc w:val="left"/>
              <w:rPr>
                <w:sz w:val="18"/>
                <w:szCs w:val="20"/>
                <w:lang w:bidi="en-US"/>
              </w:rPr>
            </w:pPr>
            <w:r>
              <w:rPr>
                <w:sz w:val="18"/>
                <w:szCs w:val="20"/>
                <w:lang w:bidi="en-US"/>
              </w:rPr>
              <w:t>aktywizacja zawodowa mieszkańców poprzez organizację szkoleń oraz staży</w:t>
            </w:r>
          </w:p>
        </w:tc>
        <w:tc>
          <w:tcPr>
            <w:tcW w:w="4494" w:type="dxa"/>
            <w:tcBorders>
              <w:top w:val="single" w:sz="12" w:space="0" w:color="FFF3CD"/>
              <w:left w:val="single" w:sz="12" w:space="0" w:color="FFF3CD"/>
              <w:bottom w:val="single" w:sz="12" w:space="0" w:color="FFF3CD"/>
              <w:right w:val="single" w:sz="12" w:space="0" w:color="FFF3CD"/>
            </w:tcBorders>
          </w:tcPr>
          <w:p w14:paraId="261C4257" w14:textId="5E45C7E1" w:rsidR="002479C7" w:rsidRPr="007D0A8A" w:rsidRDefault="00137CF3">
            <w:pPr>
              <w:pStyle w:val="Akapitzlist"/>
              <w:numPr>
                <w:ilvl w:val="0"/>
                <w:numId w:val="31"/>
              </w:numPr>
              <w:spacing w:after="0"/>
              <w:ind w:left="318" w:hanging="284"/>
              <w:jc w:val="left"/>
              <w:rPr>
                <w:sz w:val="18"/>
                <w:szCs w:val="20"/>
                <w:lang w:bidi="en-US"/>
              </w:rPr>
            </w:pPr>
            <w:r w:rsidRPr="007D0A8A">
              <w:rPr>
                <w:sz w:val="18"/>
                <w:szCs w:val="20"/>
              </w:rPr>
              <w:t>l</w:t>
            </w:r>
            <w:r w:rsidR="008318B1" w:rsidRPr="007D0A8A">
              <w:rPr>
                <w:sz w:val="18"/>
                <w:szCs w:val="20"/>
              </w:rPr>
              <w:t>iczba podmiotów objętych wsparciem w</w:t>
            </w:r>
            <w:r w:rsidR="005D222C" w:rsidRPr="007D0A8A">
              <w:rPr>
                <w:sz w:val="18"/>
                <w:szCs w:val="20"/>
              </w:rPr>
              <w:t> </w:t>
            </w:r>
            <w:r w:rsidR="008318B1" w:rsidRPr="007D0A8A">
              <w:rPr>
                <w:sz w:val="18"/>
                <w:szCs w:val="20"/>
              </w:rPr>
              <w:t>celu zwiększenia jakości i efektywności systemu kształcenia i szkolenia</w:t>
            </w:r>
            <w:r w:rsidRPr="007D0A8A">
              <w:rPr>
                <w:sz w:val="18"/>
                <w:szCs w:val="20"/>
              </w:rPr>
              <w:t xml:space="preserve"> </w:t>
            </w:r>
            <w:r w:rsidR="00785160" w:rsidRPr="00785160">
              <w:rPr>
                <w:color w:val="C45911" w:themeColor="accent2" w:themeShade="BF"/>
                <w:lang w:bidi="en-US"/>
              </w:rPr>
              <w:sym w:font="Wingdings" w:char="F0EC"/>
            </w:r>
          </w:p>
          <w:p w14:paraId="721B05DF" w14:textId="498708EB" w:rsidR="00C35CD2" w:rsidRPr="007D0A8A" w:rsidRDefault="00137CF3">
            <w:pPr>
              <w:pStyle w:val="Akapitzlist"/>
              <w:numPr>
                <w:ilvl w:val="0"/>
                <w:numId w:val="31"/>
              </w:numPr>
              <w:spacing w:after="0"/>
              <w:ind w:left="318" w:hanging="284"/>
              <w:jc w:val="left"/>
              <w:rPr>
                <w:sz w:val="18"/>
                <w:szCs w:val="20"/>
                <w:lang w:bidi="en-US"/>
              </w:rPr>
            </w:pPr>
            <w:r w:rsidRPr="007D0A8A">
              <w:rPr>
                <w:sz w:val="18"/>
                <w:szCs w:val="20"/>
              </w:rPr>
              <w:t>l</w:t>
            </w:r>
            <w:r w:rsidR="00C35CD2" w:rsidRPr="007D0A8A">
              <w:rPr>
                <w:sz w:val="18"/>
                <w:szCs w:val="20"/>
              </w:rPr>
              <w:t>iczba przedstawicieli organizacji społeczeństwa obywatelskiego, którzy zdobyli nowe umiejętności, wiedzę lub uzyskali kwalifikacje</w:t>
            </w:r>
            <w:r w:rsidR="00785160" w:rsidRPr="007D0A8A">
              <w:rPr>
                <w:sz w:val="18"/>
                <w:szCs w:val="20"/>
              </w:rPr>
              <w:t xml:space="preserve"> </w:t>
            </w:r>
            <w:r w:rsidR="00785160" w:rsidRPr="00785160">
              <w:rPr>
                <w:color w:val="C45911" w:themeColor="accent2" w:themeShade="BF"/>
                <w:lang w:bidi="en-US"/>
              </w:rPr>
              <w:sym w:font="Wingdings" w:char="F0EC"/>
            </w:r>
          </w:p>
          <w:p w14:paraId="04933DF3" w14:textId="2C07C2FF" w:rsidR="00C35CD2" w:rsidRPr="009F65CA" w:rsidRDefault="00137CF3">
            <w:pPr>
              <w:pStyle w:val="Akapitzlist"/>
              <w:numPr>
                <w:ilvl w:val="0"/>
                <w:numId w:val="31"/>
              </w:numPr>
              <w:spacing w:after="0"/>
              <w:ind w:left="318" w:hanging="284"/>
              <w:jc w:val="left"/>
              <w:rPr>
                <w:lang w:bidi="en-US"/>
              </w:rPr>
            </w:pPr>
            <w:r w:rsidRPr="007D0A8A">
              <w:rPr>
                <w:sz w:val="18"/>
                <w:szCs w:val="20"/>
              </w:rPr>
              <w:t>l</w:t>
            </w:r>
            <w:r w:rsidR="00C35CD2" w:rsidRPr="007D0A8A">
              <w:rPr>
                <w:sz w:val="18"/>
                <w:szCs w:val="20"/>
              </w:rPr>
              <w:t>iczba uczniów, którzy nabyli kwalifikacje</w:t>
            </w:r>
            <w:r w:rsidR="00785160" w:rsidRPr="007D0A8A">
              <w:rPr>
                <w:sz w:val="18"/>
                <w:szCs w:val="20"/>
              </w:rPr>
              <w:t xml:space="preserve"> </w:t>
            </w:r>
            <w:r w:rsidR="00785160" w:rsidRPr="00785160">
              <w:rPr>
                <w:color w:val="C45911" w:themeColor="accent2" w:themeShade="BF"/>
                <w:lang w:bidi="en-US"/>
              </w:rPr>
              <w:sym w:font="Wingdings" w:char="F0EC"/>
            </w:r>
          </w:p>
          <w:p w14:paraId="0CCAFB62" w14:textId="5DA8AF7C" w:rsidR="009F65CA" w:rsidRDefault="00137CF3">
            <w:pPr>
              <w:pStyle w:val="Akapitzlist"/>
              <w:numPr>
                <w:ilvl w:val="0"/>
                <w:numId w:val="31"/>
              </w:numPr>
              <w:spacing w:after="0"/>
              <w:ind w:left="318" w:hanging="284"/>
              <w:jc w:val="left"/>
              <w:rPr>
                <w:lang w:bidi="en-US"/>
              </w:rPr>
            </w:pPr>
            <w:r w:rsidRPr="007D0A8A">
              <w:rPr>
                <w:sz w:val="18"/>
                <w:szCs w:val="20"/>
              </w:rPr>
              <w:t>l</w:t>
            </w:r>
            <w:r w:rsidR="009F65CA" w:rsidRPr="007D0A8A">
              <w:rPr>
                <w:sz w:val="18"/>
                <w:szCs w:val="20"/>
              </w:rPr>
              <w:t>iczba doposażonych szkół</w:t>
            </w:r>
            <w:r w:rsidR="00785160" w:rsidRPr="007D0A8A">
              <w:rPr>
                <w:sz w:val="18"/>
                <w:szCs w:val="20"/>
              </w:rPr>
              <w:t xml:space="preserve"> </w:t>
            </w:r>
            <w:r w:rsidR="00785160" w:rsidRPr="00785160">
              <w:rPr>
                <w:color w:val="C45911" w:themeColor="accent2" w:themeShade="BF"/>
                <w:lang w:bidi="en-US"/>
              </w:rPr>
              <w:sym w:font="Wingdings" w:char="F0EC"/>
            </w:r>
          </w:p>
        </w:tc>
      </w:tr>
      <w:tr w:rsidR="002479C7" w14:paraId="6DE307C7" w14:textId="77777777" w:rsidTr="00577FD8">
        <w:tc>
          <w:tcPr>
            <w:tcW w:w="8982" w:type="dxa"/>
            <w:gridSpan w:val="3"/>
            <w:tcBorders>
              <w:top w:val="single" w:sz="12" w:space="0" w:color="FFF3CD"/>
              <w:left w:val="nil"/>
              <w:bottom w:val="single" w:sz="12" w:space="0" w:color="FFF3CD"/>
              <w:right w:val="nil"/>
            </w:tcBorders>
            <w:vAlign w:val="center"/>
          </w:tcPr>
          <w:p w14:paraId="2C7A60DF" w14:textId="77777777" w:rsidR="002479C7" w:rsidRDefault="002479C7" w:rsidP="002479C7">
            <w:pPr>
              <w:spacing w:after="0"/>
              <w:jc w:val="left"/>
              <w:rPr>
                <w:lang w:bidi="en-US"/>
              </w:rPr>
            </w:pPr>
          </w:p>
        </w:tc>
      </w:tr>
      <w:tr w:rsidR="002479C7" w:rsidRPr="00577FD8" w14:paraId="087174EE" w14:textId="77777777" w:rsidTr="00577FD8">
        <w:tc>
          <w:tcPr>
            <w:tcW w:w="2223" w:type="dxa"/>
            <w:tcBorders>
              <w:top w:val="single" w:sz="12" w:space="0" w:color="FFF3CD"/>
              <w:left w:val="single" w:sz="12" w:space="0" w:color="FFF3CD"/>
              <w:bottom w:val="single" w:sz="12" w:space="0" w:color="FFF3CD"/>
              <w:right w:val="single" w:sz="12" w:space="0" w:color="FFF3CD"/>
            </w:tcBorders>
            <w:shd w:val="clear" w:color="auto" w:fill="FFE07D"/>
            <w:vAlign w:val="center"/>
          </w:tcPr>
          <w:p w14:paraId="25B9DB6B" w14:textId="5A5D4922" w:rsidR="002479C7" w:rsidRPr="00577FD8" w:rsidRDefault="002479C7" w:rsidP="00577FD8">
            <w:pPr>
              <w:spacing w:before="80" w:after="80" w:line="240" w:lineRule="auto"/>
              <w:jc w:val="left"/>
              <w:rPr>
                <w:b/>
                <w:bCs/>
                <w:sz w:val="18"/>
                <w:szCs w:val="18"/>
                <w:lang w:bidi="en-US"/>
              </w:rPr>
            </w:pPr>
            <w:r w:rsidRPr="00577FD8">
              <w:rPr>
                <w:b/>
                <w:bCs/>
                <w:sz w:val="18"/>
                <w:szCs w:val="18"/>
                <w:lang w:bidi="en-US"/>
              </w:rPr>
              <w:t>Kierunek działania 1.</w:t>
            </w:r>
            <w:r w:rsidR="00802E10" w:rsidRPr="00577FD8">
              <w:rPr>
                <w:b/>
                <w:bCs/>
                <w:sz w:val="18"/>
                <w:szCs w:val="18"/>
                <w:lang w:bidi="en-US"/>
              </w:rPr>
              <w:t>6</w:t>
            </w:r>
          </w:p>
        </w:tc>
        <w:tc>
          <w:tcPr>
            <w:tcW w:w="6759" w:type="dxa"/>
            <w:gridSpan w:val="2"/>
            <w:tcBorders>
              <w:top w:val="single" w:sz="12" w:space="0" w:color="FFF3CD"/>
              <w:left w:val="single" w:sz="12" w:space="0" w:color="FFF3CD"/>
              <w:bottom w:val="single" w:sz="12" w:space="0" w:color="FFF3CD"/>
              <w:right w:val="single" w:sz="12" w:space="0" w:color="FFF3CD"/>
            </w:tcBorders>
            <w:shd w:val="clear" w:color="auto" w:fill="FFE07D"/>
            <w:vAlign w:val="center"/>
          </w:tcPr>
          <w:p w14:paraId="6D4EF09C" w14:textId="2302CE71" w:rsidR="002479C7" w:rsidRPr="00577FD8" w:rsidRDefault="00BF09CD" w:rsidP="00577FD8">
            <w:pPr>
              <w:spacing w:before="80" w:after="80" w:line="240" w:lineRule="auto"/>
              <w:jc w:val="left"/>
              <w:rPr>
                <w:b/>
                <w:bCs/>
                <w:sz w:val="18"/>
                <w:szCs w:val="18"/>
                <w:lang w:bidi="en-US"/>
              </w:rPr>
            </w:pPr>
            <w:r w:rsidRPr="00577FD8">
              <w:rPr>
                <w:b/>
                <w:bCs/>
                <w:sz w:val="18"/>
                <w:szCs w:val="18"/>
                <w:lang w:bidi="en-US"/>
              </w:rPr>
              <w:t>Wsparcie dla funkcjonowania organizacji pozarządowych</w:t>
            </w:r>
          </w:p>
        </w:tc>
      </w:tr>
      <w:tr w:rsidR="002479C7" w:rsidRPr="00577FD8" w14:paraId="30900820"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vAlign w:val="center"/>
          </w:tcPr>
          <w:p w14:paraId="039F8370" w14:textId="05AA5525" w:rsidR="002479C7" w:rsidRPr="00577FD8" w:rsidRDefault="002479C7" w:rsidP="00577FD8">
            <w:pPr>
              <w:spacing w:before="80" w:after="80" w:line="240" w:lineRule="auto"/>
              <w:jc w:val="left"/>
              <w:rPr>
                <w:b/>
                <w:bCs/>
                <w:sz w:val="18"/>
                <w:szCs w:val="18"/>
                <w:lang w:bidi="en-US"/>
              </w:rPr>
            </w:pPr>
            <w:r w:rsidRPr="00577FD8">
              <w:rPr>
                <w:b/>
                <w:bCs/>
                <w:sz w:val="18"/>
                <w:szCs w:val="18"/>
                <w:lang w:bidi="en-US"/>
              </w:rPr>
              <w:t>Planowane rezultaty</w:t>
            </w:r>
          </w:p>
        </w:tc>
        <w:tc>
          <w:tcPr>
            <w:tcW w:w="4494" w:type="dxa"/>
            <w:tcBorders>
              <w:top w:val="single" w:sz="12" w:space="0" w:color="FFF3CD"/>
              <w:left w:val="single" w:sz="12" w:space="0" w:color="FFF3CD"/>
              <w:bottom w:val="single" w:sz="12" w:space="0" w:color="FFF3CD"/>
              <w:right w:val="single" w:sz="12" w:space="0" w:color="FFF3CD"/>
            </w:tcBorders>
            <w:vAlign w:val="center"/>
          </w:tcPr>
          <w:p w14:paraId="19822347" w14:textId="2F284268" w:rsidR="002479C7" w:rsidRPr="00577FD8" w:rsidRDefault="002479C7" w:rsidP="00577FD8">
            <w:pPr>
              <w:spacing w:before="80" w:after="80" w:line="240" w:lineRule="auto"/>
              <w:jc w:val="left"/>
              <w:rPr>
                <w:b/>
                <w:bCs/>
                <w:sz w:val="18"/>
                <w:szCs w:val="18"/>
                <w:lang w:bidi="en-US"/>
              </w:rPr>
            </w:pPr>
            <w:r w:rsidRPr="00577FD8">
              <w:rPr>
                <w:b/>
                <w:bCs/>
                <w:sz w:val="18"/>
                <w:szCs w:val="18"/>
                <w:lang w:bidi="en-US"/>
              </w:rPr>
              <w:t>Wskaźniki osiągnięcia/</w:t>
            </w:r>
            <w:r w:rsidRPr="00BD67EA">
              <w:rPr>
                <w:b/>
                <w:bCs/>
                <w:color w:val="C45911" w:themeColor="accent2" w:themeShade="BF"/>
                <w:sz w:val="18"/>
                <w:szCs w:val="18"/>
                <w:lang w:bidi="en-US"/>
              </w:rPr>
              <w:t>oczekiwany trend</w:t>
            </w:r>
          </w:p>
        </w:tc>
      </w:tr>
      <w:tr w:rsidR="002479C7" w14:paraId="4490BA52" w14:textId="77777777" w:rsidTr="00577FD8">
        <w:tc>
          <w:tcPr>
            <w:tcW w:w="4488" w:type="dxa"/>
            <w:gridSpan w:val="2"/>
            <w:tcBorders>
              <w:top w:val="single" w:sz="12" w:space="0" w:color="FFF3CD"/>
              <w:left w:val="single" w:sz="12" w:space="0" w:color="FFF3CD"/>
              <w:bottom w:val="single" w:sz="12" w:space="0" w:color="FFF3CD"/>
              <w:right w:val="single" w:sz="12" w:space="0" w:color="FFF3CD"/>
            </w:tcBorders>
          </w:tcPr>
          <w:p w14:paraId="42A7E6E9" w14:textId="2972035E" w:rsidR="002479C7" w:rsidRPr="000A2983" w:rsidRDefault="00AC5305">
            <w:pPr>
              <w:pStyle w:val="Akapitzlist"/>
              <w:numPr>
                <w:ilvl w:val="0"/>
                <w:numId w:val="29"/>
              </w:numPr>
              <w:spacing w:after="0"/>
              <w:ind w:left="411" w:hanging="283"/>
              <w:jc w:val="left"/>
              <w:rPr>
                <w:sz w:val="18"/>
                <w:szCs w:val="20"/>
                <w:lang w:bidi="en-US"/>
              </w:rPr>
            </w:pPr>
            <w:r>
              <w:rPr>
                <w:sz w:val="18"/>
                <w:szCs w:val="20"/>
                <w:lang w:bidi="en-US"/>
              </w:rPr>
              <w:t>wzrost jakości funkcjonowania</w:t>
            </w:r>
            <w:r w:rsidR="000A2983" w:rsidRPr="000A2983">
              <w:rPr>
                <w:sz w:val="18"/>
                <w:szCs w:val="20"/>
                <w:lang w:bidi="en-US"/>
              </w:rPr>
              <w:t xml:space="preserve"> organizacji pozarządowych</w:t>
            </w:r>
          </w:p>
          <w:p w14:paraId="20948958" w14:textId="6AE6AF26" w:rsidR="000A2983" w:rsidRDefault="000A2983">
            <w:pPr>
              <w:pStyle w:val="Akapitzlist"/>
              <w:numPr>
                <w:ilvl w:val="0"/>
                <w:numId w:val="29"/>
              </w:numPr>
              <w:spacing w:after="0"/>
              <w:ind w:left="411" w:hanging="283"/>
              <w:jc w:val="left"/>
              <w:rPr>
                <w:lang w:bidi="en-US"/>
              </w:rPr>
            </w:pPr>
            <w:r>
              <w:rPr>
                <w:sz w:val="18"/>
                <w:szCs w:val="20"/>
                <w:lang w:bidi="en-US"/>
              </w:rPr>
              <w:t>p</w:t>
            </w:r>
            <w:r w:rsidRPr="000A2983">
              <w:rPr>
                <w:sz w:val="18"/>
                <w:szCs w:val="20"/>
                <w:lang w:bidi="en-US"/>
              </w:rPr>
              <w:t>odniesienie jakości obsługi lokalnych przedsiębiorstw społecznych</w:t>
            </w:r>
          </w:p>
        </w:tc>
        <w:tc>
          <w:tcPr>
            <w:tcW w:w="4494" w:type="dxa"/>
            <w:tcBorders>
              <w:top w:val="single" w:sz="12" w:space="0" w:color="FFF3CD"/>
              <w:left w:val="single" w:sz="12" w:space="0" w:color="FFF3CD"/>
              <w:bottom w:val="single" w:sz="12" w:space="0" w:color="FFF3CD"/>
              <w:right w:val="single" w:sz="12" w:space="0" w:color="FFF3CD"/>
            </w:tcBorders>
          </w:tcPr>
          <w:p w14:paraId="32CA7D2E" w14:textId="5466A724" w:rsidR="002479C7" w:rsidRPr="00137CF3" w:rsidRDefault="00137CF3">
            <w:pPr>
              <w:pStyle w:val="Akapitzlist"/>
              <w:numPr>
                <w:ilvl w:val="0"/>
                <w:numId w:val="30"/>
              </w:numPr>
              <w:spacing w:after="0"/>
              <w:ind w:left="318" w:hanging="284"/>
              <w:jc w:val="left"/>
              <w:rPr>
                <w:sz w:val="18"/>
                <w:szCs w:val="20"/>
                <w:lang w:bidi="en-US"/>
              </w:rPr>
            </w:pPr>
            <w:r>
              <w:rPr>
                <w:sz w:val="18"/>
                <w:szCs w:val="20"/>
                <w:lang w:bidi="en-US"/>
              </w:rPr>
              <w:t>l</w:t>
            </w:r>
            <w:r w:rsidRPr="00137CF3">
              <w:rPr>
                <w:sz w:val="18"/>
                <w:szCs w:val="20"/>
                <w:lang w:bidi="en-US"/>
              </w:rPr>
              <w:t>iczba podmiotów objętych wsparciem w</w:t>
            </w:r>
            <w:r w:rsidR="005D222C">
              <w:rPr>
                <w:sz w:val="18"/>
                <w:szCs w:val="20"/>
                <w:lang w:bidi="en-US"/>
              </w:rPr>
              <w:t> </w:t>
            </w:r>
            <w:r w:rsidRPr="00137CF3">
              <w:rPr>
                <w:sz w:val="18"/>
                <w:szCs w:val="20"/>
                <w:lang w:bidi="en-US"/>
              </w:rPr>
              <w:t xml:space="preserve">celu zwiększenia jakości i efektywności </w:t>
            </w:r>
            <w:r w:rsidR="00AC5305">
              <w:rPr>
                <w:sz w:val="18"/>
                <w:szCs w:val="20"/>
                <w:lang w:bidi="en-US"/>
              </w:rPr>
              <w:t>funkcjonowania NGOs</w:t>
            </w:r>
            <w:r w:rsidR="00785160">
              <w:rPr>
                <w:sz w:val="18"/>
                <w:szCs w:val="20"/>
                <w:lang w:bidi="en-US"/>
              </w:rPr>
              <w:t xml:space="preserve"> </w:t>
            </w:r>
            <w:r w:rsidR="00785160" w:rsidRPr="00785160">
              <w:rPr>
                <w:color w:val="C45911" w:themeColor="accent2" w:themeShade="BF"/>
                <w:szCs w:val="20"/>
                <w:lang w:bidi="en-US"/>
              </w:rPr>
              <w:sym w:font="Wingdings" w:char="F0EC"/>
            </w:r>
          </w:p>
          <w:p w14:paraId="7D65C703" w14:textId="15356F0D" w:rsidR="00137CF3" w:rsidRDefault="00137CF3">
            <w:pPr>
              <w:pStyle w:val="Akapitzlist"/>
              <w:numPr>
                <w:ilvl w:val="0"/>
                <w:numId w:val="30"/>
              </w:numPr>
              <w:spacing w:after="0"/>
              <w:ind w:left="318" w:hanging="284"/>
              <w:jc w:val="left"/>
              <w:rPr>
                <w:lang w:bidi="en-US"/>
              </w:rPr>
            </w:pPr>
            <w:r>
              <w:rPr>
                <w:sz w:val="18"/>
                <w:szCs w:val="20"/>
                <w:lang w:bidi="en-US"/>
              </w:rPr>
              <w:t>l</w:t>
            </w:r>
            <w:r w:rsidRPr="00137CF3">
              <w:rPr>
                <w:sz w:val="18"/>
                <w:szCs w:val="20"/>
                <w:lang w:bidi="en-US"/>
              </w:rPr>
              <w:t>iczba osób objętych szkoleniami w zakresie kompetencji cyfrowych</w:t>
            </w:r>
            <w:r w:rsidR="00785160">
              <w:rPr>
                <w:sz w:val="18"/>
                <w:szCs w:val="20"/>
                <w:lang w:bidi="en-US"/>
              </w:rPr>
              <w:t xml:space="preserve"> </w:t>
            </w:r>
            <w:r w:rsidR="00785160" w:rsidRPr="00785160">
              <w:rPr>
                <w:color w:val="C45911" w:themeColor="accent2" w:themeShade="BF"/>
                <w:szCs w:val="20"/>
                <w:lang w:bidi="en-US"/>
              </w:rPr>
              <w:sym w:font="Wingdings" w:char="F0EC"/>
            </w:r>
          </w:p>
        </w:tc>
      </w:tr>
    </w:tbl>
    <w:p w14:paraId="66EA4EA8" w14:textId="27D8F381" w:rsidR="00735EEB" w:rsidRDefault="00735EEB" w:rsidP="00261698">
      <w:pPr>
        <w:rPr>
          <w:lang w:bidi="en-US"/>
        </w:rPr>
      </w:pPr>
    </w:p>
    <w:p w14:paraId="7BEDD43A" w14:textId="77777777" w:rsidR="00287C14" w:rsidRDefault="00287C14" w:rsidP="00261698">
      <w:pPr>
        <w:rPr>
          <w:lang w:bidi="en-US"/>
        </w:rPr>
      </w:pPr>
    </w:p>
    <w:p w14:paraId="69830EDD" w14:textId="77777777" w:rsidR="00D46312" w:rsidRDefault="00D46312" w:rsidP="00261698">
      <w:pPr>
        <w:rPr>
          <w:lang w:bidi="en-US"/>
        </w:rPr>
      </w:pPr>
    </w:p>
    <w:tbl>
      <w:tblPr>
        <w:tblStyle w:val="Tabela-Siatka"/>
        <w:tblW w:w="0" w:type="auto"/>
        <w:tblLook w:val="04A0" w:firstRow="1" w:lastRow="0" w:firstColumn="1" w:lastColumn="0" w:noHBand="0" w:noVBand="1"/>
      </w:tblPr>
      <w:tblGrid>
        <w:gridCol w:w="2223"/>
        <w:gridCol w:w="2266"/>
        <w:gridCol w:w="4493"/>
      </w:tblGrid>
      <w:tr w:rsidR="00BF09CD" w14:paraId="5DD9DBDF" w14:textId="77777777" w:rsidTr="00287C14">
        <w:tc>
          <w:tcPr>
            <w:tcW w:w="8982" w:type="dxa"/>
            <w:gridSpan w:val="3"/>
            <w:tcBorders>
              <w:top w:val="single" w:sz="36" w:space="0" w:color="00B050"/>
              <w:left w:val="single" w:sz="36" w:space="0" w:color="00B050"/>
              <w:bottom w:val="single" w:sz="36" w:space="0" w:color="00B050"/>
              <w:right w:val="single" w:sz="36" w:space="0" w:color="00B050"/>
            </w:tcBorders>
            <w:shd w:val="clear" w:color="auto" w:fill="83F190"/>
            <w:vAlign w:val="center"/>
          </w:tcPr>
          <w:p w14:paraId="0A8650E3" w14:textId="1BA0BF40" w:rsidR="00BF09CD" w:rsidRPr="00BF09CD" w:rsidRDefault="007219BF" w:rsidP="00287C14">
            <w:pPr>
              <w:spacing w:before="120" w:line="240" w:lineRule="auto"/>
              <w:jc w:val="center"/>
              <w:rPr>
                <w:b/>
                <w:bCs/>
                <w:lang w:bidi="en-US"/>
              </w:rPr>
            </w:pPr>
            <w:r w:rsidRPr="007219BF">
              <w:rPr>
                <w:b/>
                <w:bCs/>
                <w:lang w:bidi="en-US"/>
              </w:rPr>
              <w:t>Cel strategiczny 2</w:t>
            </w:r>
            <w:r w:rsidR="00287C14">
              <w:rPr>
                <w:b/>
                <w:bCs/>
                <w:lang w:bidi="en-US"/>
              </w:rPr>
              <w:t xml:space="preserve"> -</w:t>
            </w:r>
            <w:r w:rsidRPr="007219BF">
              <w:rPr>
                <w:b/>
                <w:bCs/>
                <w:lang w:bidi="en-US"/>
              </w:rPr>
              <w:t xml:space="preserve"> Poprawa stanu środowiska i ochrona jego zasobów</w:t>
            </w:r>
          </w:p>
        </w:tc>
      </w:tr>
      <w:tr w:rsidR="00BF09CD" w14:paraId="45687D03" w14:textId="77777777" w:rsidTr="00287C14">
        <w:tc>
          <w:tcPr>
            <w:tcW w:w="8982" w:type="dxa"/>
            <w:gridSpan w:val="3"/>
            <w:tcBorders>
              <w:top w:val="single" w:sz="36" w:space="0" w:color="00B050"/>
              <w:left w:val="nil"/>
              <w:bottom w:val="single" w:sz="12" w:space="0" w:color="CFF9D4"/>
              <w:right w:val="nil"/>
            </w:tcBorders>
          </w:tcPr>
          <w:p w14:paraId="09D4D7D3" w14:textId="77777777" w:rsidR="00BF09CD" w:rsidRDefault="00BF09CD" w:rsidP="00AC3BA1">
            <w:pPr>
              <w:rPr>
                <w:lang w:bidi="en-US"/>
              </w:rPr>
            </w:pPr>
          </w:p>
        </w:tc>
      </w:tr>
      <w:tr w:rsidR="00BF09CD" w:rsidRPr="00577FD8" w14:paraId="7FDE903A" w14:textId="77777777" w:rsidTr="00287C14">
        <w:tc>
          <w:tcPr>
            <w:tcW w:w="2223" w:type="dxa"/>
            <w:tcBorders>
              <w:top w:val="single" w:sz="12" w:space="0" w:color="CFF9D4"/>
              <w:left w:val="single" w:sz="12" w:space="0" w:color="CFF9D4"/>
              <w:bottom w:val="single" w:sz="12" w:space="0" w:color="CFF9D4"/>
              <w:right w:val="single" w:sz="12" w:space="0" w:color="CFF9D4"/>
            </w:tcBorders>
            <w:shd w:val="clear" w:color="auto" w:fill="83F190"/>
            <w:vAlign w:val="center"/>
          </w:tcPr>
          <w:p w14:paraId="5490C13E" w14:textId="4DCCB6E9" w:rsidR="00BF09CD" w:rsidRPr="00577FD8" w:rsidRDefault="00BF09CD" w:rsidP="00287C14">
            <w:pPr>
              <w:spacing w:before="80" w:after="80" w:line="240" w:lineRule="auto"/>
              <w:jc w:val="left"/>
              <w:rPr>
                <w:b/>
                <w:bCs/>
                <w:sz w:val="18"/>
                <w:szCs w:val="18"/>
                <w:lang w:bidi="en-US"/>
              </w:rPr>
            </w:pPr>
            <w:r w:rsidRPr="00577FD8">
              <w:rPr>
                <w:b/>
                <w:bCs/>
                <w:sz w:val="18"/>
                <w:szCs w:val="18"/>
                <w:lang w:bidi="en-US"/>
              </w:rPr>
              <w:t xml:space="preserve">Kierunek działania </w:t>
            </w:r>
            <w:r w:rsidR="007219BF" w:rsidRPr="00577FD8">
              <w:rPr>
                <w:b/>
                <w:bCs/>
                <w:sz w:val="18"/>
                <w:szCs w:val="18"/>
                <w:lang w:bidi="en-US"/>
              </w:rPr>
              <w:t>2</w:t>
            </w:r>
            <w:r w:rsidRPr="00577FD8">
              <w:rPr>
                <w:b/>
                <w:bCs/>
                <w:sz w:val="18"/>
                <w:szCs w:val="18"/>
                <w:lang w:bidi="en-US"/>
              </w:rPr>
              <w:t>.1</w:t>
            </w:r>
          </w:p>
        </w:tc>
        <w:tc>
          <w:tcPr>
            <w:tcW w:w="6759" w:type="dxa"/>
            <w:gridSpan w:val="2"/>
            <w:tcBorders>
              <w:top w:val="single" w:sz="12" w:space="0" w:color="CFF9D4"/>
              <w:left w:val="single" w:sz="12" w:space="0" w:color="CFF9D4"/>
              <w:bottom w:val="single" w:sz="12" w:space="0" w:color="CFF9D4"/>
              <w:right w:val="single" w:sz="12" w:space="0" w:color="CFF9D4"/>
            </w:tcBorders>
            <w:shd w:val="clear" w:color="auto" w:fill="83F190"/>
            <w:vAlign w:val="center"/>
          </w:tcPr>
          <w:p w14:paraId="5052499B" w14:textId="0E1D00E0" w:rsidR="00BF09CD" w:rsidRPr="00577FD8" w:rsidRDefault="00AC5305" w:rsidP="00287C14">
            <w:pPr>
              <w:spacing w:before="80" w:after="80" w:line="240" w:lineRule="auto"/>
              <w:jc w:val="left"/>
              <w:rPr>
                <w:b/>
                <w:bCs/>
                <w:sz w:val="18"/>
                <w:szCs w:val="18"/>
                <w:lang w:bidi="en-US"/>
              </w:rPr>
            </w:pPr>
            <w:r w:rsidRPr="00577FD8">
              <w:rPr>
                <w:b/>
                <w:bCs/>
                <w:sz w:val="18"/>
                <w:szCs w:val="18"/>
                <w:lang w:bidi="en-US"/>
              </w:rPr>
              <w:t>Zrównoważona gospodarka wodno - ściekowa</w:t>
            </w:r>
          </w:p>
        </w:tc>
      </w:tr>
      <w:tr w:rsidR="00BF09CD" w:rsidRPr="00287C14" w14:paraId="37078116" w14:textId="77777777" w:rsidTr="00287C14">
        <w:tc>
          <w:tcPr>
            <w:tcW w:w="4489" w:type="dxa"/>
            <w:gridSpan w:val="2"/>
            <w:tcBorders>
              <w:top w:val="single" w:sz="12" w:space="0" w:color="CFF9D4"/>
              <w:left w:val="single" w:sz="12" w:space="0" w:color="CFF9D4"/>
              <w:bottom w:val="single" w:sz="12" w:space="0" w:color="CFF9D4"/>
              <w:right w:val="single" w:sz="12" w:space="0" w:color="CFF9D4"/>
            </w:tcBorders>
            <w:vAlign w:val="center"/>
          </w:tcPr>
          <w:p w14:paraId="185007DE" w14:textId="77777777" w:rsidR="00BF09CD" w:rsidRPr="00287C14" w:rsidRDefault="00BF09CD" w:rsidP="00287C14">
            <w:pPr>
              <w:spacing w:before="80" w:after="80" w:line="240" w:lineRule="auto"/>
              <w:jc w:val="left"/>
              <w:rPr>
                <w:b/>
                <w:bCs/>
                <w:sz w:val="18"/>
                <w:szCs w:val="18"/>
                <w:lang w:bidi="en-US"/>
              </w:rPr>
            </w:pPr>
            <w:r w:rsidRPr="00287C14">
              <w:rPr>
                <w:b/>
                <w:bCs/>
                <w:sz w:val="18"/>
                <w:szCs w:val="18"/>
                <w:lang w:bidi="en-US"/>
              </w:rPr>
              <w:t>Planowane rezultaty</w:t>
            </w:r>
          </w:p>
        </w:tc>
        <w:tc>
          <w:tcPr>
            <w:tcW w:w="4493" w:type="dxa"/>
            <w:tcBorders>
              <w:top w:val="single" w:sz="12" w:space="0" w:color="CFF9D4"/>
              <w:left w:val="single" w:sz="12" w:space="0" w:color="CFF9D4"/>
              <w:bottom w:val="single" w:sz="12" w:space="0" w:color="CFF9D4"/>
              <w:right w:val="single" w:sz="12" w:space="0" w:color="CFF9D4"/>
            </w:tcBorders>
            <w:vAlign w:val="center"/>
          </w:tcPr>
          <w:p w14:paraId="514AA0CC" w14:textId="0B78A334" w:rsidR="00BF09CD" w:rsidRPr="00287C14" w:rsidRDefault="00BF09CD" w:rsidP="00287C14">
            <w:pPr>
              <w:spacing w:before="80" w:after="80" w:line="240" w:lineRule="auto"/>
              <w:jc w:val="left"/>
              <w:rPr>
                <w:b/>
                <w:bCs/>
                <w:sz w:val="18"/>
                <w:szCs w:val="18"/>
                <w:lang w:bidi="en-US"/>
              </w:rPr>
            </w:pPr>
            <w:r w:rsidRPr="00287C14">
              <w:rPr>
                <w:b/>
                <w:bCs/>
                <w:sz w:val="18"/>
                <w:szCs w:val="18"/>
                <w:lang w:bidi="en-US"/>
              </w:rPr>
              <w:t>Wskaźniki osiągnięcia/</w:t>
            </w:r>
            <w:r w:rsidRPr="00BD67EA">
              <w:rPr>
                <w:b/>
                <w:bCs/>
                <w:color w:val="009900"/>
                <w:sz w:val="18"/>
                <w:szCs w:val="18"/>
                <w:lang w:bidi="en-US"/>
              </w:rPr>
              <w:t>oczekiwany trend</w:t>
            </w:r>
          </w:p>
        </w:tc>
      </w:tr>
      <w:tr w:rsidR="00BF09CD" w14:paraId="2DB861F2" w14:textId="77777777" w:rsidTr="00287C14">
        <w:tc>
          <w:tcPr>
            <w:tcW w:w="4489" w:type="dxa"/>
            <w:gridSpan w:val="2"/>
            <w:tcBorders>
              <w:top w:val="single" w:sz="12" w:space="0" w:color="CFF9D4"/>
              <w:left w:val="single" w:sz="12" w:space="0" w:color="CFF9D4"/>
              <w:bottom w:val="single" w:sz="12" w:space="0" w:color="CFF9D4"/>
              <w:right w:val="single" w:sz="12" w:space="0" w:color="CFF9D4"/>
            </w:tcBorders>
          </w:tcPr>
          <w:p w14:paraId="5C7A1398" w14:textId="12C57CAE" w:rsidR="00BF09CD" w:rsidRPr="002964E1" w:rsidRDefault="000A2983">
            <w:pPr>
              <w:pStyle w:val="Akapitzlist"/>
              <w:numPr>
                <w:ilvl w:val="0"/>
                <w:numId w:val="28"/>
              </w:numPr>
              <w:spacing w:after="0"/>
              <w:ind w:left="270" w:hanging="270"/>
              <w:jc w:val="left"/>
              <w:rPr>
                <w:sz w:val="18"/>
                <w:szCs w:val="20"/>
                <w:lang w:bidi="en-US"/>
              </w:rPr>
            </w:pPr>
            <w:r w:rsidRPr="002964E1">
              <w:rPr>
                <w:sz w:val="18"/>
                <w:szCs w:val="20"/>
                <w:lang w:bidi="en-US"/>
              </w:rPr>
              <w:t>wzrost efektywności</w:t>
            </w:r>
            <w:r w:rsidR="004B49EE" w:rsidRPr="002964E1">
              <w:rPr>
                <w:sz w:val="18"/>
                <w:szCs w:val="20"/>
                <w:lang w:bidi="en-US"/>
              </w:rPr>
              <w:t xml:space="preserve"> i jakości</w:t>
            </w:r>
            <w:r w:rsidRPr="002964E1">
              <w:rPr>
                <w:sz w:val="18"/>
                <w:szCs w:val="20"/>
                <w:lang w:bidi="en-US"/>
              </w:rPr>
              <w:t xml:space="preserve"> gospodarki wodno-</w:t>
            </w:r>
            <w:r w:rsidR="00C92FB2" w:rsidRPr="002964E1">
              <w:rPr>
                <w:sz w:val="18"/>
                <w:szCs w:val="20"/>
                <w:lang w:bidi="en-US"/>
              </w:rPr>
              <w:t>ściekowej</w:t>
            </w:r>
          </w:p>
          <w:p w14:paraId="0BDE5678" w14:textId="3B8065E2" w:rsidR="004B49EE" w:rsidRPr="002964E1" w:rsidRDefault="004B49EE">
            <w:pPr>
              <w:pStyle w:val="Akapitzlist"/>
              <w:numPr>
                <w:ilvl w:val="0"/>
                <w:numId w:val="28"/>
              </w:numPr>
              <w:spacing w:after="0"/>
              <w:ind w:left="270" w:hanging="270"/>
              <w:jc w:val="left"/>
              <w:rPr>
                <w:sz w:val="18"/>
                <w:szCs w:val="20"/>
                <w:lang w:bidi="en-US"/>
              </w:rPr>
            </w:pPr>
            <w:r w:rsidRPr="002964E1">
              <w:rPr>
                <w:sz w:val="18"/>
                <w:szCs w:val="20"/>
                <w:lang w:bidi="en-US"/>
              </w:rPr>
              <w:t xml:space="preserve">wzrost zasięgu usług </w:t>
            </w:r>
            <w:r w:rsidR="00AC5305">
              <w:rPr>
                <w:sz w:val="18"/>
                <w:szCs w:val="20"/>
                <w:lang w:bidi="en-US"/>
              </w:rPr>
              <w:t xml:space="preserve">publicznych </w:t>
            </w:r>
            <w:r w:rsidRPr="002964E1">
              <w:rPr>
                <w:sz w:val="18"/>
                <w:szCs w:val="20"/>
                <w:lang w:bidi="en-US"/>
              </w:rPr>
              <w:t>świadczonych przez gminę</w:t>
            </w:r>
          </w:p>
          <w:p w14:paraId="1B2F0294" w14:textId="77777777" w:rsidR="004B49EE" w:rsidRPr="002964E1" w:rsidRDefault="004B49EE">
            <w:pPr>
              <w:pStyle w:val="Akapitzlist"/>
              <w:numPr>
                <w:ilvl w:val="0"/>
                <w:numId w:val="28"/>
              </w:numPr>
              <w:spacing w:after="0"/>
              <w:ind w:left="270" w:hanging="270"/>
              <w:jc w:val="left"/>
              <w:rPr>
                <w:sz w:val="18"/>
                <w:szCs w:val="20"/>
                <w:lang w:bidi="en-US"/>
              </w:rPr>
            </w:pPr>
            <w:r w:rsidRPr="002964E1">
              <w:rPr>
                <w:sz w:val="18"/>
                <w:szCs w:val="20"/>
                <w:lang w:bidi="en-US"/>
              </w:rPr>
              <w:t>zwiększenie przepustowości oczyszczalni ścieków</w:t>
            </w:r>
          </w:p>
          <w:p w14:paraId="35EFEDB4" w14:textId="65B9648F" w:rsidR="002964E1" w:rsidRDefault="002964E1">
            <w:pPr>
              <w:pStyle w:val="Akapitzlist"/>
              <w:numPr>
                <w:ilvl w:val="0"/>
                <w:numId w:val="28"/>
              </w:numPr>
              <w:spacing w:after="0"/>
              <w:ind w:left="270" w:hanging="270"/>
              <w:jc w:val="left"/>
              <w:rPr>
                <w:lang w:bidi="en-US"/>
              </w:rPr>
            </w:pPr>
            <w:r>
              <w:rPr>
                <w:sz w:val="18"/>
                <w:szCs w:val="20"/>
                <w:lang w:bidi="en-US"/>
              </w:rPr>
              <w:t>p</w:t>
            </w:r>
            <w:r w:rsidRPr="002964E1">
              <w:rPr>
                <w:sz w:val="18"/>
                <w:szCs w:val="20"/>
                <w:lang w:bidi="en-US"/>
              </w:rPr>
              <w:t xml:space="preserve">oprawa warunków </w:t>
            </w:r>
            <w:r w:rsidR="00AC5305">
              <w:rPr>
                <w:sz w:val="18"/>
                <w:szCs w:val="20"/>
                <w:lang w:bidi="en-US"/>
              </w:rPr>
              <w:t>środowiska</w:t>
            </w:r>
            <w:r w:rsidRPr="002964E1">
              <w:rPr>
                <w:sz w:val="18"/>
                <w:szCs w:val="20"/>
                <w:lang w:bidi="en-US"/>
              </w:rPr>
              <w:t xml:space="preserve"> poprzez budowę przydomowych oczyszczalni ścieków dla gospodarstw domowych dla których nie ma technicznych możliwości budowy sieci kanalizacji </w:t>
            </w:r>
            <w:r w:rsidR="00AC5305">
              <w:rPr>
                <w:sz w:val="18"/>
                <w:szCs w:val="20"/>
                <w:lang w:bidi="en-US"/>
              </w:rPr>
              <w:t>(bez drenażu rozsączającego)</w:t>
            </w:r>
          </w:p>
        </w:tc>
        <w:tc>
          <w:tcPr>
            <w:tcW w:w="4493" w:type="dxa"/>
            <w:tcBorders>
              <w:top w:val="single" w:sz="12" w:space="0" w:color="CFF9D4"/>
              <w:left w:val="single" w:sz="12" w:space="0" w:color="CFF9D4"/>
              <w:bottom w:val="single" w:sz="12" w:space="0" w:color="CFF9D4"/>
              <w:right w:val="single" w:sz="12" w:space="0" w:color="CFF9D4"/>
            </w:tcBorders>
          </w:tcPr>
          <w:p w14:paraId="3C6052EC" w14:textId="76F786BF" w:rsidR="00137CF3" w:rsidRPr="007D0A8A" w:rsidRDefault="00105EDB">
            <w:pPr>
              <w:pStyle w:val="Akapitzlist"/>
              <w:numPr>
                <w:ilvl w:val="0"/>
                <w:numId w:val="28"/>
              </w:numPr>
              <w:spacing w:after="0"/>
              <w:ind w:left="318" w:hanging="284"/>
              <w:jc w:val="left"/>
              <w:rPr>
                <w:sz w:val="18"/>
                <w:szCs w:val="20"/>
                <w:lang w:bidi="en-US"/>
              </w:rPr>
            </w:pPr>
            <w:r w:rsidRPr="007D0A8A">
              <w:rPr>
                <w:sz w:val="18"/>
                <w:szCs w:val="20"/>
              </w:rPr>
              <w:t xml:space="preserve">długość wybudowanej sieci </w:t>
            </w:r>
          </w:p>
          <w:p w14:paraId="79BD0AAF" w14:textId="0DB1C969" w:rsidR="00BF09CD" w:rsidRPr="007D0A8A" w:rsidRDefault="00105EDB">
            <w:pPr>
              <w:pStyle w:val="Akapitzlist"/>
              <w:numPr>
                <w:ilvl w:val="0"/>
                <w:numId w:val="28"/>
              </w:numPr>
              <w:spacing w:after="0"/>
              <w:ind w:left="318" w:hanging="284"/>
              <w:jc w:val="left"/>
              <w:rPr>
                <w:sz w:val="18"/>
                <w:szCs w:val="20"/>
                <w:lang w:bidi="en-US"/>
              </w:rPr>
            </w:pPr>
            <w:r w:rsidRPr="007D0A8A">
              <w:rPr>
                <w:sz w:val="18"/>
                <w:szCs w:val="20"/>
              </w:rPr>
              <w:t>kanalizacyjnej</w:t>
            </w:r>
            <w:r w:rsidR="00785160" w:rsidRPr="007D0A8A">
              <w:rPr>
                <w:sz w:val="18"/>
                <w:szCs w:val="20"/>
              </w:rPr>
              <w:t xml:space="preserve"> </w:t>
            </w:r>
            <w:r w:rsidR="00785160" w:rsidRPr="00785160">
              <w:rPr>
                <w:color w:val="009900"/>
                <w:lang w:bidi="en-US"/>
              </w:rPr>
              <w:sym w:font="Wingdings" w:char="F0EC"/>
            </w:r>
          </w:p>
          <w:p w14:paraId="3422CC5C" w14:textId="140B439D" w:rsidR="00105EDB" w:rsidRPr="007D0A8A" w:rsidRDefault="00105EDB">
            <w:pPr>
              <w:pStyle w:val="Akapitzlist"/>
              <w:numPr>
                <w:ilvl w:val="0"/>
                <w:numId w:val="28"/>
              </w:numPr>
              <w:spacing w:after="0"/>
              <w:ind w:left="318" w:hanging="284"/>
              <w:jc w:val="left"/>
              <w:rPr>
                <w:sz w:val="18"/>
                <w:szCs w:val="20"/>
                <w:lang w:bidi="en-US"/>
              </w:rPr>
            </w:pPr>
            <w:r w:rsidRPr="007D0A8A">
              <w:rPr>
                <w:sz w:val="18"/>
                <w:szCs w:val="20"/>
              </w:rPr>
              <w:t>długość zmodernizowanej sieci kanalizacyjnej</w:t>
            </w:r>
            <w:r w:rsidR="00785160" w:rsidRPr="007D0A8A">
              <w:rPr>
                <w:sz w:val="18"/>
                <w:szCs w:val="20"/>
              </w:rPr>
              <w:t xml:space="preserve"> </w:t>
            </w:r>
            <w:r w:rsidR="00785160" w:rsidRPr="00785160">
              <w:rPr>
                <w:color w:val="009900"/>
                <w:lang w:bidi="en-US"/>
              </w:rPr>
              <w:sym w:font="Wingdings" w:char="F0EC"/>
            </w:r>
          </w:p>
          <w:p w14:paraId="6A3C4157" w14:textId="2CFAF34D" w:rsidR="00137CF3" w:rsidRPr="007D0A8A" w:rsidRDefault="00105EDB">
            <w:pPr>
              <w:pStyle w:val="Akapitzlist"/>
              <w:numPr>
                <w:ilvl w:val="0"/>
                <w:numId w:val="28"/>
              </w:numPr>
              <w:spacing w:after="0"/>
              <w:ind w:left="318" w:hanging="284"/>
              <w:jc w:val="left"/>
              <w:rPr>
                <w:sz w:val="18"/>
                <w:szCs w:val="20"/>
                <w:lang w:bidi="en-US"/>
              </w:rPr>
            </w:pPr>
            <w:r w:rsidRPr="007D0A8A">
              <w:rPr>
                <w:sz w:val="18"/>
                <w:szCs w:val="20"/>
              </w:rPr>
              <w:t xml:space="preserve">długość wybudowanej sieci </w:t>
            </w:r>
          </w:p>
          <w:p w14:paraId="27294465" w14:textId="20728A8B" w:rsidR="00105EDB" w:rsidRPr="007D0A8A" w:rsidRDefault="00105EDB">
            <w:pPr>
              <w:pStyle w:val="Akapitzlist"/>
              <w:numPr>
                <w:ilvl w:val="0"/>
                <w:numId w:val="28"/>
              </w:numPr>
              <w:spacing w:after="0"/>
              <w:ind w:left="318" w:hanging="284"/>
              <w:jc w:val="left"/>
              <w:rPr>
                <w:sz w:val="18"/>
                <w:szCs w:val="20"/>
                <w:lang w:bidi="en-US"/>
              </w:rPr>
            </w:pPr>
            <w:r w:rsidRPr="007D0A8A">
              <w:rPr>
                <w:sz w:val="18"/>
                <w:szCs w:val="20"/>
              </w:rPr>
              <w:t>wodociągowej</w:t>
            </w:r>
            <w:r w:rsidR="00785160" w:rsidRPr="007D0A8A">
              <w:rPr>
                <w:sz w:val="18"/>
                <w:szCs w:val="20"/>
              </w:rPr>
              <w:t xml:space="preserve"> </w:t>
            </w:r>
            <w:r w:rsidR="00785160" w:rsidRPr="00785160">
              <w:rPr>
                <w:color w:val="009900"/>
                <w:lang w:bidi="en-US"/>
              </w:rPr>
              <w:sym w:font="Wingdings" w:char="F0EC"/>
            </w:r>
          </w:p>
          <w:p w14:paraId="4A76B6DF" w14:textId="713D3B7D" w:rsidR="00105EDB" w:rsidRPr="007D0A8A" w:rsidRDefault="00105EDB">
            <w:pPr>
              <w:pStyle w:val="Akapitzlist"/>
              <w:numPr>
                <w:ilvl w:val="0"/>
                <w:numId w:val="28"/>
              </w:numPr>
              <w:spacing w:after="0"/>
              <w:ind w:left="318" w:hanging="284"/>
              <w:jc w:val="left"/>
              <w:rPr>
                <w:sz w:val="18"/>
                <w:szCs w:val="20"/>
                <w:lang w:bidi="en-US"/>
              </w:rPr>
            </w:pPr>
            <w:r w:rsidRPr="007D0A8A">
              <w:rPr>
                <w:sz w:val="18"/>
                <w:szCs w:val="20"/>
              </w:rPr>
              <w:t>długość zmodernizowanej sieci wodociągowej</w:t>
            </w:r>
            <w:r w:rsidR="00785160" w:rsidRPr="007D0A8A">
              <w:rPr>
                <w:sz w:val="18"/>
                <w:szCs w:val="20"/>
              </w:rPr>
              <w:t xml:space="preserve"> </w:t>
            </w:r>
            <w:r w:rsidR="00785160" w:rsidRPr="00785160">
              <w:rPr>
                <w:color w:val="009900"/>
                <w:lang w:bidi="en-US"/>
              </w:rPr>
              <w:sym w:font="Wingdings" w:char="F0EC"/>
            </w:r>
          </w:p>
          <w:p w14:paraId="675ED789" w14:textId="4A2747C9" w:rsidR="00105EDB" w:rsidRPr="007D0A8A" w:rsidRDefault="00105EDB">
            <w:pPr>
              <w:pStyle w:val="Akapitzlist"/>
              <w:numPr>
                <w:ilvl w:val="0"/>
                <w:numId w:val="28"/>
              </w:numPr>
              <w:spacing w:after="0"/>
              <w:ind w:left="318" w:hanging="284"/>
              <w:jc w:val="left"/>
              <w:rPr>
                <w:sz w:val="18"/>
                <w:szCs w:val="18"/>
                <w:lang w:bidi="en-US"/>
              </w:rPr>
            </w:pPr>
            <w:r w:rsidRPr="007D0A8A">
              <w:rPr>
                <w:sz w:val="18"/>
                <w:szCs w:val="20"/>
              </w:rPr>
              <w:t xml:space="preserve">liczba nowych indywidualnych/ </w:t>
            </w:r>
            <w:r w:rsidRPr="007D0A8A">
              <w:rPr>
                <w:sz w:val="18"/>
                <w:szCs w:val="18"/>
              </w:rPr>
              <w:t>przydomowych oczyszczalni ścieków</w:t>
            </w:r>
            <w:r w:rsidR="00785160" w:rsidRPr="007D0A8A">
              <w:rPr>
                <w:sz w:val="18"/>
                <w:szCs w:val="18"/>
              </w:rPr>
              <w:t xml:space="preserve"> </w:t>
            </w:r>
            <w:r w:rsidR="00785160" w:rsidRPr="00785160">
              <w:rPr>
                <w:color w:val="009900"/>
                <w:szCs w:val="20"/>
                <w:lang w:bidi="en-US"/>
              </w:rPr>
              <w:sym w:font="Wingdings" w:char="F0EC"/>
            </w:r>
          </w:p>
          <w:p w14:paraId="507EDB85" w14:textId="5E6E1881" w:rsidR="00105EDB" w:rsidRDefault="00105EDB">
            <w:pPr>
              <w:pStyle w:val="Akapitzlist"/>
              <w:numPr>
                <w:ilvl w:val="0"/>
                <w:numId w:val="28"/>
              </w:numPr>
              <w:spacing w:after="0"/>
              <w:ind w:left="318" w:hanging="284"/>
              <w:jc w:val="left"/>
              <w:rPr>
                <w:lang w:bidi="en-US"/>
              </w:rPr>
            </w:pPr>
            <w:r w:rsidRPr="007D0A8A">
              <w:rPr>
                <w:sz w:val="18"/>
                <w:szCs w:val="18"/>
                <w:lang w:bidi="en-US"/>
              </w:rPr>
              <w:t>instytucje publiczne otrzymujące wsparcie na opracowywanie usług, produktów i</w:t>
            </w:r>
            <w:r w:rsidR="005D222C" w:rsidRPr="007D0A8A">
              <w:rPr>
                <w:sz w:val="18"/>
                <w:szCs w:val="18"/>
                <w:lang w:bidi="en-US"/>
              </w:rPr>
              <w:t> </w:t>
            </w:r>
            <w:r w:rsidRPr="007D0A8A">
              <w:rPr>
                <w:sz w:val="18"/>
                <w:szCs w:val="18"/>
                <w:lang w:bidi="en-US"/>
              </w:rPr>
              <w:t>procesów cyfrowych</w:t>
            </w:r>
            <w:r w:rsidR="00785160" w:rsidRPr="007D0A8A">
              <w:rPr>
                <w:sz w:val="18"/>
                <w:szCs w:val="18"/>
                <w:lang w:bidi="en-US"/>
              </w:rPr>
              <w:t xml:space="preserve"> </w:t>
            </w:r>
            <w:r w:rsidR="00785160" w:rsidRPr="00785160">
              <w:rPr>
                <w:color w:val="009900"/>
                <w:szCs w:val="20"/>
                <w:lang w:bidi="en-US"/>
              </w:rPr>
              <w:sym w:font="Wingdings" w:char="F0EC"/>
            </w:r>
          </w:p>
        </w:tc>
      </w:tr>
      <w:tr w:rsidR="00BF09CD" w14:paraId="2A5D138A" w14:textId="77777777" w:rsidTr="00287C14">
        <w:tc>
          <w:tcPr>
            <w:tcW w:w="8982" w:type="dxa"/>
            <w:gridSpan w:val="3"/>
            <w:tcBorders>
              <w:top w:val="single" w:sz="12" w:space="0" w:color="CFF9D4"/>
              <w:left w:val="nil"/>
              <w:bottom w:val="nil"/>
              <w:right w:val="nil"/>
            </w:tcBorders>
            <w:vAlign w:val="center"/>
          </w:tcPr>
          <w:p w14:paraId="15925895" w14:textId="77777777" w:rsidR="00BF09CD" w:rsidRDefault="00BF09CD" w:rsidP="00AC3BA1">
            <w:pPr>
              <w:spacing w:after="0"/>
              <w:jc w:val="left"/>
              <w:rPr>
                <w:lang w:bidi="en-US"/>
              </w:rPr>
            </w:pPr>
          </w:p>
        </w:tc>
      </w:tr>
      <w:tr w:rsidR="00BF09CD" w:rsidRPr="00577FD8" w14:paraId="2FBBA791" w14:textId="77777777" w:rsidTr="00287C14">
        <w:tc>
          <w:tcPr>
            <w:tcW w:w="2223" w:type="dxa"/>
            <w:tcBorders>
              <w:top w:val="nil"/>
              <w:left w:val="single" w:sz="12" w:space="0" w:color="CFF9D4"/>
              <w:bottom w:val="single" w:sz="12" w:space="0" w:color="CFF9D4"/>
              <w:right w:val="single" w:sz="12" w:space="0" w:color="CFF9D4"/>
            </w:tcBorders>
            <w:shd w:val="clear" w:color="auto" w:fill="83F190"/>
            <w:vAlign w:val="center"/>
          </w:tcPr>
          <w:p w14:paraId="4FC34C94" w14:textId="4082DC8C" w:rsidR="00BF09CD" w:rsidRPr="00577FD8" w:rsidRDefault="00BF09CD" w:rsidP="00287C14">
            <w:pPr>
              <w:spacing w:before="80" w:after="80" w:line="240" w:lineRule="auto"/>
              <w:jc w:val="left"/>
              <w:rPr>
                <w:b/>
                <w:bCs/>
                <w:sz w:val="18"/>
                <w:szCs w:val="18"/>
                <w:lang w:bidi="en-US"/>
              </w:rPr>
            </w:pPr>
            <w:r w:rsidRPr="00577FD8">
              <w:rPr>
                <w:b/>
                <w:bCs/>
                <w:sz w:val="18"/>
                <w:szCs w:val="18"/>
                <w:lang w:bidi="en-US"/>
              </w:rPr>
              <w:lastRenderedPageBreak/>
              <w:t xml:space="preserve">Kierunek działania </w:t>
            </w:r>
            <w:r w:rsidR="007219BF" w:rsidRPr="00577FD8">
              <w:rPr>
                <w:b/>
                <w:bCs/>
                <w:sz w:val="18"/>
                <w:szCs w:val="18"/>
                <w:lang w:bidi="en-US"/>
              </w:rPr>
              <w:t>2</w:t>
            </w:r>
            <w:r w:rsidRPr="00577FD8">
              <w:rPr>
                <w:b/>
                <w:bCs/>
                <w:sz w:val="18"/>
                <w:szCs w:val="18"/>
                <w:lang w:bidi="en-US"/>
              </w:rPr>
              <w:t>.2</w:t>
            </w:r>
          </w:p>
        </w:tc>
        <w:tc>
          <w:tcPr>
            <w:tcW w:w="6759" w:type="dxa"/>
            <w:gridSpan w:val="2"/>
            <w:tcBorders>
              <w:top w:val="nil"/>
              <w:left w:val="single" w:sz="12" w:space="0" w:color="CFF9D4"/>
              <w:bottom w:val="single" w:sz="12" w:space="0" w:color="CFF9D4"/>
              <w:right w:val="single" w:sz="12" w:space="0" w:color="CFF9D4"/>
            </w:tcBorders>
            <w:shd w:val="clear" w:color="auto" w:fill="83F190"/>
            <w:vAlign w:val="center"/>
          </w:tcPr>
          <w:p w14:paraId="125DB37E" w14:textId="21A38FB5" w:rsidR="00BF09CD" w:rsidRPr="00577FD8" w:rsidRDefault="005E406D" w:rsidP="00287C14">
            <w:pPr>
              <w:spacing w:before="80" w:after="80" w:line="240" w:lineRule="auto"/>
              <w:jc w:val="left"/>
              <w:rPr>
                <w:b/>
                <w:bCs/>
                <w:sz w:val="18"/>
                <w:szCs w:val="18"/>
                <w:lang w:bidi="en-US"/>
              </w:rPr>
            </w:pPr>
            <w:r w:rsidRPr="00577FD8">
              <w:rPr>
                <w:b/>
                <w:bCs/>
                <w:sz w:val="18"/>
                <w:szCs w:val="18"/>
                <w:lang w:bidi="en-US"/>
              </w:rPr>
              <w:t>Poprawa dostępności</w:t>
            </w:r>
            <w:r w:rsidR="007219BF" w:rsidRPr="00577FD8">
              <w:rPr>
                <w:b/>
                <w:bCs/>
                <w:sz w:val="18"/>
                <w:szCs w:val="18"/>
                <w:lang w:bidi="en-US"/>
              </w:rPr>
              <w:t xml:space="preserve"> zielonych przestrzeni publicznych</w:t>
            </w:r>
          </w:p>
        </w:tc>
      </w:tr>
      <w:tr w:rsidR="00BF09CD" w:rsidRPr="00287C14" w14:paraId="11AC9779" w14:textId="77777777" w:rsidTr="00287C14">
        <w:tc>
          <w:tcPr>
            <w:tcW w:w="4489" w:type="dxa"/>
            <w:gridSpan w:val="2"/>
            <w:tcBorders>
              <w:top w:val="single" w:sz="12" w:space="0" w:color="CFF9D4"/>
              <w:left w:val="single" w:sz="12" w:space="0" w:color="CFF9D4"/>
              <w:bottom w:val="single" w:sz="12" w:space="0" w:color="CFF9D4"/>
              <w:right w:val="single" w:sz="12" w:space="0" w:color="CFF9D4"/>
            </w:tcBorders>
            <w:vAlign w:val="center"/>
          </w:tcPr>
          <w:p w14:paraId="4D182165" w14:textId="77777777" w:rsidR="00BF09CD" w:rsidRPr="00287C14" w:rsidRDefault="00BF09CD" w:rsidP="00287C14">
            <w:pPr>
              <w:spacing w:before="80" w:after="80" w:line="240" w:lineRule="auto"/>
              <w:jc w:val="left"/>
              <w:rPr>
                <w:b/>
                <w:bCs/>
                <w:sz w:val="18"/>
                <w:szCs w:val="18"/>
                <w:lang w:bidi="en-US"/>
              </w:rPr>
            </w:pPr>
            <w:r w:rsidRPr="00287C14">
              <w:rPr>
                <w:b/>
                <w:bCs/>
                <w:sz w:val="18"/>
                <w:szCs w:val="18"/>
                <w:lang w:bidi="en-US"/>
              </w:rPr>
              <w:t>Planowane rezultaty</w:t>
            </w:r>
          </w:p>
        </w:tc>
        <w:tc>
          <w:tcPr>
            <w:tcW w:w="4493" w:type="dxa"/>
            <w:tcBorders>
              <w:top w:val="single" w:sz="12" w:space="0" w:color="CFF9D4"/>
              <w:left w:val="single" w:sz="12" w:space="0" w:color="CFF9D4"/>
              <w:bottom w:val="single" w:sz="12" w:space="0" w:color="CFF9D4"/>
              <w:right w:val="single" w:sz="12" w:space="0" w:color="CFF9D4"/>
            </w:tcBorders>
            <w:vAlign w:val="center"/>
          </w:tcPr>
          <w:p w14:paraId="31C5F09D" w14:textId="2922288B" w:rsidR="00BF09CD" w:rsidRPr="00287C14" w:rsidRDefault="00BF09CD" w:rsidP="00287C14">
            <w:pPr>
              <w:spacing w:before="80" w:after="80" w:line="240" w:lineRule="auto"/>
              <w:jc w:val="left"/>
              <w:rPr>
                <w:b/>
                <w:bCs/>
                <w:sz w:val="18"/>
                <w:szCs w:val="18"/>
                <w:lang w:bidi="en-US"/>
              </w:rPr>
            </w:pPr>
            <w:r w:rsidRPr="00287C14">
              <w:rPr>
                <w:b/>
                <w:bCs/>
                <w:sz w:val="18"/>
                <w:szCs w:val="18"/>
                <w:lang w:bidi="en-US"/>
              </w:rPr>
              <w:t>Wskaźniki osiągnięcia/</w:t>
            </w:r>
            <w:r w:rsidRPr="00BD67EA">
              <w:rPr>
                <w:b/>
                <w:bCs/>
                <w:color w:val="009900"/>
                <w:sz w:val="18"/>
                <w:szCs w:val="18"/>
                <w:lang w:bidi="en-US"/>
              </w:rPr>
              <w:t>oczekiwany trend</w:t>
            </w:r>
          </w:p>
        </w:tc>
      </w:tr>
      <w:tr w:rsidR="00BF09CD" w14:paraId="0A96A1D2" w14:textId="77777777" w:rsidTr="00287C14">
        <w:tc>
          <w:tcPr>
            <w:tcW w:w="4489" w:type="dxa"/>
            <w:gridSpan w:val="2"/>
            <w:tcBorders>
              <w:top w:val="single" w:sz="12" w:space="0" w:color="CFF9D4"/>
              <w:left w:val="single" w:sz="12" w:space="0" w:color="CFF9D4"/>
              <w:bottom w:val="single" w:sz="12" w:space="0" w:color="CFF9D4"/>
              <w:right w:val="single" w:sz="12" w:space="0" w:color="CFF9D4"/>
            </w:tcBorders>
            <w:vAlign w:val="center"/>
          </w:tcPr>
          <w:p w14:paraId="7B327C47" w14:textId="77777777" w:rsidR="00BF09CD" w:rsidRPr="002964E1" w:rsidRDefault="002964E1">
            <w:pPr>
              <w:pStyle w:val="Akapitzlist"/>
              <w:numPr>
                <w:ilvl w:val="0"/>
                <w:numId w:val="27"/>
              </w:numPr>
              <w:spacing w:after="0"/>
              <w:ind w:left="270" w:hanging="270"/>
              <w:jc w:val="left"/>
              <w:rPr>
                <w:sz w:val="18"/>
                <w:szCs w:val="20"/>
                <w:lang w:bidi="en-US"/>
              </w:rPr>
            </w:pPr>
            <w:r w:rsidRPr="002964E1">
              <w:rPr>
                <w:sz w:val="18"/>
                <w:szCs w:val="20"/>
                <w:lang w:bidi="en-US"/>
              </w:rPr>
              <w:t>wzrost atrakcyjności zielonych przestrzeni publicznych</w:t>
            </w:r>
          </w:p>
          <w:p w14:paraId="7AB6B736" w14:textId="77777777" w:rsidR="002964E1" w:rsidRPr="002964E1" w:rsidRDefault="002964E1">
            <w:pPr>
              <w:pStyle w:val="Akapitzlist"/>
              <w:numPr>
                <w:ilvl w:val="0"/>
                <w:numId w:val="27"/>
              </w:numPr>
              <w:spacing w:after="0"/>
              <w:ind w:left="270" w:hanging="270"/>
              <w:jc w:val="left"/>
              <w:rPr>
                <w:sz w:val="18"/>
                <w:szCs w:val="20"/>
                <w:lang w:bidi="en-US"/>
              </w:rPr>
            </w:pPr>
            <w:r w:rsidRPr="002964E1">
              <w:rPr>
                <w:sz w:val="18"/>
                <w:szCs w:val="20"/>
                <w:lang w:bidi="en-US"/>
              </w:rPr>
              <w:t>poprawa dostępności, funkcjonalności i estetyki obiektów przestrzeni publicznych</w:t>
            </w:r>
          </w:p>
          <w:p w14:paraId="562A2DA1" w14:textId="77777777" w:rsidR="002964E1" w:rsidRPr="002964E1" w:rsidRDefault="002964E1">
            <w:pPr>
              <w:pStyle w:val="Akapitzlist"/>
              <w:numPr>
                <w:ilvl w:val="0"/>
                <w:numId w:val="27"/>
              </w:numPr>
              <w:spacing w:after="0"/>
              <w:ind w:left="270" w:hanging="270"/>
              <w:jc w:val="left"/>
              <w:rPr>
                <w:lang w:bidi="en-US"/>
              </w:rPr>
            </w:pPr>
            <w:r w:rsidRPr="002964E1">
              <w:rPr>
                <w:sz w:val="18"/>
                <w:szCs w:val="20"/>
                <w:lang w:bidi="en-US"/>
              </w:rPr>
              <w:t>zmniejszenie stopnia zanieczyszczenia środowiska</w:t>
            </w:r>
          </w:p>
          <w:p w14:paraId="253BA7AB" w14:textId="513DDE66" w:rsidR="002964E1" w:rsidRDefault="002964E1">
            <w:pPr>
              <w:pStyle w:val="Akapitzlist"/>
              <w:numPr>
                <w:ilvl w:val="0"/>
                <w:numId w:val="27"/>
              </w:numPr>
              <w:spacing w:after="0"/>
              <w:ind w:left="270" w:hanging="270"/>
              <w:jc w:val="left"/>
              <w:rPr>
                <w:lang w:bidi="en-US"/>
              </w:rPr>
            </w:pPr>
            <w:r>
              <w:rPr>
                <w:sz w:val="18"/>
                <w:szCs w:val="20"/>
                <w:lang w:bidi="en-US"/>
              </w:rPr>
              <w:t>w</w:t>
            </w:r>
            <w:r w:rsidRPr="002964E1">
              <w:rPr>
                <w:sz w:val="18"/>
                <w:szCs w:val="20"/>
                <w:lang w:bidi="en-US"/>
              </w:rPr>
              <w:t xml:space="preserve">zmacnianie ochrony i zachowania przyrody, różnorodności biologicznej oraz zielonej </w:t>
            </w:r>
            <w:r>
              <w:rPr>
                <w:sz w:val="18"/>
                <w:szCs w:val="20"/>
                <w:lang w:bidi="en-US"/>
              </w:rPr>
              <w:t xml:space="preserve">i niebieskiej </w:t>
            </w:r>
            <w:r w:rsidRPr="002964E1">
              <w:rPr>
                <w:sz w:val="18"/>
                <w:szCs w:val="20"/>
                <w:lang w:bidi="en-US"/>
              </w:rPr>
              <w:t>infrastruktury</w:t>
            </w:r>
          </w:p>
        </w:tc>
        <w:tc>
          <w:tcPr>
            <w:tcW w:w="4493" w:type="dxa"/>
            <w:tcBorders>
              <w:top w:val="single" w:sz="12" w:space="0" w:color="CFF9D4"/>
              <w:left w:val="single" w:sz="12" w:space="0" w:color="CFF9D4"/>
              <w:bottom w:val="single" w:sz="12" w:space="0" w:color="CFF9D4"/>
              <w:right w:val="single" w:sz="12" w:space="0" w:color="CFF9D4"/>
            </w:tcBorders>
          </w:tcPr>
          <w:p w14:paraId="5CB3D859" w14:textId="119BB024" w:rsidR="00BF09CD" w:rsidRPr="007D0A8A" w:rsidRDefault="00EE1415">
            <w:pPr>
              <w:pStyle w:val="Akapitzlist"/>
              <w:numPr>
                <w:ilvl w:val="0"/>
                <w:numId w:val="27"/>
              </w:numPr>
              <w:spacing w:after="0"/>
              <w:ind w:left="318" w:hanging="261"/>
              <w:jc w:val="left"/>
              <w:rPr>
                <w:sz w:val="18"/>
                <w:szCs w:val="20"/>
                <w:lang w:bidi="en-US"/>
              </w:rPr>
            </w:pPr>
            <w:r w:rsidRPr="007D0A8A">
              <w:rPr>
                <w:sz w:val="18"/>
                <w:szCs w:val="20"/>
                <w:lang w:bidi="en-US"/>
              </w:rPr>
              <w:t>ludność mająca dostęp do nowej lub udoskonalonej zielonej infrastruktury</w:t>
            </w:r>
            <w:r w:rsidR="00785160" w:rsidRPr="007D0A8A">
              <w:rPr>
                <w:sz w:val="18"/>
                <w:szCs w:val="20"/>
                <w:lang w:bidi="en-US"/>
              </w:rPr>
              <w:t xml:space="preserve"> </w:t>
            </w:r>
            <w:r w:rsidR="00785160" w:rsidRPr="00785160">
              <w:rPr>
                <w:color w:val="009900"/>
                <w:lang w:bidi="en-US"/>
              </w:rPr>
              <w:sym w:font="Wingdings" w:char="F0EC"/>
            </w:r>
          </w:p>
          <w:p w14:paraId="3774CCC7" w14:textId="37C1FB1C" w:rsidR="00105EDB" w:rsidRPr="007D0A8A" w:rsidRDefault="00105EDB">
            <w:pPr>
              <w:pStyle w:val="Akapitzlist"/>
              <w:numPr>
                <w:ilvl w:val="0"/>
                <w:numId w:val="27"/>
              </w:numPr>
              <w:spacing w:after="0"/>
              <w:ind w:left="318" w:hanging="261"/>
              <w:jc w:val="left"/>
              <w:rPr>
                <w:sz w:val="18"/>
                <w:szCs w:val="18"/>
                <w:lang w:bidi="en-US"/>
              </w:rPr>
            </w:pPr>
            <w:r w:rsidRPr="007D0A8A">
              <w:rPr>
                <w:sz w:val="18"/>
                <w:szCs w:val="18"/>
                <w:lang w:bidi="en-US"/>
              </w:rPr>
              <w:t>otwarta przestrzeń utworzona lub rekultywowana na obszarach miejskich</w:t>
            </w:r>
            <w:r w:rsidR="00785160" w:rsidRPr="007D0A8A">
              <w:rPr>
                <w:sz w:val="18"/>
                <w:szCs w:val="18"/>
                <w:lang w:bidi="en-US"/>
              </w:rPr>
              <w:t xml:space="preserve"> </w:t>
            </w:r>
            <w:r w:rsidR="00785160" w:rsidRPr="00785160">
              <w:rPr>
                <w:color w:val="009900"/>
                <w:szCs w:val="20"/>
                <w:lang w:bidi="en-US"/>
              </w:rPr>
              <w:sym w:font="Wingdings" w:char="F0EC"/>
            </w:r>
          </w:p>
          <w:p w14:paraId="7C9C1320" w14:textId="369BC231" w:rsidR="00105EDB" w:rsidRDefault="00105EDB">
            <w:pPr>
              <w:pStyle w:val="Akapitzlist"/>
              <w:numPr>
                <w:ilvl w:val="0"/>
                <w:numId w:val="27"/>
              </w:numPr>
              <w:spacing w:after="0"/>
              <w:ind w:left="318" w:hanging="261"/>
              <w:jc w:val="left"/>
              <w:rPr>
                <w:lang w:bidi="en-US"/>
              </w:rPr>
            </w:pPr>
            <w:r w:rsidRPr="007D0A8A">
              <w:rPr>
                <w:sz w:val="18"/>
                <w:szCs w:val="18"/>
                <w:lang w:bidi="en-US"/>
              </w:rPr>
              <w:t>zielona infrastruktura wybudowana lub zmodernizowana w celu przystosowania do zmian klimatu</w:t>
            </w:r>
            <w:r w:rsidR="00785160" w:rsidRPr="007D0A8A">
              <w:rPr>
                <w:sz w:val="18"/>
                <w:szCs w:val="18"/>
                <w:lang w:bidi="en-US"/>
              </w:rPr>
              <w:t xml:space="preserve"> </w:t>
            </w:r>
            <w:r w:rsidR="00785160" w:rsidRPr="00785160">
              <w:rPr>
                <w:color w:val="009900"/>
                <w:szCs w:val="20"/>
                <w:lang w:bidi="en-US"/>
              </w:rPr>
              <w:sym w:font="Wingdings" w:char="F0EC"/>
            </w:r>
          </w:p>
        </w:tc>
      </w:tr>
      <w:tr w:rsidR="00BF09CD" w14:paraId="2FE99426" w14:textId="77777777" w:rsidTr="00287C14">
        <w:tc>
          <w:tcPr>
            <w:tcW w:w="8982" w:type="dxa"/>
            <w:gridSpan w:val="3"/>
            <w:tcBorders>
              <w:top w:val="single" w:sz="12" w:space="0" w:color="CFF9D4"/>
              <w:left w:val="nil"/>
              <w:bottom w:val="single" w:sz="12" w:space="0" w:color="CFF9D4"/>
              <w:right w:val="nil"/>
            </w:tcBorders>
            <w:vAlign w:val="center"/>
          </w:tcPr>
          <w:p w14:paraId="4FCABE0B" w14:textId="77777777" w:rsidR="00BF09CD" w:rsidRDefault="00BF09CD" w:rsidP="00AC3BA1">
            <w:pPr>
              <w:spacing w:after="0"/>
              <w:jc w:val="left"/>
              <w:rPr>
                <w:lang w:bidi="en-US"/>
              </w:rPr>
            </w:pPr>
          </w:p>
        </w:tc>
      </w:tr>
      <w:tr w:rsidR="00BF09CD" w:rsidRPr="00577FD8" w14:paraId="039DDF83" w14:textId="77777777" w:rsidTr="00287C14">
        <w:tc>
          <w:tcPr>
            <w:tcW w:w="2223" w:type="dxa"/>
            <w:tcBorders>
              <w:top w:val="single" w:sz="12" w:space="0" w:color="CFF9D4"/>
              <w:left w:val="single" w:sz="12" w:space="0" w:color="CFF9D4"/>
              <w:bottom w:val="single" w:sz="12" w:space="0" w:color="CFF9D4"/>
              <w:right w:val="single" w:sz="12" w:space="0" w:color="CFF9D4"/>
            </w:tcBorders>
            <w:shd w:val="clear" w:color="auto" w:fill="83F190"/>
            <w:vAlign w:val="center"/>
          </w:tcPr>
          <w:p w14:paraId="2EE53BB7" w14:textId="6087E20E" w:rsidR="00BF09CD" w:rsidRPr="00577FD8" w:rsidRDefault="00BF09CD" w:rsidP="00287C14">
            <w:pPr>
              <w:spacing w:before="80" w:after="80" w:line="240" w:lineRule="auto"/>
              <w:jc w:val="left"/>
              <w:rPr>
                <w:b/>
                <w:bCs/>
                <w:sz w:val="18"/>
                <w:szCs w:val="18"/>
                <w:lang w:bidi="en-US"/>
              </w:rPr>
            </w:pPr>
            <w:r w:rsidRPr="00577FD8">
              <w:rPr>
                <w:b/>
                <w:bCs/>
                <w:sz w:val="18"/>
                <w:szCs w:val="18"/>
                <w:lang w:bidi="en-US"/>
              </w:rPr>
              <w:t xml:space="preserve">Kierunek działania </w:t>
            </w:r>
            <w:r w:rsidR="007219BF" w:rsidRPr="00577FD8">
              <w:rPr>
                <w:b/>
                <w:bCs/>
                <w:sz w:val="18"/>
                <w:szCs w:val="18"/>
                <w:lang w:bidi="en-US"/>
              </w:rPr>
              <w:t>2</w:t>
            </w:r>
            <w:r w:rsidRPr="00577FD8">
              <w:rPr>
                <w:b/>
                <w:bCs/>
                <w:sz w:val="18"/>
                <w:szCs w:val="18"/>
                <w:lang w:bidi="en-US"/>
              </w:rPr>
              <w:t>.3</w:t>
            </w:r>
          </w:p>
        </w:tc>
        <w:tc>
          <w:tcPr>
            <w:tcW w:w="6759" w:type="dxa"/>
            <w:gridSpan w:val="2"/>
            <w:tcBorders>
              <w:top w:val="single" w:sz="12" w:space="0" w:color="CFF9D4"/>
              <w:left w:val="single" w:sz="12" w:space="0" w:color="CFF9D4"/>
              <w:bottom w:val="single" w:sz="12" w:space="0" w:color="CFF9D4"/>
              <w:right w:val="single" w:sz="12" w:space="0" w:color="CFF9D4"/>
            </w:tcBorders>
            <w:shd w:val="clear" w:color="auto" w:fill="83F190"/>
            <w:vAlign w:val="center"/>
          </w:tcPr>
          <w:p w14:paraId="2B30A104" w14:textId="32C94A8D" w:rsidR="00BF09CD" w:rsidRPr="00577FD8" w:rsidRDefault="00165C4D" w:rsidP="00287C14">
            <w:pPr>
              <w:spacing w:before="80" w:after="80" w:line="240" w:lineRule="auto"/>
              <w:jc w:val="left"/>
              <w:rPr>
                <w:b/>
                <w:bCs/>
                <w:sz w:val="18"/>
                <w:szCs w:val="18"/>
                <w:lang w:bidi="en-US"/>
              </w:rPr>
            </w:pPr>
            <w:r w:rsidRPr="00577FD8">
              <w:rPr>
                <w:b/>
                <w:bCs/>
                <w:sz w:val="18"/>
                <w:szCs w:val="18"/>
                <w:lang w:bidi="en-US"/>
              </w:rPr>
              <w:t>Wspieranie efektywności energetycznej i</w:t>
            </w:r>
            <w:r w:rsidR="007219BF" w:rsidRPr="00577FD8">
              <w:rPr>
                <w:b/>
                <w:bCs/>
                <w:sz w:val="18"/>
                <w:szCs w:val="18"/>
                <w:lang w:bidi="en-US"/>
              </w:rPr>
              <w:t xml:space="preserve"> odnawialnych źródeł energii</w:t>
            </w:r>
          </w:p>
        </w:tc>
      </w:tr>
      <w:tr w:rsidR="00BF09CD" w:rsidRPr="00287C14" w14:paraId="7B0857A4" w14:textId="77777777" w:rsidTr="00287C14">
        <w:tc>
          <w:tcPr>
            <w:tcW w:w="4489" w:type="dxa"/>
            <w:gridSpan w:val="2"/>
            <w:tcBorders>
              <w:top w:val="single" w:sz="12" w:space="0" w:color="CFF9D4"/>
              <w:left w:val="single" w:sz="12" w:space="0" w:color="CFF9D4"/>
              <w:bottom w:val="single" w:sz="12" w:space="0" w:color="CFF9D4"/>
              <w:right w:val="single" w:sz="12" w:space="0" w:color="CFF9D4"/>
            </w:tcBorders>
            <w:vAlign w:val="center"/>
          </w:tcPr>
          <w:p w14:paraId="5A945BE3" w14:textId="77777777" w:rsidR="00BF09CD" w:rsidRPr="00287C14" w:rsidRDefault="00BF09CD" w:rsidP="00287C14">
            <w:pPr>
              <w:spacing w:before="80" w:after="80" w:line="240" w:lineRule="auto"/>
              <w:jc w:val="left"/>
              <w:rPr>
                <w:b/>
                <w:bCs/>
                <w:sz w:val="18"/>
                <w:szCs w:val="18"/>
                <w:lang w:bidi="en-US"/>
              </w:rPr>
            </w:pPr>
            <w:r w:rsidRPr="00287C14">
              <w:rPr>
                <w:b/>
                <w:bCs/>
                <w:sz w:val="18"/>
                <w:szCs w:val="18"/>
                <w:lang w:bidi="en-US"/>
              </w:rPr>
              <w:t>Planowane rezultaty</w:t>
            </w:r>
          </w:p>
        </w:tc>
        <w:tc>
          <w:tcPr>
            <w:tcW w:w="4493" w:type="dxa"/>
            <w:tcBorders>
              <w:top w:val="single" w:sz="12" w:space="0" w:color="CFF9D4"/>
              <w:left w:val="single" w:sz="12" w:space="0" w:color="CFF9D4"/>
              <w:bottom w:val="single" w:sz="12" w:space="0" w:color="CFF9D4"/>
              <w:right w:val="single" w:sz="12" w:space="0" w:color="CFF9D4"/>
            </w:tcBorders>
            <w:vAlign w:val="center"/>
          </w:tcPr>
          <w:p w14:paraId="0895EF41" w14:textId="058B85F3" w:rsidR="00BF09CD" w:rsidRPr="00287C14" w:rsidRDefault="00BF09CD" w:rsidP="00287C14">
            <w:pPr>
              <w:spacing w:before="80" w:after="80" w:line="240" w:lineRule="auto"/>
              <w:jc w:val="left"/>
              <w:rPr>
                <w:b/>
                <w:bCs/>
                <w:sz w:val="18"/>
                <w:szCs w:val="18"/>
                <w:lang w:bidi="en-US"/>
              </w:rPr>
            </w:pPr>
            <w:r w:rsidRPr="00287C14">
              <w:rPr>
                <w:b/>
                <w:bCs/>
                <w:sz w:val="18"/>
                <w:szCs w:val="18"/>
                <w:lang w:bidi="en-US"/>
              </w:rPr>
              <w:t>Wskaźniki osiągnięcia/</w:t>
            </w:r>
            <w:r w:rsidRPr="00BD67EA">
              <w:rPr>
                <w:b/>
                <w:bCs/>
                <w:color w:val="009900"/>
                <w:sz w:val="18"/>
                <w:szCs w:val="18"/>
                <w:lang w:bidi="en-US"/>
              </w:rPr>
              <w:t>oczekiwany trend</w:t>
            </w:r>
          </w:p>
        </w:tc>
      </w:tr>
      <w:tr w:rsidR="00BF09CD" w14:paraId="424E2CD8" w14:textId="77777777" w:rsidTr="00287C14">
        <w:tc>
          <w:tcPr>
            <w:tcW w:w="4489" w:type="dxa"/>
            <w:gridSpan w:val="2"/>
            <w:tcBorders>
              <w:top w:val="single" w:sz="12" w:space="0" w:color="CFF9D4"/>
              <w:left w:val="single" w:sz="12" w:space="0" w:color="CFF9D4"/>
              <w:bottom w:val="single" w:sz="12" w:space="0" w:color="CFF9D4"/>
              <w:right w:val="single" w:sz="12" w:space="0" w:color="CFF9D4"/>
            </w:tcBorders>
            <w:vAlign w:val="center"/>
          </w:tcPr>
          <w:p w14:paraId="29431D55" w14:textId="77777777" w:rsidR="00BF09CD" w:rsidRPr="007252F1" w:rsidRDefault="002964E1">
            <w:pPr>
              <w:pStyle w:val="Akapitzlist"/>
              <w:numPr>
                <w:ilvl w:val="0"/>
                <w:numId w:val="26"/>
              </w:numPr>
              <w:spacing w:after="0"/>
              <w:ind w:left="270" w:hanging="270"/>
              <w:jc w:val="left"/>
              <w:rPr>
                <w:sz w:val="18"/>
                <w:szCs w:val="20"/>
                <w:lang w:bidi="en-US"/>
              </w:rPr>
            </w:pPr>
            <w:r w:rsidRPr="007252F1">
              <w:rPr>
                <w:sz w:val="18"/>
                <w:szCs w:val="20"/>
                <w:lang w:bidi="en-US"/>
              </w:rPr>
              <w:t>efektywne wykorzystanie energii elektrycznej i cieplnej ze źródeł odnawialnych</w:t>
            </w:r>
          </w:p>
          <w:p w14:paraId="03E2993E" w14:textId="77777777" w:rsidR="002964E1" w:rsidRPr="007252F1" w:rsidRDefault="002964E1">
            <w:pPr>
              <w:pStyle w:val="Akapitzlist"/>
              <w:numPr>
                <w:ilvl w:val="0"/>
                <w:numId w:val="26"/>
              </w:numPr>
              <w:spacing w:after="0"/>
              <w:ind w:left="270" w:hanging="270"/>
              <w:jc w:val="left"/>
              <w:rPr>
                <w:sz w:val="18"/>
                <w:szCs w:val="20"/>
                <w:lang w:bidi="en-US"/>
              </w:rPr>
            </w:pPr>
            <w:r w:rsidRPr="007252F1">
              <w:rPr>
                <w:sz w:val="18"/>
                <w:szCs w:val="20"/>
                <w:lang w:bidi="en-US"/>
              </w:rPr>
              <w:t>poprawa stanu środowiska w zakresie jakości powietrza</w:t>
            </w:r>
          </w:p>
          <w:p w14:paraId="6CCE6058" w14:textId="77777777" w:rsidR="007252F1" w:rsidRPr="007252F1" w:rsidRDefault="007252F1">
            <w:pPr>
              <w:pStyle w:val="Akapitzlist"/>
              <w:numPr>
                <w:ilvl w:val="0"/>
                <w:numId w:val="26"/>
              </w:numPr>
              <w:spacing w:after="0"/>
              <w:ind w:left="270" w:hanging="270"/>
              <w:jc w:val="left"/>
              <w:rPr>
                <w:sz w:val="18"/>
                <w:szCs w:val="20"/>
                <w:lang w:bidi="en-US"/>
              </w:rPr>
            </w:pPr>
            <w:r w:rsidRPr="007252F1">
              <w:rPr>
                <w:sz w:val="18"/>
                <w:szCs w:val="20"/>
                <w:lang w:bidi="en-US"/>
              </w:rPr>
              <w:t>ograniczenie zużycia konwencjonalnych źródeł energii</w:t>
            </w:r>
          </w:p>
          <w:p w14:paraId="67C3CB4E" w14:textId="77777777" w:rsidR="007252F1" w:rsidRPr="007252F1" w:rsidRDefault="007252F1">
            <w:pPr>
              <w:pStyle w:val="Akapitzlist"/>
              <w:numPr>
                <w:ilvl w:val="0"/>
                <w:numId w:val="26"/>
              </w:numPr>
              <w:spacing w:after="0"/>
              <w:ind w:left="270" w:hanging="270"/>
              <w:jc w:val="left"/>
              <w:rPr>
                <w:lang w:bidi="en-US"/>
              </w:rPr>
            </w:pPr>
            <w:r w:rsidRPr="007252F1">
              <w:rPr>
                <w:sz w:val="18"/>
                <w:szCs w:val="20"/>
                <w:lang w:bidi="en-US"/>
              </w:rPr>
              <w:t>wzrost liczby obiektów wyposażonych w instalacje OZE</w:t>
            </w:r>
          </w:p>
          <w:p w14:paraId="0A173647" w14:textId="748D7831" w:rsidR="007252F1" w:rsidRDefault="007252F1">
            <w:pPr>
              <w:pStyle w:val="Akapitzlist"/>
              <w:numPr>
                <w:ilvl w:val="0"/>
                <w:numId w:val="26"/>
              </w:numPr>
              <w:spacing w:after="0"/>
              <w:ind w:left="270" w:hanging="270"/>
              <w:jc w:val="left"/>
              <w:rPr>
                <w:lang w:bidi="en-US"/>
              </w:rPr>
            </w:pPr>
            <w:r>
              <w:rPr>
                <w:sz w:val="18"/>
                <w:szCs w:val="20"/>
                <w:lang w:bidi="en-US"/>
              </w:rPr>
              <w:t>p</w:t>
            </w:r>
            <w:r w:rsidRPr="007252F1">
              <w:rPr>
                <w:sz w:val="18"/>
                <w:szCs w:val="20"/>
                <w:lang w:bidi="en-US"/>
              </w:rPr>
              <w:t>oprawa efektywności energetycznej obiektów użyteczności publicznej</w:t>
            </w:r>
            <w:r w:rsidR="00165C4D">
              <w:rPr>
                <w:sz w:val="18"/>
                <w:szCs w:val="20"/>
                <w:lang w:bidi="en-US"/>
              </w:rPr>
              <w:t xml:space="preserve"> i prywatnych</w:t>
            </w:r>
          </w:p>
        </w:tc>
        <w:tc>
          <w:tcPr>
            <w:tcW w:w="4493" w:type="dxa"/>
            <w:tcBorders>
              <w:top w:val="single" w:sz="12" w:space="0" w:color="CFF9D4"/>
              <w:left w:val="single" w:sz="12" w:space="0" w:color="CFF9D4"/>
              <w:bottom w:val="single" w:sz="12" w:space="0" w:color="CFF9D4"/>
              <w:right w:val="single" w:sz="12" w:space="0" w:color="CFF9D4"/>
            </w:tcBorders>
          </w:tcPr>
          <w:p w14:paraId="6EC98671" w14:textId="3A4B4623" w:rsidR="00BF09CD" w:rsidRPr="007D0A8A" w:rsidRDefault="00403DFD">
            <w:pPr>
              <w:pStyle w:val="Akapitzlist"/>
              <w:numPr>
                <w:ilvl w:val="0"/>
                <w:numId w:val="26"/>
              </w:numPr>
              <w:spacing w:after="0"/>
              <w:ind w:left="318" w:hanging="284"/>
              <w:jc w:val="left"/>
              <w:rPr>
                <w:sz w:val="18"/>
                <w:szCs w:val="20"/>
                <w:lang w:bidi="en-US"/>
              </w:rPr>
            </w:pPr>
            <w:r w:rsidRPr="007D0A8A">
              <w:rPr>
                <w:sz w:val="18"/>
                <w:szCs w:val="20"/>
                <w:lang w:bidi="en-US"/>
              </w:rPr>
              <w:t>liczba wybudowanych jednostek wytwarzania energii cieplnej z OZE</w:t>
            </w:r>
            <w:r w:rsidR="00785160" w:rsidRPr="007D0A8A">
              <w:rPr>
                <w:sz w:val="18"/>
                <w:szCs w:val="20"/>
                <w:lang w:bidi="en-US"/>
              </w:rPr>
              <w:t xml:space="preserve"> </w:t>
            </w:r>
            <w:r w:rsidR="00785160" w:rsidRPr="00785160">
              <w:rPr>
                <w:color w:val="009900"/>
                <w:lang w:bidi="en-US"/>
              </w:rPr>
              <w:sym w:font="Wingdings" w:char="F0EC"/>
            </w:r>
          </w:p>
          <w:p w14:paraId="19C18E15" w14:textId="2E6C5108" w:rsidR="00403DFD" w:rsidRPr="007D0A8A" w:rsidRDefault="00403DFD">
            <w:pPr>
              <w:pStyle w:val="Akapitzlist"/>
              <w:numPr>
                <w:ilvl w:val="0"/>
                <w:numId w:val="26"/>
              </w:numPr>
              <w:spacing w:after="0"/>
              <w:ind w:left="318" w:hanging="284"/>
              <w:jc w:val="left"/>
              <w:rPr>
                <w:sz w:val="18"/>
                <w:szCs w:val="20"/>
                <w:lang w:bidi="en-US"/>
              </w:rPr>
            </w:pPr>
            <w:r w:rsidRPr="007D0A8A">
              <w:rPr>
                <w:sz w:val="18"/>
                <w:szCs w:val="20"/>
                <w:lang w:bidi="en-US"/>
              </w:rPr>
              <w:t>liczba wybudowanych jednostek wytwarzania energii elektrycznej z OZE</w:t>
            </w:r>
            <w:r w:rsidR="00785160" w:rsidRPr="007D0A8A">
              <w:rPr>
                <w:sz w:val="18"/>
                <w:szCs w:val="20"/>
                <w:lang w:bidi="en-US"/>
              </w:rPr>
              <w:t xml:space="preserve"> </w:t>
            </w:r>
            <w:r w:rsidR="00785160" w:rsidRPr="00785160">
              <w:rPr>
                <w:color w:val="009900"/>
                <w:lang w:bidi="en-US"/>
              </w:rPr>
              <w:sym w:font="Wingdings" w:char="F0EC"/>
            </w:r>
          </w:p>
          <w:p w14:paraId="3789F379" w14:textId="5D187AC0" w:rsidR="00403DFD" w:rsidRDefault="00403DFD">
            <w:pPr>
              <w:pStyle w:val="Akapitzlist"/>
              <w:numPr>
                <w:ilvl w:val="0"/>
                <w:numId w:val="26"/>
              </w:numPr>
              <w:spacing w:after="0"/>
              <w:ind w:left="318" w:hanging="284"/>
              <w:jc w:val="left"/>
              <w:rPr>
                <w:lang w:bidi="en-US"/>
              </w:rPr>
            </w:pPr>
            <w:r w:rsidRPr="007D0A8A">
              <w:rPr>
                <w:sz w:val="18"/>
                <w:szCs w:val="20"/>
                <w:lang w:bidi="en-US"/>
              </w:rPr>
              <w:t>liczba zmodernizowanych indywidualnych źródeł ciepła</w:t>
            </w:r>
            <w:r w:rsidR="00785160" w:rsidRPr="007D0A8A">
              <w:rPr>
                <w:sz w:val="18"/>
                <w:szCs w:val="20"/>
                <w:lang w:bidi="en-US"/>
              </w:rPr>
              <w:t xml:space="preserve"> </w:t>
            </w:r>
            <w:r w:rsidR="00785160" w:rsidRPr="00785160">
              <w:rPr>
                <w:color w:val="009900"/>
                <w:lang w:bidi="en-US"/>
              </w:rPr>
              <w:sym w:font="Wingdings" w:char="F0EC"/>
            </w:r>
          </w:p>
        </w:tc>
      </w:tr>
      <w:tr w:rsidR="00BF09CD" w14:paraId="48346915" w14:textId="77777777" w:rsidTr="00287C14">
        <w:tc>
          <w:tcPr>
            <w:tcW w:w="8982" w:type="dxa"/>
            <w:gridSpan w:val="3"/>
            <w:tcBorders>
              <w:top w:val="single" w:sz="12" w:space="0" w:color="CFF9D4"/>
              <w:left w:val="nil"/>
              <w:bottom w:val="single" w:sz="12" w:space="0" w:color="CFF9D4"/>
              <w:right w:val="nil"/>
            </w:tcBorders>
            <w:vAlign w:val="center"/>
          </w:tcPr>
          <w:p w14:paraId="4C1B23AC" w14:textId="77777777" w:rsidR="00BF09CD" w:rsidRDefault="00BF09CD" w:rsidP="007219BF">
            <w:pPr>
              <w:spacing w:after="0"/>
              <w:jc w:val="left"/>
              <w:rPr>
                <w:lang w:bidi="en-US"/>
              </w:rPr>
            </w:pPr>
          </w:p>
        </w:tc>
      </w:tr>
      <w:tr w:rsidR="00BF09CD" w:rsidRPr="00577FD8" w14:paraId="28E1008B" w14:textId="77777777" w:rsidTr="00287C14">
        <w:tc>
          <w:tcPr>
            <w:tcW w:w="2223" w:type="dxa"/>
            <w:tcBorders>
              <w:top w:val="single" w:sz="12" w:space="0" w:color="CFF9D4"/>
              <w:left w:val="single" w:sz="12" w:space="0" w:color="CFF9D4"/>
              <w:bottom w:val="single" w:sz="12" w:space="0" w:color="CFF9D4"/>
              <w:right w:val="single" w:sz="12" w:space="0" w:color="CFF9D4"/>
            </w:tcBorders>
            <w:shd w:val="clear" w:color="auto" w:fill="83F190"/>
            <w:vAlign w:val="center"/>
          </w:tcPr>
          <w:p w14:paraId="7B631BCD" w14:textId="773444E5" w:rsidR="00BF09CD" w:rsidRPr="00577FD8" w:rsidRDefault="00BF09CD" w:rsidP="00287C14">
            <w:pPr>
              <w:spacing w:before="80" w:after="80" w:line="240" w:lineRule="auto"/>
              <w:jc w:val="left"/>
              <w:rPr>
                <w:b/>
                <w:bCs/>
                <w:sz w:val="18"/>
                <w:szCs w:val="18"/>
                <w:lang w:bidi="en-US"/>
              </w:rPr>
            </w:pPr>
            <w:r w:rsidRPr="00577FD8">
              <w:rPr>
                <w:b/>
                <w:bCs/>
                <w:sz w:val="18"/>
                <w:szCs w:val="18"/>
                <w:lang w:bidi="en-US"/>
              </w:rPr>
              <w:t xml:space="preserve">Kierunek działania </w:t>
            </w:r>
            <w:r w:rsidR="007219BF" w:rsidRPr="00577FD8">
              <w:rPr>
                <w:b/>
                <w:bCs/>
                <w:sz w:val="18"/>
                <w:szCs w:val="18"/>
                <w:lang w:bidi="en-US"/>
              </w:rPr>
              <w:t>2</w:t>
            </w:r>
            <w:r w:rsidRPr="00577FD8">
              <w:rPr>
                <w:b/>
                <w:bCs/>
                <w:sz w:val="18"/>
                <w:szCs w:val="18"/>
                <w:lang w:bidi="en-US"/>
              </w:rPr>
              <w:t>.</w:t>
            </w:r>
            <w:r w:rsidR="007252F1" w:rsidRPr="00577FD8">
              <w:rPr>
                <w:b/>
                <w:bCs/>
                <w:sz w:val="18"/>
                <w:szCs w:val="18"/>
                <w:lang w:bidi="en-US"/>
              </w:rPr>
              <w:t>4</w:t>
            </w:r>
          </w:p>
        </w:tc>
        <w:tc>
          <w:tcPr>
            <w:tcW w:w="6759" w:type="dxa"/>
            <w:gridSpan w:val="2"/>
            <w:tcBorders>
              <w:top w:val="single" w:sz="12" w:space="0" w:color="CFF9D4"/>
              <w:left w:val="single" w:sz="12" w:space="0" w:color="CFF9D4"/>
              <w:bottom w:val="single" w:sz="12" w:space="0" w:color="CFF9D4"/>
              <w:right w:val="single" w:sz="12" w:space="0" w:color="CFF9D4"/>
            </w:tcBorders>
            <w:shd w:val="clear" w:color="auto" w:fill="83F190"/>
            <w:vAlign w:val="center"/>
          </w:tcPr>
          <w:p w14:paraId="242E8CEC" w14:textId="29E428B1" w:rsidR="00BF09CD" w:rsidRPr="00577FD8" w:rsidRDefault="00322A1F" w:rsidP="00287C14">
            <w:pPr>
              <w:spacing w:before="80" w:after="80" w:line="240" w:lineRule="auto"/>
              <w:jc w:val="left"/>
              <w:rPr>
                <w:b/>
                <w:bCs/>
                <w:sz w:val="18"/>
                <w:szCs w:val="18"/>
                <w:lang w:bidi="en-US"/>
              </w:rPr>
            </w:pPr>
            <w:r w:rsidRPr="00577FD8">
              <w:rPr>
                <w:b/>
                <w:bCs/>
                <w:sz w:val="18"/>
                <w:szCs w:val="18"/>
                <w:lang w:bidi="en-US"/>
              </w:rPr>
              <w:t>Poprawa jakości i dostępności infrastruktury rekreacyjnej i sportowej</w:t>
            </w:r>
          </w:p>
        </w:tc>
      </w:tr>
      <w:tr w:rsidR="00BF09CD" w:rsidRPr="00287C14" w14:paraId="3A4EE1F8" w14:textId="77777777" w:rsidTr="00287C14">
        <w:tc>
          <w:tcPr>
            <w:tcW w:w="4489" w:type="dxa"/>
            <w:gridSpan w:val="2"/>
            <w:tcBorders>
              <w:top w:val="single" w:sz="12" w:space="0" w:color="CFF9D4"/>
              <w:left w:val="single" w:sz="12" w:space="0" w:color="CFF9D4"/>
              <w:bottom w:val="single" w:sz="12" w:space="0" w:color="CFF9D4"/>
              <w:right w:val="single" w:sz="12" w:space="0" w:color="CFF9D4"/>
            </w:tcBorders>
            <w:vAlign w:val="center"/>
          </w:tcPr>
          <w:p w14:paraId="5ADEA0EC" w14:textId="77777777" w:rsidR="00BF09CD" w:rsidRPr="00287C14" w:rsidRDefault="00BF09CD" w:rsidP="00287C14">
            <w:pPr>
              <w:spacing w:before="80" w:after="80" w:line="240" w:lineRule="auto"/>
              <w:jc w:val="left"/>
              <w:rPr>
                <w:b/>
                <w:bCs/>
                <w:sz w:val="18"/>
                <w:szCs w:val="18"/>
                <w:lang w:bidi="en-US"/>
              </w:rPr>
            </w:pPr>
            <w:r w:rsidRPr="00287C14">
              <w:rPr>
                <w:b/>
                <w:bCs/>
                <w:sz w:val="18"/>
                <w:szCs w:val="18"/>
                <w:lang w:bidi="en-US"/>
              </w:rPr>
              <w:t>Planowane rezultaty</w:t>
            </w:r>
          </w:p>
        </w:tc>
        <w:tc>
          <w:tcPr>
            <w:tcW w:w="4493" w:type="dxa"/>
            <w:tcBorders>
              <w:top w:val="single" w:sz="12" w:space="0" w:color="CFF9D4"/>
              <w:left w:val="single" w:sz="12" w:space="0" w:color="CFF9D4"/>
              <w:bottom w:val="single" w:sz="12" w:space="0" w:color="CFF9D4"/>
              <w:right w:val="single" w:sz="12" w:space="0" w:color="CFF9D4"/>
            </w:tcBorders>
            <w:vAlign w:val="center"/>
          </w:tcPr>
          <w:p w14:paraId="29D06211" w14:textId="1D19EF46" w:rsidR="00BF09CD" w:rsidRPr="00287C14" w:rsidRDefault="00BF09CD" w:rsidP="00287C14">
            <w:pPr>
              <w:spacing w:before="80" w:after="80" w:line="240" w:lineRule="auto"/>
              <w:jc w:val="left"/>
              <w:rPr>
                <w:b/>
                <w:bCs/>
                <w:sz w:val="18"/>
                <w:szCs w:val="18"/>
                <w:lang w:bidi="en-US"/>
              </w:rPr>
            </w:pPr>
            <w:r w:rsidRPr="00287C14">
              <w:rPr>
                <w:b/>
                <w:bCs/>
                <w:sz w:val="18"/>
                <w:szCs w:val="18"/>
                <w:lang w:bidi="en-US"/>
              </w:rPr>
              <w:t>Wskaźniki osiągnięcia/</w:t>
            </w:r>
            <w:r w:rsidRPr="00BD67EA">
              <w:rPr>
                <w:b/>
                <w:bCs/>
                <w:color w:val="009900"/>
                <w:sz w:val="18"/>
                <w:szCs w:val="18"/>
                <w:lang w:bidi="en-US"/>
              </w:rPr>
              <w:t>oczekiwany trend</w:t>
            </w:r>
          </w:p>
        </w:tc>
      </w:tr>
      <w:tr w:rsidR="00BF09CD" w14:paraId="3A7DBA5F" w14:textId="77777777" w:rsidTr="00287C14">
        <w:tc>
          <w:tcPr>
            <w:tcW w:w="4489" w:type="dxa"/>
            <w:gridSpan w:val="2"/>
            <w:tcBorders>
              <w:top w:val="single" w:sz="12" w:space="0" w:color="CFF9D4"/>
              <w:left w:val="single" w:sz="12" w:space="0" w:color="CFF9D4"/>
              <w:bottom w:val="single" w:sz="12" w:space="0" w:color="CFF9D4"/>
              <w:right w:val="single" w:sz="12" w:space="0" w:color="CFF9D4"/>
            </w:tcBorders>
          </w:tcPr>
          <w:p w14:paraId="546E70BB" w14:textId="71D3BAF4" w:rsidR="00BF09CD" w:rsidRPr="00547486" w:rsidRDefault="007252F1">
            <w:pPr>
              <w:pStyle w:val="Akapitzlist"/>
              <w:numPr>
                <w:ilvl w:val="0"/>
                <w:numId w:val="24"/>
              </w:numPr>
              <w:spacing w:after="0"/>
              <w:ind w:left="270" w:hanging="270"/>
              <w:jc w:val="left"/>
              <w:rPr>
                <w:sz w:val="18"/>
                <w:szCs w:val="20"/>
                <w:lang w:bidi="en-US"/>
              </w:rPr>
            </w:pPr>
            <w:r w:rsidRPr="00547486">
              <w:rPr>
                <w:sz w:val="18"/>
                <w:szCs w:val="20"/>
                <w:lang w:bidi="en-US"/>
              </w:rPr>
              <w:t xml:space="preserve">wzrost atrakcyjności przestrzeni publicznych związanej z rekreacją i </w:t>
            </w:r>
            <w:r w:rsidR="00322A1F">
              <w:rPr>
                <w:sz w:val="18"/>
                <w:szCs w:val="20"/>
                <w:lang w:bidi="en-US"/>
              </w:rPr>
              <w:t>wy</w:t>
            </w:r>
            <w:r w:rsidRPr="00547486">
              <w:rPr>
                <w:sz w:val="18"/>
                <w:szCs w:val="20"/>
                <w:lang w:bidi="en-US"/>
              </w:rPr>
              <w:t>poczynkiem</w:t>
            </w:r>
          </w:p>
          <w:p w14:paraId="1789FAF9" w14:textId="62B826F6" w:rsidR="007252F1" w:rsidRPr="00547486" w:rsidRDefault="00547486">
            <w:pPr>
              <w:pStyle w:val="Akapitzlist"/>
              <w:numPr>
                <w:ilvl w:val="0"/>
                <w:numId w:val="24"/>
              </w:numPr>
              <w:spacing w:after="0"/>
              <w:ind w:left="270" w:hanging="270"/>
              <w:jc w:val="left"/>
              <w:rPr>
                <w:sz w:val="18"/>
                <w:szCs w:val="20"/>
                <w:lang w:bidi="en-US"/>
              </w:rPr>
            </w:pPr>
            <w:r w:rsidRPr="00547486">
              <w:rPr>
                <w:sz w:val="18"/>
                <w:szCs w:val="20"/>
                <w:lang w:bidi="en-US"/>
              </w:rPr>
              <w:t>poprawa dostępności przestrzeni rekreacyjnych</w:t>
            </w:r>
          </w:p>
          <w:p w14:paraId="7F3FBEFB" w14:textId="567EE782" w:rsidR="00547486" w:rsidRDefault="00547486">
            <w:pPr>
              <w:pStyle w:val="Akapitzlist"/>
              <w:numPr>
                <w:ilvl w:val="0"/>
                <w:numId w:val="24"/>
              </w:numPr>
              <w:ind w:left="270" w:hanging="270"/>
              <w:jc w:val="left"/>
              <w:rPr>
                <w:lang w:bidi="en-US"/>
              </w:rPr>
            </w:pPr>
            <w:r w:rsidRPr="00547486">
              <w:rPr>
                <w:sz w:val="18"/>
                <w:szCs w:val="20"/>
                <w:lang w:bidi="en-US"/>
              </w:rPr>
              <w:t>poprawa dostępności, funkcjonalności i estetyki obiektów przestrzeni publicznych</w:t>
            </w:r>
          </w:p>
        </w:tc>
        <w:tc>
          <w:tcPr>
            <w:tcW w:w="4493" w:type="dxa"/>
            <w:tcBorders>
              <w:top w:val="single" w:sz="12" w:space="0" w:color="CFF9D4"/>
              <w:left w:val="single" w:sz="12" w:space="0" w:color="CFF9D4"/>
              <w:bottom w:val="single" w:sz="12" w:space="0" w:color="CFF9D4"/>
              <w:right w:val="single" w:sz="12" w:space="0" w:color="CFF9D4"/>
            </w:tcBorders>
          </w:tcPr>
          <w:p w14:paraId="4B8EA5DC" w14:textId="0F362E99" w:rsidR="00403DFD" w:rsidRPr="00233BC1" w:rsidRDefault="00403DFD">
            <w:pPr>
              <w:pStyle w:val="Akapitzlist"/>
              <w:numPr>
                <w:ilvl w:val="0"/>
                <w:numId w:val="25"/>
              </w:numPr>
              <w:spacing w:after="0"/>
              <w:ind w:left="318" w:hanging="284"/>
              <w:jc w:val="left"/>
              <w:rPr>
                <w:sz w:val="18"/>
                <w:szCs w:val="18"/>
                <w:lang w:bidi="en-US"/>
              </w:rPr>
            </w:pPr>
            <w:r w:rsidRPr="00233BC1">
              <w:rPr>
                <w:sz w:val="18"/>
                <w:szCs w:val="18"/>
                <w:lang w:bidi="en-US"/>
              </w:rPr>
              <w:t>liczba przebudowanych obiektów turystycznych i rekreacyjnych</w:t>
            </w:r>
            <w:r w:rsidR="00785160">
              <w:rPr>
                <w:sz w:val="18"/>
                <w:szCs w:val="18"/>
                <w:lang w:bidi="en-US"/>
              </w:rPr>
              <w:t xml:space="preserve"> </w:t>
            </w:r>
            <w:r w:rsidR="00785160" w:rsidRPr="00785160">
              <w:rPr>
                <w:color w:val="009900"/>
                <w:szCs w:val="20"/>
                <w:lang w:bidi="en-US"/>
              </w:rPr>
              <w:sym w:font="Wingdings" w:char="F0EC"/>
            </w:r>
          </w:p>
        </w:tc>
      </w:tr>
      <w:tr w:rsidR="00BF09CD" w14:paraId="7B0B1B39" w14:textId="77777777" w:rsidTr="00287C14">
        <w:tc>
          <w:tcPr>
            <w:tcW w:w="8982" w:type="dxa"/>
            <w:gridSpan w:val="3"/>
            <w:tcBorders>
              <w:top w:val="single" w:sz="12" w:space="0" w:color="CFF9D4"/>
              <w:left w:val="nil"/>
              <w:bottom w:val="single" w:sz="12" w:space="0" w:color="CFF9D4"/>
              <w:right w:val="nil"/>
            </w:tcBorders>
            <w:vAlign w:val="center"/>
          </w:tcPr>
          <w:p w14:paraId="04639300" w14:textId="77777777" w:rsidR="00BF09CD" w:rsidRDefault="00BF09CD" w:rsidP="00AC3BA1">
            <w:pPr>
              <w:spacing w:after="0"/>
              <w:jc w:val="left"/>
              <w:rPr>
                <w:lang w:bidi="en-US"/>
              </w:rPr>
            </w:pPr>
          </w:p>
        </w:tc>
      </w:tr>
      <w:tr w:rsidR="00BF09CD" w:rsidRPr="00577FD8" w14:paraId="159D3217" w14:textId="77777777" w:rsidTr="00287C14">
        <w:tc>
          <w:tcPr>
            <w:tcW w:w="2223" w:type="dxa"/>
            <w:tcBorders>
              <w:top w:val="single" w:sz="12" w:space="0" w:color="CFF9D4"/>
              <w:left w:val="single" w:sz="12" w:space="0" w:color="CFF9D4"/>
              <w:bottom w:val="single" w:sz="12" w:space="0" w:color="CFF9D4"/>
              <w:right w:val="single" w:sz="12" w:space="0" w:color="CFF9D4"/>
            </w:tcBorders>
            <w:shd w:val="clear" w:color="auto" w:fill="83F190"/>
            <w:vAlign w:val="center"/>
          </w:tcPr>
          <w:p w14:paraId="74204AB2" w14:textId="692B810F" w:rsidR="00BF09CD" w:rsidRPr="00577FD8" w:rsidRDefault="00BF09CD" w:rsidP="00287C14">
            <w:pPr>
              <w:spacing w:before="80" w:after="80" w:line="240" w:lineRule="auto"/>
              <w:jc w:val="left"/>
              <w:rPr>
                <w:b/>
                <w:bCs/>
                <w:sz w:val="18"/>
                <w:szCs w:val="18"/>
                <w:lang w:bidi="en-US"/>
              </w:rPr>
            </w:pPr>
            <w:r w:rsidRPr="00577FD8">
              <w:rPr>
                <w:b/>
                <w:bCs/>
                <w:sz w:val="18"/>
                <w:szCs w:val="18"/>
                <w:lang w:bidi="en-US"/>
              </w:rPr>
              <w:t xml:space="preserve">Kierunek działania </w:t>
            </w:r>
            <w:r w:rsidR="007219BF" w:rsidRPr="00577FD8">
              <w:rPr>
                <w:b/>
                <w:bCs/>
                <w:sz w:val="18"/>
                <w:szCs w:val="18"/>
                <w:lang w:bidi="en-US"/>
              </w:rPr>
              <w:t>2</w:t>
            </w:r>
            <w:r w:rsidRPr="00577FD8">
              <w:rPr>
                <w:b/>
                <w:bCs/>
                <w:sz w:val="18"/>
                <w:szCs w:val="18"/>
                <w:lang w:bidi="en-US"/>
              </w:rPr>
              <w:t>.</w:t>
            </w:r>
            <w:r w:rsidR="007252F1" w:rsidRPr="00577FD8">
              <w:rPr>
                <w:b/>
                <w:bCs/>
                <w:sz w:val="18"/>
                <w:szCs w:val="18"/>
                <w:lang w:bidi="en-US"/>
              </w:rPr>
              <w:t>5</w:t>
            </w:r>
          </w:p>
        </w:tc>
        <w:tc>
          <w:tcPr>
            <w:tcW w:w="6759" w:type="dxa"/>
            <w:gridSpan w:val="2"/>
            <w:tcBorders>
              <w:top w:val="single" w:sz="12" w:space="0" w:color="CFF9D4"/>
              <w:left w:val="single" w:sz="12" w:space="0" w:color="CFF9D4"/>
              <w:bottom w:val="single" w:sz="12" w:space="0" w:color="CFF9D4"/>
              <w:right w:val="single" w:sz="12" w:space="0" w:color="CFF9D4"/>
            </w:tcBorders>
            <w:shd w:val="clear" w:color="auto" w:fill="83F190"/>
            <w:vAlign w:val="center"/>
          </w:tcPr>
          <w:p w14:paraId="15DE8B93" w14:textId="04D27D08" w:rsidR="00BF09CD" w:rsidRPr="00577FD8" w:rsidRDefault="00F2559A" w:rsidP="00287C14">
            <w:pPr>
              <w:spacing w:before="80" w:after="80" w:line="240" w:lineRule="auto"/>
              <w:jc w:val="left"/>
              <w:rPr>
                <w:b/>
                <w:bCs/>
                <w:sz w:val="18"/>
                <w:szCs w:val="18"/>
                <w:lang w:bidi="en-US"/>
              </w:rPr>
            </w:pPr>
            <w:r w:rsidRPr="00577FD8">
              <w:rPr>
                <w:b/>
                <w:bCs/>
                <w:sz w:val="18"/>
                <w:szCs w:val="18"/>
                <w:lang w:bidi="en-US"/>
              </w:rPr>
              <w:t>Wspieranie gospodarki o obiegu zamkni</w:t>
            </w:r>
            <w:r w:rsidR="0067314B" w:rsidRPr="00577FD8">
              <w:rPr>
                <w:b/>
                <w:bCs/>
                <w:sz w:val="18"/>
                <w:szCs w:val="18"/>
                <w:lang w:bidi="en-US"/>
              </w:rPr>
              <w:t>ę</w:t>
            </w:r>
            <w:r w:rsidRPr="00577FD8">
              <w:rPr>
                <w:b/>
                <w:bCs/>
                <w:sz w:val="18"/>
                <w:szCs w:val="18"/>
                <w:lang w:bidi="en-US"/>
              </w:rPr>
              <w:t>tym</w:t>
            </w:r>
          </w:p>
        </w:tc>
      </w:tr>
      <w:tr w:rsidR="00BF09CD" w:rsidRPr="00287C14" w14:paraId="00E98FE9" w14:textId="77777777" w:rsidTr="00287C14">
        <w:tc>
          <w:tcPr>
            <w:tcW w:w="4489" w:type="dxa"/>
            <w:gridSpan w:val="2"/>
            <w:tcBorders>
              <w:top w:val="single" w:sz="12" w:space="0" w:color="CFF9D4"/>
              <w:left w:val="single" w:sz="12" w:space="0" w:color="CFF9D4"/>
              <w:bottom w:val="single" w:sz="12" w:space="0" w:color="CFF9D4"/>
              <w:right w:val="single" w:sz="12" w:space="0" w:color="CFF9D4"/>
            </w:tcBorders>
            <w:vAlign w:val="center"/>
          </w:tcPr>
          <w:p w14:paraId="4A974BDC" w14:textId="78BF2003" w:rsidR="00BF09CD" w:rsidRPr="00287C14" w:rsidRDefault="00BF09CD" w:rsidP="00287C14">
            <w:pPr>
              <w:spacing w:before="80" w:after="80" w:line="240" w:lineRule="auto"/>
              <w:jc w:val="left"/>
              <w:rPr>
                <w:b/>
                <w:bCs/>
                <w:sz w:val="18"/>
                <w:szCs w:val="18"/>
                <w:lang w:bidi="en-US"/>
              </w:rPr>
            </w:pPr>
            <w:r w:rsidRPr="00287C14">
              <w:rPr>
                <w:b/>
                <w:bCs/>
                <w:sz w:val="18"/>
                <w:szCs w:val="18"/>
                <w:lang w:bidi="en-US"/>
              </w:rPr>
              <w:t>Planowane rezultaty</w:t>
            </w:r>
          </w:p>
        </w:tc>
        <w:tc>
          <w:tcPr>
            <w:tcW w:w="4493" w:type="dxa"/>
            <w:tcBorders>
              <w:top w:val="single" w:sz="12" w:space="0" w:color="CFF9D4"/>
              <w:left w:val="single" w:sz="12" w:space="0" w:color="CFF9D4"/>
              <w:bottom w:val="single" w:sz="12" w:space="0" w:color="CFF9D4"/>
              <w:right w:val="single" w:sz="12" w:space="0" w:color="CFF9D4"/>
            </w:tcBorders>
            <w:vAlign w:val="center"/>
          </w:tcPr>
          <w:p w14:paraId="294616E8" w14:textId="01C8FBF4" w:rsidR="00BF09CD" w:rsidRPr="00287C14" w:rsidRDefault="00BF09CD" w:rsidP="00287C14">
            <w:pPr>
              <w:spacing w:before="80" w:after="80" w:line="240" w:lineRule="auto"/>
              <w:jc w:val="left"/>
              <w:rPr>
                <w:b/>
                <w:bCs/>
                <w:sz w:val="18"/>
                <w:szCs w:val="18"/>
                <w:lang w:bidi="en-US"/>
              </w:rPr>
            </w:pPr>
            <w:r w:rsidRPr="00287C14">
              <w:rPr>
                <w:b/>
                <w:bCs/>
                <w:sz w:val="18"/>
                <w:szCs w:val="18"/>
                <w:lang w:bidi="en-US"/>
              </w:rPr>
              <w:t>Wskaźniki osiągnięcia/</w:t>
            </w:r>
            <w:r w:rsidRPr="00BD67EA">
              <w:rPr>
                <w:b/>
                <w:bCs/>
                <w:color w:val="009900"/>
                <w:sz w:val="18"/>
                <w:szCs w:val="18"/>
                <w:lang w:bidi="en-US"/>
              </w:rPr>
              <w:t>oczekiwany trend</w:t>
            </w:r>
          </w:p>
        </w:tc>
      </w:tr>
      <w:tr w:rsidR="00BF09CD" w14:paraId="64AB7AA7" w14:textId="77777777" w:rsidTr="00287C14">
        <w:tc>
          <w:tcPr>
            <w:tcW w:w="4489" w:type="dxa"/>
            <w:gridSpan w:val="2"/>
            <w:tcBorders>
              <w:top w:val="single" w:sz="12" w:space="0" w:color="CFF9D4"/>
              <w:left w:val="single" w:sz="12" w:space="0" w:color="CFF9D4"/>
              <w:bottom w:val="single" w:sz="12" w:space="0" w:color="CFF9D4"/>
              <w:right w:val="single" w:sz="12" w:space="0" w:color="CFF9D4"/>
            </w:tcBorders>
            <w:vAlign w:val="center"/>
          </w:tcPr>
          <w:p w14:paraId="3386B30D" w14:textId="61863693" w:rsidR="00BF09CD" w:rsidRPr="00E110CC" w:rsidRDefault="00E110CC">
            <w:pPr>
              <w:pStyle w:val="Akapitzlist"/>
              <w:numPr>
                <w:ilvl w:val="0"/>
                <w:numId w:val="23"/>
              </w:numPr>
              <w:spacing w:after="0"/>
              <w:ind w:left="270" w:hanging="270"/>
              <w:jc w:val="left"/>
              <w:rPr>
                <w:sz w:val="18"/>
                <w:szCs w:val="20"/>
                <w:lang w:bidi="en-US"/>
              </w:rPr>
            </w:pPr>
            <w:r w:rsidRPr="00E110CC">
              <w:rPr>
                <w:sz w:val="18"/>
                <w:szCs w:val="20"/>
                <w:lang w:bidi="en-US"/>
              </w:rPr>
              <w:t>poprawa organizacji funkcjonowania gospodarki odpadami komunalnymi</w:t>
            </w:r>
          </w:p>
          <w:p w14:paraId="1B429804" w14:textId="0842F031" w:rsidR="00E110CC" w:rsidRDefault="00E110CC">
            <w:pPr>
              <w:pStyle w:val="Akapitzlist"/>
              <w:numPr>
                <w:ilvl w:val="0"/>
                <w:numId w:val="23"/>
              </w:numPr>
              <w:spacing w:after="0"/>
              <w:ind w:left="270" w:hanging="270"/>
              <w:jc w:val="left"/>
              <w:rPr>
                <w:lang w:bidi="en-US"/>
              </w:rPr>
            </w:pPr>
            <w:r w:rsidRPr="00E110CC">
              <w:rPr>
                <w:sz w:val="18"/>
                <w:szCs w:val="20"/>
                <w:lang w:bidi="en-US"/>
              </w:rPr>
              <w:t>modernizacja i wyposażenie punktów selektywnej zbiórki odpadów komunalnych</w:t>
            </w:r>
          </w:p>
        </w:tc>
        <w:tc>
          <w:tcPr>
            <w:tcW w:w="4493" w:type="dxa"/>
            <w:tcBorders>
              <w:top w:val="single" w:sz="12" w:space="0" w:color="CFF9D4"/>
              <w:left w:val="single" w:sz="12" w:space="0" w:color="CFF9D4"/>
              <w:bottom w:val="single" w:sz="12" w:space="0" w:color="CFF9D4"/>
              <w:right w:val="single" w:sz="12" w:space="0" w:color="CFF9D4"/>
            </w:tcBorders>
          </w:tcPr>
          <w:p w14:paraId="555C0FCA" w14:textId="43061DCC" w:rsidR="00C03928" w:rsidRPr="00785160" w:rsidRDefault="00C03928">
            <w:pPr>
              <w:pStyle w:val="Akapitzlist"/>
              <w:numPr>
                <w:ilvl w:val="0"/>
                <w:numId w:val="23"/>
              </w:numPr>
              <w:spacing w:after="0"/>
              <w:ind w:left="318" w:hanging="284"/>
              <w:jc w:val="left"/>
              <w:rPr>
                <w:sz w:val="18"/>
                <w:szCs w:val="20"/>
                <w:lang w:bidi="en-US"/>
              </w:rPr>
            </w:pPr>
            <w:r w:rsidRPr="00785160">
              <w:rPr>
                <w:sz w:val="18"/>
                <w:szCs w:val="20"/>
              </w:rPr>
              <w:t>dodatkowe zdolności w zakresie recyklingu odpadów</w:t>
            </w:r>
            <w:r w:rsidR="00785160" w:rsidRPr="00785160">
              <w:rPr>
                <w:sz w:val="18"/>
                <w:szCs w:val="20"/>
              </w:rPr>
              <w:t xml:space="preserve"> </w:t>
            </w:r>
            <w:r w:rsidR="00785160" w:rsidRPr="00785160">
              <w:rPr>
                <w:color w:val="009900"/>
                <w:lang w:bidi="en-US"/>
              </w:rPr>
              <w:sym w:font="Wingdings" w:char="F0EC"/>
            </w:r>
          </w:p>
          <w:p w14:paraId="37B31CCE" w14:textId="57F4DDE4" w:rsidR="00C03928" w:rsidRPr="00785160" w:rsidRDefault="00C03928">
            <w:pPr>
              <w:pStyle w:val="Akapitzlist"/>
              <w:numPr>
                <w:ilvl w:val="0"/>
                <w:numId w:val="23"/>
              </w:numPr>
              <w:spacing w:after="0"/>
              <w:ind w:left="318" w:hanging="284"/>
              <w:jc w:val="left"/>
              <w:rPr>
                <w:sz w:val="18"/>
                <w:szCs w:val="20"/>
                <w:lang w:bidi="en-US"/>
              </w:rPr>
            </w:pPr>
            <w:r w:rsidRPr="00785160">
              <w:rPr>
                <w:sz w:val="18"/>
                <w:szCs w:val="20"/>
                <w:lang w:bidi="en-US"/>
              </w:rPr>
              <w:t xml:space="preserve">liczba wspartych punktów selektywnego zbierania odpadów komunalnych </w:t>
            </w:r>
            <w:r w:rsidR="00785160" w:rsidRPr="00785160">
              <w:rPr>
                <w:color w:val="009900"/>
                <w:lang w:bidi="en-US"/>
              </w:rPr>
              <w:sym w:font="Wingdings" w:char="F0EC"/>
            </w:r>
          </w:p>
          <w:p w14:paraId="64CE9809" w14:textId="326AE632" w:rsidR="00BF09CD" w:rsidRPr="00785160" w:rsidRDefault="00C03928">
            <w:pPr>
              <w:pStyle w:val="Akapitzlist"/>
              <w:numPr>
                <w:ilvl w:val="0"/>
                <w:numId w:val="23"/>
              </w:numPr>
              <w:spacing w:after="0"/>
              <w:ind w:left="318" w:hanging="284"/>
              <w:jc w:val="left"/>
              <w:rPr>
                <w:sz w:val="18"/>
                <w:szCs w:val="20"/>
                <w:lang w:bidi="en-US"/>
              </w:rPr>
            </w:pPr>
            <w:r w:rsidRPr="00785160">
              <w:rPr>
                <w:sz w:val="18"/>
                <w:szCs w:val="20"/>
              </w:rPr>
              <w:t>odpady zbierane selektywnie</w:t>
            </w:r>
            <w:r w:rsidR="00785160" w:rsidRPr="00785160">
              <w:rPr>
                <w:sz w:val="18"/>
                <w:szCs w:val="20"/>
              </w:rPr>
              <w:t xml:space="preserve"> </w:t>
            </w:r>
            <w:r w:rsidR="00785160" w:rsidRPr="00785160">
              <w:rPr>
                <w:color w:val="009900"/>
                <w:lang w:bidi="en-US"/>
              </w:rPr>
              <w:sym w:font="Wingdings" w:char="F0EC"/>
            </w:r>
          </w:p>
        </w:tc>
      </w:tr>
    </w:tbl>
    <w:p w14:paraId="20625CB4" w14:textId="77777777" w:rsidR="005D222C" w:rsidRDefault="005D222C" w:rsidP="00261698">
      <w:pPr>
        <w:rPr>
          <w:lang w:bidi="en-US"/>
        </w:rPr>
      </w:pPr>
    </w:p>
    <w:p w14:paraId="1D088E2E" w14:textId="56C997E9" w:rsidR="00BF09CD" w:rsidRDefault="00BF09CD" w:rsidP="00261698">
      <w:pPr>
        <w:rPr>
          <w:lang w:bidi="en-US"/>
        </w:rPr>
      </w:pPr>
    </w:p>
    <w:tbl>
      <w:tblPr>
        <w:tblStyle w:val="Tabela-Siatka"/>
        <w:tblW w:w="0" w:type="auto"/>
        <w:tblLook w:val="04A0" w:firstRow="1" w:lastRow="0" w:firstColumn="1" w:lastColumn="0" w:noHBand="0" w:noVBand="1"/>
      </w:tblPr>
      <w:tblGrid>
        <w:gridCol w:w="2365"/>
        <w:gridCol w:w="2123"/>
        <w:gridCol w:w="4494"/>
      </w:tblGrid>
      <w:tr w:rsidR="00BF09CD" w14:paraId="0D789644" w14:textId="77777777" w:rsidTr="00577FD8">
        <w:tc>
          <w:tcPr>
            <w:tcW w:w="8982" w:type="dxa"/>
            <w:gridSpan w:val="3"/>
            <w:tcBorders>
              <w:top w:val="single" w:sz="36" w:space="0" w:color="0070C0"/>
              <w:left w:val="single" w:sz="36" w:space="0" w:color="0070C0"/>
              <w:bottom w:val="single" w:sz="36" w:space="0" w:color="0070C0"/>
              <w:right w:val="single" w:sz="36" w:space="0" w:color="0070C0"/>
            </w:tcBorders>
            <w:shd w:val="clear" w:color="auto" w:fill="9EC4E6"/>
            <w:vAlign w:val="center"/>
          </w:tcPr>
          <w:p w14:paraId="1BE724B9" w14:textId="01549822" w:rsidR="00BF09CD" w:rsidRPr="00BF09CD" w:rsidRDefault="007219BF" w:rsidP="00287C14">
            <w:pPr>
              <w:spacing w:before="120" w:line="240" w:lineRule="auto"/>
              <w:jc w:val="center"/>
              <w:rPr>
                <w:b/>
                <w:bCs/>
                <w:lang w:bidi="en-US"/>
              </w:rPr>
            </w:pPr>
            <w:r w:rsidRPr="007219BF">
              <w:rPr>
                <w:b/>
                <w:bCs/>
                <w:lang w:bidi="en-US"/>
              </w:rPr>
              <w:t>Cel strategiczny 3</w:t>
            </w:r>
            <w:r w:rsidR="00287C14">
              <w:rPr>
                <w:b/>
                <w:bCs/>
                <w:lang w:bidi="en-US"/>
              </w:rPr>
              <w:t xml:space="preserve"> -</w:t>
            </w:r>
            <w:r w:rsidRPr="007219BF">
              <w:rPr>
                <w:b/>
                <w:bCs/>
                <w:lang w:bidi="en-US"/>
              </w:rPr>
              <w:t xml:space="preserve"> </w:t>
            </w:r>
            <w:r w:rsidR="0067314B">
              <w:rPr>
                <w:b/>
                <w:bCs/>
                <w:lang w:bidi="en-US"/>
              </w:rPr>
              <w:t>Wzrost atrakcyjności</w:t>
            </w:r>
            <w:r w:rsidRPr="007219BF">
              <w:rPr>
                <w:b/>
                <w:bCs/>
                <w:lang w:bidi="en-US"/>
              </w:rPr>
              <w:t xml:space="preserve"> gospodarczej i turystycznej</w:t>
            </w:r>
          </w:p>
        </w:tc>
      </w:tr>
      <w:tr w:rsidR="00BF09CD" w14:paraId="5D3AE9C9" w14:textId="77777777" w:rsidTr="00577FD8">
        <w:tc>
          <w:tcPr>
            <w:tcW w:w="8982" w:type="dxa"/>
            <w:gridSpan w:val="3"/>
            <w:tcBorders>
              <w:top w:val="single" w:sz="36" w:space="0" w:color="0070C0"/>
              <w:left w:val="nil"/>
              <w:bottom w:val="single" w:sz="12" w:space="0" w:color="E4EEF8"/>
              <w:right w:val="nil"/>
            </w:tcBorders>
          </w:tcPr>
          <w:p w14:paraId="66296600" w14:textId="77777777" w:rsidR="00BF09CD" w:rsidRDefault="00BF09CD" w:rsidP="00AC3BA1">
            <w:pPr>
              <w:rPr>
                <w:lang w:bidi="en-US"/>
              </w:rPr>
            </w:pPr>
          </w:p>
        </w:tc>
      </w:tr>
      <w:tr w:rsidR="00BF09CD" w:rsidRPr="00C37A0C" w14:paraId="2D68E013" w14:textId="77777777" w:rsidTr="00C37A0C">
        <w:tc>
          <w:tcPr>
            <w:tcW w:w="2365" w:type="dxa"/>
            <w:tcBorders>
              <w:top w:val="single" w:sz="12" w:space="0" w:color="E4EEF8"/>
              <w:left w:val="single" w:sz="12" w:space="0" w:color="E4EEF8"/>
              <w:bottom w:val="single" w:sz="12" w:space="0" w:color="E4EEF8"/>
              <w:right w:val="single" w:sz="12" w:space="0" w:color="E4EEF8"/>
            </w:tcBorders>
            <w:shd w:val="clear" w:color="auto" w:fill="9EC4E6"/>
            <w:vAlign w:val="center"/>
          </w:tcPr>
          <w:p w14:paraId="3827B16A" w14:textId="6F3286C2" w:rsidR="00BF09CD" w:rsidRPr="00C37A0C" w:rsidRDefault="00BF09CD" w:rsidP="00C37A0C">
            <w:pPr>
              <w:spacing w:before="80" w:after="80" w:line="240" w:lineRule="auto"/>
              <w:jc w:val="left"/>
              <w:rPr>
                <w:b/>
                <w:bCs/>
                <w:sz w:val="18"/>
                <w:szCs w:val="18"/>
                <w:lang w:bidi="en-US"/>
              </w:rPr>
            </w:pPr>
            <w:r w:rsidRPr="00C37A0C">
              <w:rPr>
                <w:b/>
                <w:bCs/>
                <w:sz w:val="18"/>
                <w:szCs w:val="18"/>
                <w:lang w:bidi="en-US"/>
              </w:rPr>
              <w:t xml:space="preserve">Kierunek działania </w:t>
            </w:r>
            <w:r w:rsidR="007219BF" w:rsidRPr="00C37A0C">
              <w:rPr>
                <w:b/>
                <w:bCs/>
                <w:sz w:val="18"/>
                <w:szCs w:val="18"/>
                <w:lang w:bidi="en-US"/>
              </w:rPr>
              <w:t>3</w:t>
            </w:r>
            <w:r w:rsidRPr="00C37A0C">
              <w:rPr>
                <w:b/>
                <w:bCs/>
                <w:sz w:val="18"/>
                <w:szCs w:val="18"/>
                <w:lang w:bidi="en-US"/>
              </w:rPr>
              <w:t>.1</w:t>
            </w:r>
          </w:p>
        </w:tc>
        <w:tc>
          <w:tcPr>
            <w:tcW w:w="6617" w:type="dxa"/>
            <w:gridSpan w:val="2"/>
            <w:tcBorders>
              <w:top w:val="single" w:sz="12" w:space="0" w:color="E4EEF8"/>
              <w:left w:val="single" w:sz="12" w:space="0" w:color="E4EEF8"/>
              <w:bottom w:val="single" w:sz="12" w:space="0" w:color="E4EEF8"/>
              <w:right w:val="single" w:sz="12" w:space="0" w:color="E4EEF8"/>
            </w:tcBorders>
            <w:shd w:val="clear" w:color="auto" w:fill="9EC4E6"/>
            <w:vAlign w:val="center"/>
          </w:tcPr>
          <w:p w14:paraId="65CE10D6" w14:textId="0690903F" w:rsidR="00BF09CD" w:rsidRPr="00C37A0C" w:rsidRDefault="007219BF" w:rsidP="00C37A0C">
            <w:pPr>
              <w:spacing w:before="80" w:after="80" w:line="240" w:lineRule="auto"/>
              <w:jc w:val="left"/>
              <w:rPr>
                <w:b/>
                <w:bCs/>
                <w:sz w:val="18"/>
                <w:szCs w:val="18"/>
                <w:lang w:bidi="en-US"/>
              </w:rPr>
            </w:pPr>
            <w:r w:rsidRPr="00C37A0C">
              <w:rPr>
                <w:b/>
                <w:bCs/>
                <w:sz w:val="18"/>
                <w:szCs w:val="18"/>
                <w:lang w:bidi="en-US"/>
              </w:rPr>
              <w:t>Rozwój infrastruktury i usług turystycznych</w:t>
            </w:r>
          </w:p>
        </w:tc>
      </w:tr>
      <w:tr w:rsidR="00BF09CD" w:rsidRPr="00C37A0C" w14:paraId="69C0E041" w14:textId="77777777" w:rsidTr="00577FD8">
        <w:tc>
          <w:tcPr>
            <w:tcW w:w="4488" w:type="dxa"/>
            <w:gridSpan w:val="2"/>
            <w:tcBorders>
              <w:top w:val="single" w:sz="12" w:space="0" w:color="E4EEF8"/>
              <w:left w:val="single" w:sz="12" w:space="0" w:color="E4EEF8"/>
              <w:bottom w:val="single" w:sz="12" w:space="0" w:color="E4EEF8"/>
              <w:right w:val="single" w:sz="12" w:space="0" w:color="E4EEF8"/>
            </w:tcBorders>
            <w:vAlign w:val="center"/>
          </w:tcPr>
          <w:p w14:paraId="2B68F5D2" w14:textId="77777777" w:rsidR="00BF09CD" w:rsidRPr="00C37A0C" w:rsidRDefault="00BF09CD" w:rsidP="00C37A0C">
            <w:pPr>
              <w:spacing w:before="80" w:after="80" w:line="240" w:lineRule="auto"/>
              <w:jc w:val="left"/>
              <w:rPr>
                <w:b/>
                <w:bCs/>
                <w:sz w:val="18"/>
                <w:szCs w:val="18"/>
                <w:lang w:bidi="en-US"/>
              </w:rPr>
            </w:pPr>
            <w:r w:rsidRPr="00C37A0C">
              <w:rPr>
                <w:b/>
                <w:bCs/>
                <w:sz w:val="18"/>
                <w:szCs w:val="18"/>
                <w:lang w:bidi="en-US"/>
              </w:rPr>
              <w:t>Planowane rezultaty</w:t>
            </w:r>
          </w:p>
        </w:tc>
        <w:tc>
          <w:tcPr>
            <w:tcW w:w="4494" w:type="dxa"/>
            <w:tcBorders>
              <w:top w:val="single" w:sz="12" w:space="0" w:color="E4EEF8"/>
              <w:left w:val="single" w:sz="12" w:space="0" w:color="E4EEF8"/>
              <w:bottom w:val="single" w:sz="12" w:space="0" w:color="E4EEF8"/>
              <w:right w:val="single" w:sz="12" w:space="0" w:color="E4EEF8"/>
            </w:tcBorders>
            <w:vAlign w:val="center"/>
          </w:tcPr>
          <w:p w14:paraId="74AB469D" w14:textId="21FC7F04" w:rsidR="00BF09CD" w:rsidRPr="00C37A0C" w:rsidRDefault="00BF09CD" w:rsidP="00C37A0C">
            <w:pPr>
              <w:spacing w:before="80" w:after="80" w:line="240" w:lineRule="auto"/>
              <w:jc w:val="left"/>
              <w:rPr>
                <w:b/>
                <w:bCs/>
                <w:sz w:val="18"/>
                <w:szCs w:val="18"/>
                <w:lang w:bidi="en-US"/>
              </w:rPr>
            </w:pPr>
            <w:r w:rsidRPr="00C37A0C">
              <w:rPr>
                <w:b/>
                <w:bCs/>
                <w:sz w:val="18"/>
                <w:szCs w:val="18"/>
                <w:lang w:bidi="en-US"/>
              </w:rPr>
              <w:t>Wskaźniki osiągnięcia/</w:t>
            </w:r>
            <w:r w:rsidRPr="00BD67EA">
              <w:rPr>
                <w:b/>
                <w:bCs/>
                <w:color w:val="0070C0"/>
                <w:sz w:val="18"/>
                <w:szCs w:val="18"/>
                <w:lang w:bidi="en-US"/>
              </w:rPr>
              <w:t>oczekiwany trend</w:t>
            </w:r>
          </w:p>
        </w:tc>
      </w:tr>
      <w:tr w:rsidR="00BF09CD" w14:paraId="769F5EE8" w14:textId="77777777" w:rsidTr="00577FD8">
        <w:tc>
          <w:tcPr>
            <w:tcW w:w="4488" w:type="dxa"/>
            <w:gridSpan w:val="2"/>
            <w:tcBorders>
              <w:top w:val="single" w:sz="12" w:space="0" w:color="E4EEF8"/>
              <w:left w:val="single" w:sz="12" w:space="0" w:color="E4EEF8"/>
              <w:bottom w:val="single" w:sz="12" w:space="0" w:color="E4EEF8"/>
              <w:right w:val="single" w:sz="12" w:space="0" w:color="E4EEF8"/>
            </w:tcBorders>
          </w:tcPr>
          <w:p w14:paraId="0520ED25" w14:textId="77777777" w:rsidR="00BF09CD" w:rsidRPr="00816A84" w:rsidRDefault="00E110CC">
            <w:pPr>
              <w:pStyle w:val="Akapitzlist"/>
              <w:numPr>
                <w:ilvl w:val="0"/>
                <w:numId w:val="22"/>
              </w:numPr>
              <w:spacing w:after="0"/>
              <w:ind w:left="270" w:hanging="270"/>
              <w:jc w:val="left"/>
              <w:rPr>
                <w:sz w:val="18"/>
                <w:szCs w:val="20"/>
                <w:lang w:bidi="en-US"/>
              </w:rPr>
            </w:pPr>
            <w:r w:rsidRPr="00816A84">
              <w:rPr>
                <w:sz w:val="18"/>
                <w:szCs w:val="20"/>
                <w:lang w:bidi="en-US"/>
              </w:rPr>
              <w:t>wzrost atrakcyjności turystycznej</w:t>
            </w:r>
          </w:p>
          <w:p w14:paraId="567DE6BB" w14:textId="77777777" w:rsidR="00E110CC" w:rsidRPr="00816A84" w:rsidRDefault="00E110CC">
            <w:pPr>
              <w:pStyle w:val="Akapitzlist"/>
              <w:numPr>
                <w:ilvl w:val="0"/>
                <w:numId w:val="22"/>
              </w:numPr>
              <w:spacing w:after="0"/>
              <w:ind w:left="270" w:hanging="270"/>
              <w:jc w:val="left"/>
              <w:rPr>
                <w:sz w:val="18"/>
                <w:szCs w:val="20"/>
                <w:lang w:bidi="en-US"/>
              </w:rPr>
            </w:pPr>
            <w:r w:rsidRPr="00816A84">
              <w:rPr>
                <w:sz w:val="18"/>
                <w:szCs w:val="20"/>
                <w:lang w:bidi="en-US"/>
              </w:rPr>
              <w:t xml:space="preserve">rozwój oferty turystycznej w oparciu o </w:t>
            </w:r>
            <w:r w:rsidR="00816A84" w:rsidRPr="00816A84">
              <w:rPr>
                <w:sz w:val="18"/>
                <w:szCs w:val="20"/>
                <w:lang w:bidi="en-US"/>
              </w:rPr>
              <w:t>lokalne zasoby przyrodnicze i kulturowe</w:t>
            </w:r>
          </w:p>
          <w:p w14:paraId="68BBCD7E" w14:textId="28D1D4EE" w:rsidR="00816A84" w:rsidRPr="00816A84" w:rsidRDefault="00816A84">
            <w:pPr>
              <w:pStyle w:val="Akapitzlist"/>
              <w:numPr>
                <w:ilvl w:val="0"/>
                <w:numId w:val="22"/>
              </w:numPr>
              <w:spacing w:after="0"/>
              <w:ind w:left="270" w:hanging="270"/>
              <w:jc w:val="left"/>
              <w:rPr>
                <w:sz w:val="18"/>
                <w:szCs w:val="20"/>
                <w:lang w:bidi="en-US"/>
              </w:rPr>
            </w:pPr>
            <w:r w:rsidRPr="00816A84">
              <w:rPr>
                <w:sz w:val="18"/>
                <w:szCs w:val="20"/>
                <w:lang w:bidi="en-US"/>
              </w:rPr>
              <w:t xml:space="preserve">poprawa </w:t>
            </w:r>
            <w:r w:rsidR="005A5E27">
              <w:rPr>
                <w:sz w:val="18"/>
                <w:szCs w:val="20"/>
                <w:lang w:bidi="en-US"/>
              </w:rPr>
              <w:t>jakości</w:t>
            </w:r>
            <w:r w:rsidRPr="00816A84">
              <w:rPr>
                <w:sz w:val="18"/>
                <w:szCs w:val="20"/>
                <w:lang w:bidi="en-US"/>
              </w:rPr>
              <w:t xml:space="preserve"> świadczonych usług turystycznych</w:t>
            </w:r>
          </w:p>
          <w:p w14:paraId="27681B1F" w14:textId="42C19380" w:rsidR="00816A84" w:rsidRPr="00403DFD" w:rsidRDefault="00816A84">
            <w:pPr>
              <w:pStyle w:val="Akapitzlist"/>
              <w:numPr>
                <w:ilvl w:val="0"/>
                <w:numId w:val="22"/>
              </w:numPr>
              <w:spacing w:after="0"/>
              <w:ind w:left="270" w:hanging="270"/>
              <w:jc w:val="left"/>
              <w:rPr>
                <w:sz w:val="18"/>
                <w:szCs w:val="20"/>
                <w:lang w:bidi="en-US"/>
              </w:rPr>
            </w:pPr>
            <w:r w:rsidRPr="00816A84">
              <w:rPr>
                <w:sz w:val="18"/>
                <w:szCs w:val="20"/>
                <w:lang w:bidi="en-US"/>
              </w:rPr>
              <w:t>zwiększenie rozpoznawalności gminy poprzez efektywną promocję</w:t>
            </w:r>
          </w:p>
        </w:tc>
        <w:tc>
          <w:tcPr>
            <w:tcW w:w="4494" w:type="dxa"/>
            <w:tcBorders>
              <w:top w:val="single" w:sz="12" w:space="0" w:color="E4EEF8"/>
              <w:left w:val="single" w:sz="12" w:space="0" w:color="E4EEF8"/>
              <w:bottom w:val="single" w:sz="12" w:space="0" w:color="E4EEF8"/>
              <w:right w:val="single" w:sz="12" w:space="0" w:color="E4EEF8"/>
            </w:tcBorders>
          </w:tcPr>
          <w:p w14:paraId="587B210C" w14:textId="0FDF0153" w:rsidR="00C03928" w:rsidRPr="005A5E27" w:rsidRDefault="00C03928">
            <w:pPr>
              <w:pStyle w:val="Akapitzlist"/>
              <w:numPr>
                <w:ilvl w:val="0"/>
                <w:numId w:val="22"/>
              </w:numPr>
              <w:spacing w:after="0"/>
              <w:ind w:left="318" w:hanging="284"/>
              <w:jc w:val="left"/>
              <w:rPr>
                <w:sz w:val="18"/>
                <w:szCs w:val="20"/>
                <w:lang w:bidi="en-US"/>
              </w:rPr>
            </w:pPr>
            <w:r w:rsidRPr="00C03928">
              <w:rPr>
                <w:sz w:val="18"/>
                <w:szCs w:val="20"/>
                <w:lang w:bidi="en-US"/>
              </w:rPr>
              <w:t>liczba obiektów kulturalnych i turystycznych objętych wsparciem</w:t>
            </w:r>
            <w:r w:rsidR="00785160">
              <w:rPr>
                <w:sz w:val="18"/>
                <w:szCs w:val="20"/>
                <w:lang w:bidi="en-US"/>
              </w:rPr>
              <w:t xml:space="preserve"> </w:t>
            </w:r>
            <w:r w:rsidR="00785160" w:rsidRPr="00785160">
              <w:rPr>
                <w:color w:val="0070C0"/>
                <w:szCs w:val="20"/>
                <w:lang w:bidi="en-US"/>
              </w:rPr>
              <w:sym w:font="Wingdings" w:char="F0EC"/>
            </w:r>
          </w:p>
          <w:p w14:paraId="1AE82B75" w14:textId="37B83EC0" w:rsidR="00FC71C5" w:rsidRDefault="00C03928">
            <w:pPr>
              <w:pStyle w:val="Akapitzlist"/>
              <w:numPr>
                <w:ilvl w:val="0"/>
                <w:numId w:val="22"/>
              </w:numPr>
              <w:spacing w:after="0"/>
              <w:ind w:left="318" w:hanging="284"/>
              <w:jc w:val="left"/>
              <w:rPr>
                <w:sz w:val="18"/>
                <w:szCs w:val="20"/>
                <w:lang w:bidi="en-US"/>
              </w:rPr>
            </w:pPr>
            <w:r w:rsidRPr="00C03928">
              <w:rPr>
                <w:sz w:val="18"/>
                <w:szCs w:val="20"/>
              </w:rPr>
              <w:t xml:space="preserve">długość utworzonych szlaków </w:t>
            </w:r>
          </w:p>
          <w:p w14:paraId="06AFBE40" w14:textId="31228A82" w:rsidR="00C03928" w:rsidRPr="00C03928" w:rsidRDefault="00C03928">
            <w:pPr>
              <w:pStyle w:val="Akapitzlist"/>
              <w:numPr>
                <w:ilvl w:val="0"/>
                <w:numId w:val="22"/>
              </w:numPr>
              <w:spacing w:after="0"/>
              <w:ind w:left="318" w:hanging="284"/>
              <w:jc w:val="left"/>
              <w:rPr>
                <w:sz w:val="18"/>
                <w:szCs w:val="20"/>
                <w:lang w:bidi="en-US"/>
              </w:rPr>
            </w:pPr>
            <w:r w:rsidRPr="00C03928">
              <w:rPr>
                <w:sz w:val="18"/>
                <w:szCs w:val="20"/>
              </w:rPr>
              <w:t>turystycznych</w:t>
            </w:r>
            <w:r w:rsidR="00785160">
              <w:rPr>
                <w:sz w:val="18"/>
                <w:szCs w:val="20"/>
              </w:rPr>
              <w:t xml:space="preserve"> </w:t>
            </w:r>
            <w:r w:rsidR="00785160" w:rsidRPr="00785160">
              <w:rPr>
                <w:color w:val="0070C0"/>
                <w:szCs w:val="20"/>
                <w:lang w:bidi="en-US"/>
              </w:rPr>
              <w:sym w:font="Wingdings" w:char="F0EC"/>
            </w:r>
          </w:p>
          <w:p w14:paraId="5AC3D26E" w14:textId="4D0AB1BC" w:rsidR="00C03928" w:rsidRPr="00C03928" w:rsidRDefault="00C03928">
            <w:pPr>
              <w:pStyle w:val="Akapitzlist"/>
              <w:numPr>
                <w:ilvl w:val="0"/>
                <w:numId w:val="22"/>
              </w:numPr>
              <w:spacing w:after="0"/>
              <w:ind w:left="318" w:hanging="284"/>
              <w:jc w:val="left"/>
              <w:rPr>
                <w:sz w:val="18"/>
                <w:szCs w:val="20"/>
                <w:lang w:bidi="en-US"/>
              </w:rPr>
            </w:pPr>
            <w:r w:rsidRPr="00C03928">
              <w:rPr>
                <w:sz w:val="18"/>
                <w:szCs w:val="20"/>
              </w:rPr>
              <w:t>liczba przebudowanych obiektów turystycznych i rekreacyjnych</w:t>
            </w:r>
            <w:r w:rsidR="00785160">
              <w:rPr>
                <w:sz w:val="18"/>
                <w:szCs w:val="20"/>
              </w:rPr>
              <w:t xml:space="preserve"> </w:t>
            </w:r>
            <w:r w:rsidR="00785160" w:rsidRPr="00785160">
              <w:rPr>
                <w:color w:val="0070C0"/>
                <w:szCs w:val="20"/>
                <w:lang w:bidi="en-US"/>
              </w:rPr>
              <w:sym w:font="Wingdings" w:char="F0EC"/>
            </w:r>
          </w:p>
          <w:p w14:paraId="5FE53140" w14:textId="01651217" w:rsidR="00BF09CD" w:rsidRDefault="00C03928">
            <w:pPr>
              <w:pStyle w:val="Akapitzlist"/>
              <w:numPr>
                <w:ilvl w:val="0"/>
                <w:numId w:val="22"/>
              </w:numPr>
              <w:spacing w:after="0"/>
              <w:ind w:left="318" w:hanging="284"/>
              <w:jc w:val="left"/>
              <w:rPr>
                <w:lang w:bidi="en-US"/>
              </w:rPr>
            </w:pPr>
            <w:r w:rsidRPr="00C03928">
              <w:rPr>
                <w:sz w:val="18"/>
                <w:szCs w:val="20"/>
              </w:rPr>
              <w:t>liczba osób odwiedzających obiekty kulturalne i turystyczne objęte wsparciem</w:t>
            </w:r>
            <w:r w:rsidR="00785160">
              <w:rPr>
                <w:sz w:val="18"/>
                <w:szCs w:val="20"/>
              </w:rPr>
              <w:t xml:space="preserve"> </w:t>
            </w:r>
            <w:r w:rsidR="00785160" w:rsidRPr="00785160">
              <w:rPr>
                <w:color w:val="0070C0"/>
                <w:szCs w:val="20"/>
                <w:lang w:bidi="en-US"/>
              </w:rPr>
              <w:sym w:font="Wingdings" w:char="F0EC"/>
            </w:r>
          </w:p>
        </w:tc>
      </w:tr>
      <w:tr w:rsidR="00BF09CD" w14:paraId="7C55740A" w14:textId="77777777" w:rsidTr="00577FD8">
        <w:tc>
          <w:tcPr>
            <w:tcW w:w="8982" w:type="dxa"/>
            <w:gridSpan w:val="3"/>
            <w:tcBorders>
              <w:top w:val="single" w:sz="12" w:space="0" w:color="E4EEF8"/>
              <w:left w:val="nil"/>
              <w:bottom w:val="single" w:sz="12" w:space="0" w:color="E4EEF8"/>
              <w:right w:val="nil"/>
            </w:tcBorders>
            <w:vAlign w:val="center"/>
          </w:tcPr>
          <w:p w14:paraId="5B08D162" w14:textId="43EDF2A3" w:rsidR="00BF09CD" w:rsidRDefault="00BF09CD" w:rsidP="00AC3BA1">
            <w:pPr>
              <w:spacing w:after="0"/>
              <w:jc w:val="left"/>
              <w:rPr>
                <w:lang w:bidi="en-US"/>
              </w:rPr>
            </w:pPr>
          </w:p>
        </w:tc>
      </w:tr>
      <w:tr w:rsidR="00BF09CD" w:rsidRPr="00C37A0C" w14:paraId="09FF8D23" w14:textId="77777777" w:rsidTr="00C37A0C">
        <w:tc>
          <w:tcPr>
            <w:tcW w:w="2365" w:type="dxa"/>
            <w:tcBorders>
              <w:top w:val="single" w:sz="12" w:space="0" w:color="E4EEF8"/>
              <w:left w:val="single" w:sz="12" w:space="0" w:color="E4EEF8"/>
              <w:bottom w:val="single" w:sz="12" w:space="0" w:color="E4EEF8"/>
              <w:right w:val="single" w:sz="12" w:space="0" w:color="E4EEF8"/>
            </w:tcBorders>
            <w:shd w:val="clear" w:color="auto" w:fill="9EC4E6"/>
            <w:vAlign w:val="center"/>
          </w:tcPr>
          <w:p w14:paraId="7551A2DC" w14:textId="2F2EC4F2" w:rsidR="00BF09CD" w:rsidRPr="00C37A0C" w:rsidRDefault="00BF09CD" w:rsidP="00C37A0C">
            <w:pPr>
              <w:spacing w:before="80" w:after="80" w:line="240" w:lineRule="auto"/>
              <w:jc w:val="left"/>
              <w:rPr>
                <w:b/>
                <w:bCs/>
                <w:sz w:val="18"/>
                <w:szCs w:val="18"/>
                <w:lang w:bidi="en-US"/>
              </w:rPr>
            </w:pPr>
            <w:r w:rsidRPr="00C37A0C">
              <w:rPr>
                <w:b/>
                <w:bCs/>
                <w:sz w:val="18"/>
                <w:szCs w:val="18"/>
                <w:lang w:bidi="en-US"/>
              </w:rPr>
              <w:t xml:space="preserve">Kierunek działania </w:t>
            </w:r>
            <w:r w:rsidR="007219BF" w:rsidRPr="00C37A0C">
              <w:rPr>
                <w:b/>
                <w:bCs/>
                <w:sz w:val="18"/>
                <w:szCs w:val="18"/>
                <w:lang w:bidi="en-US"/>
              </w:rPr>
              <w:t>3</w:t>
            </w:r>
            <w:r w:rsidRPr="00C37A0C">
              <w:rPr>
                <w:b/>
                <w:bCs/>
                <w:sz w:val="18"/>
                <w:szCs w:val="18"/>
                <w:lang w:bidi="en-US"/>
              </w:rPr>
              <w:t>.2</w:t>
            </w:r>
          </w:p>
        </w:tc>
        <w:tc>
          <w:tcPr>
            <w:tcW w:w="6617" w:type="dxa"/>
            <w:gridSpan w:val="2"/>
            <w:tcBorders>
              <w:top w:val="single" w:sz="12" w:space="0" w:color="E4EEF8"/>
              <w:left w:val="single" w:sz="12" w:space="0" w:color="E4EEF8"/>
              <w:bottom w:val="single" w:sz="12" w:space="0" w:color="E4EEF8"/>
              <w:right w:val="single" w:sz="12" w:space="0" w:color="E4EEF8"/>
            </w:tcBorders>
            <w:shd w:val="clear" w:color="auto" w:fill="9EC4E6"/>
            <w:vAlign w:val="center"/>
          </w:tcPr>
          <w:p w14:paraId="57E1BC3E" w14:textId="360B13A3" w:rsidR="00BF09CD" w:rsidRPr="00C37A0C" w:rsidRDefault="007219BF" w:rsidP="00C37A0C">
            <w:pPr>
              <w:spacing w:before="80" w:after="80" w:line="240" w:lineRule="auto"/>
              <w:jc w:val="left"/>
              <w:rPr>
                <w:b/>
                <w:bCs/>
                <w:sz w:val="18"/>
                <w:szCs w:val="18"/>
                <w:lang w:bidi="en-US"/>
              </w:rPr>
            </w:pPr>
            <w:r w:rsidRPr="00C37A0C">
              <w:rPr>
                <w:b/>
                <w:bCs/>
                <w:sz w:val="18"/>
                <w:szCs w:val="18"/>
                <w:lang w:bidi="en-US"/>
              </w:rPr>
              <w:t>Rozwój marki terytorialnej oraz promocja atrakcyjności inwestycyjnej</w:t>
            </w:r>
          </w:p>
        </w:tc>
      </w:tr>
      <w:tr w:rsidR="00BF09CD" w:rsidRPr="00C37A0C" w14:paraId="03126348" w14:textId="77777777" w:rsidTr="00577FD8">
        <w:tc>
          <w:tcPr>
            <w:tcW w:w="4488" w:type="dxa"/>
            <w:gridSpan w:val="2"/>
            <w:tcBorders>
              <w:top w:val="single" w:sz="12" w:space="0" w:color="E4EEF8"/>
              <w:left w:val="single" w:sz="12" w:space="0" w:color="E4EEF8"/>
              <w:bottom w:val="single" w:sz="12" w:space="0" w:color="E4EEF8"/>
              <w:right w:val="single" w:sz="12" w:space="0" w:color="E4EEF8"/>
            </w:tcBorders>
            <w:vAlign w:val="center"/>
          </w:tcPr>
          <w:p w14:paraId="2BD63FCC" w14:textId="77777777" w:rsidR="00BF09CD" w:rsidRPr="00C37A0C" w:rsidRDefault="00BF09CD" w:rsidP="00C37A0C">
            <w:pPr>
              <w:spacing w:before="80" w:after="80" w:line="240" w:lineRule="auto"/>
              <w:jc w:val="left"/>
              <w:rPr>
                <w:b/>
                <w:bCs/>
                <w:sz w:val="18"/>
                <w:szCs w:val="18"/>
                <w:lang w:bidi="en-US"/>
              </w:rPr>
            </w:pPr>
            <w:r w:rsidRPr="00C37A0C">
              <w:rPr>
                <w:b/>
                <w:bCs/>
                <w:sz w:val="18"/>
                <w:szCs w:val="18"/>
                <w:lang w:bidi="en-US"/>
              </w:rPr>
              <w:t>Planowane rezultaty</w:t>
            </w:r>
          </w:p>
        </w:tc>
        <w:tc>
          <w:tcPr>
            <w:tcW w:w="4494" w:type="dxa"/>
            <w:tcBorders>
              <w:top w:val="single" w:sz="12" w:space="0" w:color="E4EEF8"/>
              <w:left w:val="single" w:sz="12" w:space="0" w:color="E4EEF8"/>
              <w:bottom w:val="single" w:sz="12" w:space="0" w:color="E4EEF8"/>
              <w:right w:val="single" w:sz="12" w:space="0" w:color="E4EEF8"/>
            </w:tcBorders>
            <w:vAlign w:val="center"/>
          </w:tcPr>
          <w:p w14:paraId="555A44E8" w14:textId="77777777" w:rsidR="00BF09CD" w:rsidRPr="00C37A0C" w:rsidRDefault="00BF09CD" w:rsidP="00C37A0C">
            <w:pPr>
              <w:spacing w:before="80" w:after="80" w:line="240" w:lineRule="auto"/>
              <w:jc w:val="left"/>
              <w:rPr>
                <w:b/>
                <w:bCs/>
                <w:sz w:val="18"/>
                <w:szCs w:val="18"/>
                <w:lang w:bidi="en-US"/>
              </w:rPr>
            </w:pPr>
            <w:r w:rsidRPr="00C37A0C">
              <w:rPr>
                <w:b/>
                <w:bCs/>
                <w:sz w:val="18"/>
                <w:szCs w:val="18"/>
                <w:lang w:bidi="en-US"/>
              </w:rPr>
              <w:t>Wskaźniki osiągnięcia/</w:t>
            </w:r>
            <w:r w:rsidRPr="00BD67EA">
              <w:rPr>
                <w:b/>
                <w:bCs/>
                <w:color w:val="0070C0"/>
                <w:sz w:val="18"/>
                <w:szCs w:val="18"/>
                <w:lang w:bidi="en-US"/>
              </w:rPr>
              <w:t>oczekiwany trend</w:t>
            </w:r>
          </w:p>
        </w:tc>
      </w:tr>
      <w:tr w:rsidR="00C03928" w14:paraId="4C81E3B7" w14:textId="77777777" w:rsidTr="00577FD8">
        <w:tc>
          <w:tcPr>
            <w:tcW w:w="4488" w:type="dxa"/>
            <w:gridSpan w:val="2"/>
            <w:tcBorders>
              <w:top w:val="single" w:sz="12" w:space="0" w:color="E4EEF8"/>
              <w:left w:val="single" w:sz="12" w:space="0" w:color="E4EEF8"/>
              <w:bottom w:val="single" w:sz="12" w:space="0" w:color="E4EEF8"/>
              <w:right w:val="single" w:sz="12" w:space="0" w:color="E4EEF8"/>
            </w:tcBorders>
          </w:tcPr>
          <w:p w14:paraId="2D04B52C" w14:textId="77777777" w:rsidR="00C03928" w:rsidRPr="00785160" w:rsidRDefault="00C03928">
            <w:pPr>
              <w:pStyle w:val="Akapitzlist"/>
              <w:numPr>
                <w:ilvl w:val="0"/>
                <w:numId w:val="21"/>
              </w:numPr>
              <w:spacing w:after="0"/>
              <w:ind w:left="270" w:hanging="270"/>
              <w:jc w:val="left"/>
              <w:rPr>
                <w:sz w:val="18"/>
                <w:szCs w:val="20"/>
                <w:lang w:bidi="en-US"/>
              </w:rPr>
            </w:pPr>
            <w:r w:rsidRPr="00785160">
              <w:rPr>
                <w:sz w:val="18"/>
                <w:szCs w:val="20"/>
                <w:lang w:bidi="en-US"/>
              </w:rPr>
              <w:t>promocja lokalnej przedsiębiorczości</w:t>
            </w:r>
          </w:p>
          <w:p w14:paraId="7C5E415B" w14:textId="77777777" w:rsidR="00C03928" w:rsidRPr="00785160" w:rsidRDefault="00C03928">
            <w:pPr>
              <w:pStyle w:val="Akapitzlist"/>
              <w:numPr>
                <w:ilvl w:val="0"/>
                <w:numId w:val="21"/>
              </w:numPr>
              <w:spacing w:after="0"/>
              <w:ind w:left="270" w:hanging="270"/>
              <w:jc w:val="left"/>
              <w:rPr>
                <w:sz w:val="18"/>
                <w:szCs w:val="18"/>
                <w:lang w:bidi="en-US"/>
              </w:rPr>
            </w:pPr>
            <w:r w:rsidRPr="00785160">
              <w:rPr>
                <w:sz w:val="18"/>
                <w:szCs w:val="20"/>
                <w:lang w:bidi="en-US"/>
              </w:rPr>
              <w:t xml:space="preserve">rozwój </w:t>
            </w:r>
            <w:r w:rsidRPr="00785160">
              <w:rPr>
                <w:sz w:val="18"/>
                <w:szCs w:val="18"/>
                <w:lang w:bidi="en-US"/>
              </w:rPr>
              <w:t>i profesjonalizacja bazy ofert inwestycyjnych</w:t>
            </w:r>
          </w:p>
          <w:p w14:paraId="73778351" w14:textId="60F864DB" w:rsidR="00C03928" w:rsidRDefault="00C03928">
            <w:pPr>
              <w:pStyle w:val="Akapitzlist"/>
              <w:numPr>
                <w:ilvl w:val="0"/>
                <w:numId w:val="21"/>
              </w:numPr>
              <w:spacing w:after="0"/>
              <w:ind w:left="270" w:hanging="270"/>
              <w:jc w:val="left"/>
              <w:rPr>
                <w:lang w:bidi="en-US"/>
              </w:rPr>
            </w:pPr>
            <w:r w:rsidRPr="00785160">
              <w:rPr>
                <w:sz w:val="18"/>
                <w:szCs w:val="18"/>
                <w:lang w:bidi="en-US"/>
              </w:rPr>
              <w:t xml:space="preserve">wzrost liczby inwestorów prowadzących działalność na terenie </w:t>
            </w:r>
            <w:r w:rsidR="0056337A" w:rsidRPr="00785160">
              <w:rPr>
                <w:sz w:val="18"/>
                <w:szCs w:val="18"/>
                <w:lang w:bidi="en-US"/>
              </w:rPr>
              <w:t>g</w:t>
            </w:r>
            <w:r w:rsidRPr="00785160">
              <w:rPr>
                <w:sz w:val="18"/>
                <w:szCs w:val="18"/>
                <w:lang w:bidi="en-US"/>
              </w:rPr>
              <w:t>miny Opole Lubelskie</w:t>
            </w:r>
          </w:p>
        </w:tc>
        <w:tc>
          <w:tcPr>
            <w:tcW w:w="4494" w:type="dxa"/>
            <w:tcBorders>
              <w:top w:val="single" w:sz="12" w:space="0" w:color="E4EEF8"/>
              <w:left w:val="single" w:sz="12" w:space="0" w:color="E4EEF8"/>
              <w:bottom w:val="single" w:sz="12" w:space="0" w:color="E4EEF8"/>
              <w:right w:val="single" w:sz="12" w:space="0" w:color="E4EEF8"/>
            </w:tcBorders>
          </w:tcPr>
          <w:p w14:paraId="1B31A889" w14:textId="230E22C3" w:rsidR="00C03928" w:rsidRPr="00785160" w:rsidRDefault="00C03928">
            <w:pPr>
              <w:pStyle w:val="Akapitzlist"/>
              <w:numPr>
                <w:ilvl w:val="0"/>
                <w:numId w:val="21"/>
              </w:numPr>
              <w:spacing w:after="0"/>
              <w:ind w:left="318" w:hanging="284"/>
              <w:jc w:val="left"/>
              <w:rPr>
                <w:sz w:val="18"/>
                <w:szCs w:val="20"/>
                <w:lang w:bidi="en-US"/>
              </w:rPr>
            </w:pPr>
            <w:r w:rsidRPr="00785160">
              <w:rPr>
                <w:sz w:val="18"/>
                <w:szCs w:val="20"/>
              </w:rPr>
              <w:t xml:space="preserve">liczba </w:t>
            </w:r>
            <w:r w:rsidR="00785160" w:rsidRPr="00785160">
              <w:rPr>
                <w:sz w:val="18"/>
                <w:szCs w:val="20"/>
              </w:rPr>
              <w:t xml:space="preserve">przedsiębiorców, którzy uzyskali wsparcie </w:t>
            </w:r>
            <w:r w:rsidR="00785160" w:rsidRPr="00785160">
              <w:rPr>
                <w:color w:val="0070C0"/>
                <w:lang w:bidi="en-US"/>
              </w:rPr>
              <w:sym w:font="Wingdings" w:char="F0EC"/>
            </w:r>
          </w:p>
          <w:p w14:paraId="3BB86737" w14:textId="769793C1" w:rsidR="00C03928" w:rsidRPr="00785160" w:rsidRDefault="00C03928">
            <w:pPr>
              <w:pStyle w:val="Akapitzlist"/>
              <w:numPr>
                <w:ilvl w:val="0"/>
                <w:numId w:val="21"/>
              </w:numPr>
              <w:spacing w:after="0"/>
              <w:ind w:left="318" w:hanging="284"/>
              <w:jc w:val="left"/>
              <w:rPr>
                <w:sz w:val="18"/>
                <w:szCs w:val="20"/>
                <w:lang w:bidi="en-US"/>
              </w:rPr>
            </w:pPr>
            <w:r w:rsidRPr="00785160">
              <w:rPr>
                <w:sz w:val="18"/>
                <w:szCs w:val="20"/>
                <w:lang w:bidi="en-US"/>
              </w:rPr>
              <w:t>wartość inwestycji prywatnych uzupełniających wsparcie publiczne – instrumenty finansowe</w:t>
            </w:r>
            <w:r w:rsidR="00785160" w:rsidRPr="00785160">
              <w:rPr>
                <w:sz w:val="18"/>
                <w:szCs w:val="20"/>
                <w:lang w:bidi="en-US"/>
              </w:rPr>
              <w:t xml:space="preserve"> </w:t>
            </w:r>
            <w:r w:rsidR="00785160" w:rsidRPr="00785160">
              <w:rPr>
                <w:color w:val="0070C0"/>
                <w:lang w:bidi="en-US"/>
              </w:rPr>
              <w:sym w:font="Wingdings" w:char="F0EC"/>
            </w:r>
          </w:p>
          <w:p w14:paraId="4AF5A32D" w14:textId="62AEAA23" w:rsidR="00C03928" w:rsidRPr="00785160" w:rsidRDefault="00C03928">
            <w:pPr>
              <w:pStyle w:val="Akapitzlist"/>
              <w:numPr>
                <w:ilvl w:val="0"/>
                <w:numId w:val="21"/>
              </w:numPr>
              <w:spacing w:after="0"/>
              <w:ind w:left="318" w:hanging="284"/>
              <w:jc w:val="left"/>
              <w:rPr>
                <w:sz w:val="18"/>
                <w:szCs w:val="20"/>
                <w:lang w:bidi="en-US"/>
              </w:rPr>
            </w:pPr>
            <w:r w:rsidRPr="00785160">
              <w:rPr>
                <w:sz w:val="18"/>
                <w:szCs w:val="20"/>
              </w:rPr>
              <w:t xml:space="preserve">liczba wprowadzonych innowacji </w:t>
            </w:r>
            <w:r w:rsidR="0056337A" w:rsidRPr="00785160">
              <w:rPr>
                <w:sz w:val="18"/>
                <w:szCs w:val="20"/>
              </w:rPr>
              <w:t xml:space="preserve">promocyjnych i </w:t>
            </w:r>
            <w:r w:rsidRPr="00785160">
              <w:rPr>
                <w:sz w:val="18"/>
                <w:szCs w:val="20"/>
              </w:rPr>
              <w:t>marketingowych</w:t>
            </w:r>
            <w:r w:rsidR="00785160" w:rsidRPr="00785160">
              <w:rPr>
                <w:sz w:val="18"/>
                <w:szCs w:val="20"/>
              </w:rPr>
              <w:t xml:space="preserve"> </w:t>
            </w:r>
            <w:r w:rsidR="00785160" w:rsidRPr="00785160">
              <w:rPr>
                <w:color w:val="0070C0"/>
                <w:lang w:bidi="en-US"/>
              </w:rPr>
              <w:sym w:font="Wingdings" w:char="F0EC"/>
            </w:r>
          </w:p>
        </w:tc>
      </w:tr>
      <w:tr w:rsidR="00C03928" w14:paraId="49E3FF9A" w14:textId="77777777" w:rsidTr="00577FD8">
        <w:tc>
          <w:tcPr>
            <w:tcW w:w="8982" w:type="dxa"/>
            <w:gridSpan w:val="3"/>
            <w:tcBorders>
              <w:top w:val="single" w:sz="12" w:space="0" w:color="E4EEF8"/>
              <w:left w:val="nil"/>
              <w:bottom w:val="single" w:sz="4" w:space="0" w:color="FFFFFF" w:themeColor="background1"/>
              <w:right w:val="nil"/>
            </w:tcBorders>
            <w:vAlign w:val="center"/>
          </w:tcPr>
          <w:p w14:paraId="2E09D2AD" w14:textId="77777777" w:rsidR="00DB5677" w:rsidRDefault="00DB5677" w:rsidP="00C03928">
            <w:pPr>
              <w:spacing w:after="0"/>
              <w:jc w:val="left"/>
              <w:rPr>
                <w:lang w:bidi="en-US"/>
              </w:rPr>
            </w:pPr>
          </w:p>
        </w:tc>
      </w:tr>
      <w:tr w:rsidR="00C03928" w:rsidRPr="00C37A0C" w14:paraId="05C3A0D0" w14:textId="77777777" w:rsidTr="00C37A0C">
        <w:tc>
          <w:tcPr>
            <w:tcW w:w="2365" w:type="dxa"/>
            <w:tcBorders>
              <w:top w:val="single" w:sz="4" w:space="0" w:color="FFFFFF" w:themeColor="background1"/>
              <w:left w:val="single" w:sz="12" w:space="0" w:color="E4EEF8"/>
              <w:bottom w:val="single" w:sz="12" w:space="0" w:color="E4EEF8"/>
              <w:right w:val="single" w:sz="12" w:space="0" w:color="E4EEF8"/>
            </w:tcBorders>
            <w:shd w:val="clear" w:color="auto" w:fill="9EC4E6"/>
            <w:vAlign w:val="center"/>
          </w:tcPr>
          <w:p w14:paraId="4AD19F18" w14:textId="138798A0" w:rsidR="00C03928" w:rsidRPr="00C37A0C" w:rsidRDefault="00C03928" w:rsidP="00C37A0C">
            <w:pPr>
              <w:spacing w:before="80" w:after="80" w:line="240" w:lineRule="auto"/>
              <w:jc w:val="left"/>
              <w:rPr>
                <w:b/>
                <w:bCs/>
                <w:sz w:val="18"/>
                <w:szCs w:val="18"/>
                <w:lang w:bidi="en-US"/>
              </w:rPr>
            </w:pPr>
            <w:r w:rsidRPr="00C37A0C">
              <w:rPr>
                <w:b/>
                <w:bCs/>
                <w:sz w:val="18"/>
                <w:szCs w:val="18"/>
                <w:lang w:bidi="en-US"/>
              </w:rPr>
              <w:t>Kierunek działania 3.3</w:t>
            </w:r>
          </w:p>
        </w:tc>
        <w:tc>
          <w:tcPr>
            <w:tcW w:w="6617" w:type="dxa"/>
            <w:gridSpan w:val="2"/>
            <w:tcBorders>
              <w:top w:val="single" w:sz="4" w:space="0" w:color="FFFFFF" w:themeColor="background1"/>
              <w:left w:val="single" w:sz="12" w:space="0" w:color="E4EEF8"/>
              <w:bottom w:val="single" w:sz="12" w:space="0" w:color="E4EEF8"/>
              <w:right w:val="single" w:sz="12" w:space="0" w:color="E4EEF8"/>
            </w:tcBorders>
            <w:shd w:val="clear" w:color="auto" w:fill="9EC4E6"/>
            <w:vAlign w:val="center"/>
          </w:tcPr>
          <w:p w14:paraId="66D147FD" w14:textId="4BB2B5D3" w:rsidR="00C03928" w:rsidRPr="00C37A0C" w:rsidRDefault="00C03928" w:rsidP="00C37A0C">
            <w:pPr>
              <w:spacing w:before="80" w:after="80" w:line="240" w:lineRule="auto"/>
              <w:jc w:val="left"/>
              <w:rPr>
                <w:b/>
                <w:bCs/>
                <w:sz w:val="18"/>
                <w:szCs w:val="18"/>
                <w:lang w:bidi="en-US"/>
              </w:rPr>
            </w:pPr>
            <w:r w:rsidRPr="00C37A0C">
              <w:rPr>
                <w:b/>
                <w:bCs/>
                <w:sz w:val="18"/>
                <w:szCs w:val="18"/>
                <w:lang w:bidi="en-US"/>
              </w:rPr>
              <w:t>Wsparcie dla rozwoju przedsiębiorczości i lokalnej gospodarki</w:t>
            </w:r>
          </w:p>
        </w:tc>
      </w:tr>
      <w:tr w:rsidR="00C03928" w:rsidRPr="00C37A0C" w14:paraId="7D9C8637" w14:textId="77777777" w:rsidTr="00577FD8">
        <w:tc>
          <w:tcPr>
            <w:tcW w:w="4488" w:type="dxa"/>
            <w:gridSpan w:val="2"/>
            <w:tcBorders>
              <w:top w:val="single" w:sz="12" w:space="0" w:color="E4EEF8"/>
              <w:left w:val="single" w:sz="12" w:space="0" w:color="E4EEF8"/>
              <w:bottom w:val="single" w:sz="12" w:space="0" w:color="E4EEF8"/>
              <w:right w:val="single" w:sz="12" w:space="0" w:color="E4EEF8"/>
            </w:tcBorders>
            <w:vAlign w:val="center"/>
          </w:tcPr>
          <w:p w14:paraId="3CFCEE41" w14:textId="77777777" w:rsidR="00C03928" w:rsidRPr="00C37A0C" w:rsidRDefault="00C03928" w:rsidP="00C37A0C">
            <w:pPr>
              <w:spacing w:before="80" w:after="80" w:line="240" w:lineRule="auto"/>
              <w:jc w:val="left"/>
              <w:rPr>
                <w:b/>
                <w:bCs/>
                <w:sz w:val="18"/>
                <w:szCs w:val="18"/>
                <w:lang w:bidi="en-US"/>
              </w:rPr>
            </w:pPr>
            <w:r w:rsidRPr="00C37A0C">
              <w:rPr>
                <w:b/>
                <w:bCs/>
                <w:sz w:val="18"/>
                <w:szCs w:val="18"/>
                <w:lang w:bidi="en-US"/>
              </w:rPr>
              <w:t>Planowane rezultaty</w:t>
            </w:r>
          </w:p>
        </w:tc>
        <w:tc>
          <w:tcPr>
            <w:tcW w:w="4494" w:type="dxa"/>
            <w:tcBorders>
              <w:top w:val="single" w:sz="12" w:space="0" w:color="E4EEF8"/>
              <w:left w:val="single" w:sz="12" w:space="0" w:color="E4EEF8"/>
              <w:bottom w:val="single" w:sz="12" w:space="0" w:color="E4EEF8"/>
              <w:right w:val="single" w:sz="12" w:space="0" w:color="E4EEF8"/>
            </w:tcBorders>
            <w:vAlign w:val="center"/>
          </w:tcPr>
          <w:p w14:paraId="4E4D1146" w14:textId="77777777" w:rsidR="00C03928" w:rsidRPr="00C37A0C" w:rsidRDefault="00C03928" w:rsidP="00C37A0C">
            <w:pPr>
              <w:spacing w:before="80" w:after="80" w:line="240" w:lineRule="auto"/>
              <w:jc w:val="left"/>
              <w:rPr>
                <w:b/>
                <w:bCs/>
                <w:sz w:val="18"/>
                <w:szCs w:val="18"/>
                <w:lang w:bidi="en-US"/>
              </w:rPr>
            </w:pPr>
            <w:r w:rsidRPr="00C37A0C">
              <w:rPr>
                <w:b/>
                <w:bCs/>
                <w:sz w:val="18"/>
                <w:szCs w:val="18"/>
                <w:lang w:bidi="en-US"/>
              </w:rPr>
              <w:t>Wskaźniki osiągnięcia/</w:t>
            </w:r>
            <w:r w:rsidRPr="00BD67EA">
              <w:rPr>
                <w:b/>
                <w:bCs/>
                <w:color w:val="0070C0"/>
                <w:sz w:val="18"/>
                <w:szCs w:val="18"/>
                <w:lang w:bidi="en-US"/>
              </w:rPr>
              <w:t>oczekiwany trend</w:t>
            </w:r>
          </w:p>
        </w:tc>
      </w:tr>
      <w:tr w:rsidR="00C03928" w14:paraId="2830DE4C" w14:textId="77777777" w:rsidTr="00577FD8">
        <w:tc>
          <w:tcPr>
            <w:tcW w:w="4488" w:type="dxa"/>
            <w:gridSpan w:val="2"/>
            <w:tcBorders>
              <w:top w:val="single" w:sz="12" w:space="0" w:color="E4EEF8"/>
              <w:left w:val="single" w:sz="12" w:space="0" w:color="E4EEF8"/>
              <w:bottom w:val="single" w:sz="12" w:space="0" w:color="E4EEF8"/>
              <w:right w:val="single" w:sz="12" w:space="0" w:color="E4EEF8"/>
            </w:tcBorders>
          </w:tcPr>
          <w:p w14:paraId="64D0A45C" w14:textId="77777777" w:rsidR="00C03928" w:rsidRPr="00785160" w:rsidRDefault="00C03928">
            <w:pPr>
              <w:pStyle w:val="Akapitzlist"/>
              <w:numPr>
                <w:ilvl w:val="0"/>
                <w:numId w:val="20"/>
              </w:numPr>
              <w:spacing w:after="0"/>
              <w:ind w:left="270" w:hanging="270"/>
              <w:jc w:val="left"/>
              <w:rPr>
                <w:sz w:val="18"/>
                <w:szCs w:val="20"/>
                <w:lang w:bidi="en-US"/>
              </w:rPr>
            </w:pPr>
            <w:r w:rsidRPr="00785160">
              <w:rPr>
                <w:sz w:val="18"/>
                <w:szCs w:val="20"/>
                <w:lang w:bidi="en-US"/>
              </w:rPr>
              <w:t>zwiększenie dostępności ofert inwestycyjnych</w:t>
            </w:r>
          </w:p>
          <w:p w14:paraId="3072AADA" w14:textId="77777777" w:rsidR="00C03928" w:rsidRPr="00785160" w:rsidRDefault="00C03928">
            <w:pPr>
              <w:pStyle w:val="Akapitzlist"/>
              <w:numPr>
                <w:ilvl w:val="0"/>
                <w:numId w:val="20"/>
              </w:numPr>
              <w:spacing w:after="0"/>
              <w:ind w:left="270" w:hanging="270"/>
              <w:jc w:val="left"/>
              <w:rPr>
                <w:sz w:val="18"/>
                <w:szCs w:val="20"/>
                <w:lang w:bidi="en-US"/>
              </w:rPr>
            </w:pPr>
            <w:r w:rsidRPr="00785160">
              <w:rPr>
                <w:sz w:val="18"/>
                <w:szCs w:val="20"/>
                <w:lang w:bidi="en-US"/>
              </w:rPr>
              <w:t>podniesienie jakości usług lokalnych przedsiębiorców i inwestorów zewnętrznych</w:t>
            </w:r>
          </w:p>
          <w:p w14:paraId="78D5D95F" w14:textId="4CF0EF1B" w:rsidR="00C03928" w:rsidRPr="00785160" w:rsidRDefault="00C03928">
            <w:pPr>
              <w:pStyle w:val="Akapitzlist"/>
              <w:numPr>
                <w:ilvl w:val="0"/>
                <w:numId w:val="20"/>
              </w:numPr>
              <w:spacing w:after="0"/>
              <w:ind w:left="270" w:hanging="270"/>
              <w:jc w:val="left"/>
              <w:rPr>
                <w:sz w:val="18"/>
                <w:szCs w:val="20"/>
                <w:lang w:bidi="en-US"/>
              </w:rPr>
            </w:pPr>
            <w:r w:rsidRPr="00785160">
              <w:rPr>
                <w:sz w:val="18"/>
                <w:szCs w:val="20"/>
                <w:lang w:bidi="en-US"/>
              </w:rPr>
              <w:t>poprawa dostępności terenów inwestycyjnych</w:t>
            </w:r>
          </w:p>
        </w:tc>
        <w:tc>
          <w:tcPr>
            <w:tcW w:w="4494" w:type="dxa"/>
            <w:tcBorders>
              <w:top w:val="single" w:sz="12" w:space="0" w:color="E4EEF8"/>
              <w:left w:val="single" w:sz="12" w:space="0" w:color="E4EEF8"/>
              <w:bottom w:val="single" w:sz="12" w:space="0" w:color="E4EEF8"/>
              <w:right w:val="single" w:sz="12" w:space="0" w:color="E4EEF8"/>
            </w:tcBorders>
          </w:tcPr>
          <w:p w14:paraId="4D13CDAC" w14:textId="3B95301F" w:rsidR="0056337A" w:rsidRDefault="0056337A">
            <w:pPr>
              <w:pStyle w:val="Akapitzlist"/>
              <w:numPr>
                <w:ilvl w:val="0"/>
                <w:numId w:val="20"/>
              </w:numPr>
              <w:spacing w:after="0"/>
              <w:ind w:left="318" w:hanging="284"/>
              <w:jc w:val="left"/>
              <w:rPr>
                <w:sz w:val="18"/>
                <w:szCs w:val="20"/>
                <w:lang w:bidi="en-US"/>
              </w:rPr>
            </w:pPr>
            <w:r w:rsidRPr="00C03928">
              <w:rPr>
                <w:sz w:val="18"/>
                <w:szCs w:val="20"/>
              </w:rPr>
              <w:t xml:space="preserve">liczba inwestycji zlokalizowanych na przygotowanych terenach </w:t>
            </w:r>
          </w:p>
          <w:p w14:paraId="143C851E" w14:textId="6959B82C" w:rsidR="0056337A" w:rsidRPr="0056337A" w:rsidRDefault="0056337A">
            <w:pPr>
              <w:pStyle w:val="Akapitzlist"/>
              <w:numPr>
                <w:ilvl w:val="0"/>
                <w:numId w:val="20"/>
              </w:numPr>
              <w:spacing w:after="0"/>
              <w:ind w:left="318" w:hanging="284"/>
              <w:jc w:val="left"/>
              <w:rPr>
                <w:sz w:val="18"/>
                <w:szCs w:val="20"/>
                <w:lang w:bidi="en-US"/>
              </w:rPr>
            </w:pPr>
            <w:r w:rsidRPr="00C03928">
              <w:rPr>
                <w:sz w:val="18"/>
                <w:szCs w:val="20"/>
              </w:rPr>
              <w:t>inwestycyjnych</w:t>
            </w:r>
            <w:r w:rsidR="00785160">
              <w:rPr>
                <w:sz w:val="18"/>
                <w:szCs w:val="20"/>
              </w:rPr>
              <w:t xml:space="preserve"> </w:t>
            </w:r>
            <w:r w:rsidR="00785160" w:rsidRPr="00785160">
              <w:rPr>
                <w:color w:val="0070C0"/>
                <w:szCs w:val="20"/>
                <w:lang w:bidi="en-US"/>
              </w:rPr>
              <w:sym w:font="Wingdings" w:char="F0EC"/>
            </w:r>
          </w:p>
          <w:p w14:paraId="0DCFC02E" w14:textId="07B08A88" w:rsidR="00C03928" w:rsidRPr="00AD43BD" w:rsidRDefault="00C03928">
            <w:pPr>
              <w:pStyle w:val="Akapitzlist"/>
              <w:numPr>
                <w:ilvl w:val="0"/>
                <w:numId w:val="20"/>
              </w:numPr>
              <w:spacing w:after="0"/>
              <w:ind w:left="318" w:hanging="284"/>
              <w:jc w:val="left"/>
              <w:rPr>
                <w:sz w:val="18"/>
                <w:szCs w:val="20"/>
                <w:lang w:bidi="en-US"/>
              </w:rPr>
            </w:pPr>
            <w:r w:rsidRPr="00AD43BD">
              <w:rPr>
                <w:sz w:val="18"/>
                <w:szCs w:val="20"/>
                <w:lang w:bidi="en-US"/>
              </w:rPr>
              <w:t>powierzchnia przygotowanych terenów inwestycyjnych</w:t>
            </w:r>
            <w:r w:rsidR="00785160">
              <w:rPr>
                <w:sz w:val="18"/>
                <w:szCs w:val="20"/>
                <w:lang w:bidi="en-US"/>
              </w:rPr>
              <w:t xml:space="preserve"> </w:t>
            </w:r>
            <w:r w:rsidR="00785160" w:rsidRPr="00785160">
              <w:rPr>
                <w:color w:val="0070C0"/>
                <w:szCs w:val="20"/>
                <w:lang w:bidi="en-US"/>
              </w:rPr>
              <w:sym w:font="Wingdings" w:char="F0EC"/>
            </w:r>
          </w:p>
          <w:p w14:paraId="3F011935" w14:textId="323C69B5" w:rsidR="00C03928" w:rsidRDefault="00C03928">
            <w:pPr>
              <w:pStyle w:val="Akapitzlist"/>
              <w:numPr>
                <w:ilvl w:val="0"/>
                <w:numId w:val="20"/>
              </w:numPr>
              <w:spacing w:after="0"/>
              <w:ind w:left="318" w:hanging="284"/>
              <w:jc w:val="left"/>
              <w:rPr>
                <w:lang w:bidi="en-US"/>
              </w:rPr>
            </w:pPr>
            <w:r w:rsidRPr="00AD43BD">
              <w:rPr>
                <w:sz w:val="18"/>
                <w:szCs w:val="20"/>
              </w:rPr>
              <w:t>przychody ze sprzedaży nowych lub udoskonalonych produktów/usług</w:t>
            </w:r>
            <w:r w:rsidR="00785160">
              <w:rPr>
                <w:sz w:val="18"/>
                <w:szCs w:val="20"/>
              </w:rPr>
              <w:t xml:space="preserve"> </w:t>
            </w:r>
            <w:r w:rsidR="00785160" w:rsidRPr="00785160">
              <w:rPr>
                <w:color w:val="0070C0"/>
                <w:szCs w:val="20"/>
                <w:lang w:bidi="en-US"/>
              </w:rPr>
              <w:sym w:font="Wingdings" w:char="F0EC"/>
            </w:r>
          </w:p>
        </w:tc>
      </w:tr>
      <w:tr w:rsidR="00C03928" w14:paraId="4CF44A57" w14:textId="77777777" w:rsidTr="00577FD8">
        <w:tc>
          <w:tcPr>
            <w:tcW w:w="8982" w:type="dxa"/>
            <w:gridSpan w:val="3"/>
            <w:tcBorders>
              <w:top w:val="single" w:sz="12" w:space="0" w:color="E4EEF8"/>
              <w:left w:val="nil"/>
              <w:bottom w:val="single" w:sz="12" w:space="0" w:color="E4EEF8"/>
              <w:right w:val="nil"/>
            </w:tcBorders>
            <w:vAlign w:val="center"/>
          </w:tcPr>
          <w:p w14:paraId="75CCCD7E" w14:textId="77777777" w:rsidR="00C03928" w:rsidRDefault="00C03928" w:rsidP="00C03928">
            <w:pPr>
              <w:spacing w:after="0"/>
              <w:jc w:val="left"/>
              <w:rPr>
                <w:lang w:bidi="en-US"/>
              </w:rPr>
            </w:pPr>
          </w:p>
        </w:tc>
      </w:tr>
      <w:tr w:rsidR="00C03928" w:rsidRPr="00C37A0C" w14:paraId="042D2F5D" w14:textId="77777777" w:rsidTr="00C37A0C">
        <w:tc>
          <w:tcPr>
            <w:tcW w:w="2365" w:type="dxa"/>
            <w:tcBorders>
              <w:top w:val="single" w:sz="12" w:space="0" w:color="E4EEF8"/>
              <w:left w:val="single" w:sz="12" w:space="0" w:color="E4EEF8"/>
              <w:bottom w:val="single" w:sz="12" w:space="0" w:color="E4EEF8"/>
              <w:right w:val="single" w:sz="12" w:space="0" w:color="E4EEF8"/>
            </w:tcBorders>
            <w:shd w:val="clear" w:color="auto" w:fill="9EC4E6"/>
            <w:vAlign w:val="center"/>
          </w:tcPr>
          <w:p w14:paraId="52D4D747" w14:textId="449916AC" w:rsidR="00C03928" w:rsidRPr="00C37A0C" w:rsidRDefault="00C03928" w:rsidP="00C37A0C">
            <w:pPr>
              <w:spacing w:before="80" w:after="80" w:line="240" w:lineRule="auto"/>
              <w:jc w:val="left"/>
              <w:rPr>
                <w:b/>
                <w:bCs/>
                <w:sz w:val="18"/>
                <w:szCs w:val="18"/>
                <w:lang w:bidi="en-US"/>
              </w:rPr>
            </w:pPr>
            <w:bookmarkStart w:id="193" w:name="_Hlk156909657"/>
            <w:r w:rsidRPr="00C37A0C">
              <w:rPr>
                <w:b/>
                <w:bCs/>
                <w:sz w:val="18"/>
                <w:szCs w:val="18"/>
                <w:lang w:bidi="en-US"/>
              </w:rPr>
              <w:t>Kierunek działania 3.4</w:t>
            </w:r>
          </w:p>
        </w:tc>
        <w:tc>
          <w:tcPr>
            <w:tcW w:w="6617" w:type="dxa"/>
            <w:gridSpan w:val="2"/>
            <w:tcBorders>
              <w:top w:val="single" w:sz="12" w:space="0" w:color="E4EEF8"/>
              <w:left w:val="single" w:sz="12" w:space="0" w:color="E4EEF8"/>
              <w:bottom w:val="single" w:sz="12" w:space="0" w:color="E4EEF8"/>
              <w:right w:val="single" w:sz="12" w:space="0" w:color="E4EEF8"/>
            </w:tcBorders>
            <w:shd w:val="clear" w:color="auto" w:fill="9EC4E6"/>
            <w:vAlign w:val="center"/>
          </w:tcPr>
          <w:p w14:paraId="4A53994E" w14:textId="60A24399" w:rsidR="00C03928" w:rsidRPr="00C37A0C" w:rsidRDefault="00C03928" w:rsidP="00C37A0C">
            <w:pPr>
              <w:spacing w:before="80" w:after="80" w:line="240" w:lineRule="auto"/>
              <w:jc w:val="left"/>
              <w:rPr>
                <w:b/>
                <w:bCs/>
                <w:sz w:val="18"/>
                <w:szCs w:val="18"/>
                <w:lang w:bidi="en-US"/>
              </w:rPr>
            </w:pPr>
            <w:r w:rsidRPr="00C37A0C">
              <w:rPr>
                <w:b/>
                <w:bCs/>
                <w:sz w:val="18"/>
                <w:szCs w:val="18"/>
                <w:lang w:bidi="en-US"/>
              </w:rPr>
              <w:t>Poprawa dostępności komunikacyjnej</w:t>
            </w:r>
          </w:p>
        </w:tc>
      </w:tr>
      <w:tr w:rsidR="00C03928" w:rsidRPr="00C37A0C" w14:paraId="41E4AB47" w14:textId="77777777" w:rsidTr="007D0A8A">
        <w:tc>
          <w:tcPr>
            <w:tcW w:w="4488" w:type="dxa"/>
            <w:gridSpan w:val="2"/>
            <w:tcBorders>
              <w:top w:val="single" w:sz="12" w:space="0" w:color="E4EEF8"/>
              <w:left w:val="single" w:sz="12" w:space="0" w:color="E4EEF8"/>
              <w:bottom w:val="single" w:sz="12" w:space="0" w:color="E4EEF8"/>
              <w:right w:val="single" w:sz="12" w:space="0" w:color="E4EEF8"/>
            </w:tcBorders>
            <w:vAlign w:val="center"/>
          </w:tcPr>
          <w:p w14:paraId="547EB716" w14:textId="77777777" w:rsidR="00C03928" w:rsidRPr="00C37A0C" w:rsidRDefault="00C03928" w:rsidP="00C37A0C">
            <w:pPr>
              <w:spacing w:before="80" w:after="80" w:line="240" w:lineRule="auto"/>
              <w:jc w:val="left"/>
              <w:rPr>
                <w:b/>
                <w:bCs/>
                <w:sz w:val="18"/>
                <w:szCs w:val="18"/>
                <w:lang w:bidi="en-US"/>
              </w:rPr>
            </w:pPr>
            <w:r w:rsidRPr="00C37A0C">
              <w:rPr>
                <w:b/>
                <w:bCs/>
                <w:sz w:val="18"/>
                <w:szCs w:val="18"/>
                <w:lang w:bidi="en-US"/>
              </w:rPr>
              <w:t>Planowane rezultaty</w:t>
            </w:r>
          </w:p>
        </w:tc>
        <w:tc>
          <w:tcPr>
            <w:tcW w:w="4494" w:type="dxa"/>
            <w:tcBorders>
              <w:top w:val="single" w:sz="12" w:space="0" w:color="E4EEF8"/>
              <w:left w:val="single" w:sz="12" w:space="0" w:color="E4EEF8"/>
              <w:bottom w:val="single" w:sz="12" w:space="0" w:color="E4EEF8"/>
              <w:right w:val="single" w:sz="12" w:space="0" w:color="E4EEF8"/>
            </w:tcBorders>
            <w:vAlign w:val="center"/>
          </w:tcPr>
          <w:p w14:paraId="1C429897" w14:textId="3212DB2E" w:rsidR="00C03928" w:rsidRPr="00C37A0C" w:rsidRDefault="00C03928" w:rsidP="00C37A0C">
            <w:pPr>
              <w:spacing w:before="80" w:after="80" w:line="240" w:lineRule="auto"/>
              <w:jc w:val="left"/>
              <w:rPr>
                <w:b/>
                <w:bCs/>
                <w:sz w:val="18"/>
                <w:szCs w:val="18"/>
                <w:lang w:bidi="en-US"/>
              </w:rPr>
            </w:pPr>
            <w:r w:rsidRPr="00C37A0C">
              <w:rPr>
                <w:b/>
                <w:bCs/>
                <w:sz w:val="18"/>
                <w:szCs w:val="18"/>
                <w:lang w:bidi="en-US"/>
              </w:rPr>
              <w:t>Wskaźniki osiągnięcia/</w:t>
            </w:r>
            <w:r w:rsidRPr="00BD67EA">
              <w:rPr>
                <w:b/>
                <w:bCs/>
                <w:color w:val="0070C0"/>
                <w:sz w:val="18"/>
                <w:szCs w:val="18"/>
                <w:lang w:bidi="en-US"/>
              </w:rPr>
              <w:t>oczekiwany trend</w:t>
            </w:r>
          </w:p>
        </w:tc>
      </w:tr>
      <w:tr w:rsidR="00C03928" w14:paraId="2572C528" w14:textId="77777777" w:rsidTr="007D0A8A">
        <w:tc>
          <w:tcPr>
            <w:tcW w:w="4488" w:type="dxa"/>
            <w:gridSpan w:val="2"/>
            <w:tcBorders>
              <w:top w:val="single" w:sz="12" w:space="0" w:color="E4EEF8"/>
              <w:left w:val="single" w:sz="12" w:space="0" w:color="E4EEF8"/>
              <w:bottom w:val="single" w:sz="12" w:space="0" w:color="E4EEF8"/>
              <w:right w:val="single" w:sz="12" w:space="0" w:color="E4EEF8"/>
            </w:tcBorders>
          </w:tcPr>
          <w:p w14:paraId="7102CBEA" w14:textId="77777777" w:rsidR="00785160" w:rsidRDefault="00C03928">
            <w:pPr>
              <w:pStyle w:val="Akapitzlist"/>
              <w:numPr>
                <w:ilvl w:val="0"/>
                <w:numId w:val="19"/>
              </w:numPr>
              <w:spacing w:after="0"/>
              <w:ind w:left="270" w:hanging="270"/>
              <w:jc w:val="left"/>
              <w:rPr>
                <w:sz w:val="18"/>
                <w:szCs w:val="20"/>
                <w:lang w:bidi="en-US"/>
              </w:rPr>
            </w:pPr>
            <w:r w:rsidRPr="00785160">
              <w:rPr>
                <w:sz w:val="18"/>
                <w:szCs w:val="20"/>
                <w:lang w:bidi="en-US"/>
              </w:rPr>
              <w:t xml:space="preserve">poprawa wewnętrznej i zewnętrznej </w:t>
            </w:r>
            <w:r w:rsidR="00577FD8" w:rsidRPr="00785160">
              <w:rPr>
                <w:sz w:val="18"/>
                <w:szCs w:val="20"/>
                <w:lang w:bidi="en-US"/>
              </w:rPr>
              <w:t>dostępności</w:t>
            </w:r>
            <w:r w:rsidRPr="00785160">
              <w:rPr>
                <w:sz w:val="18"/>
                <w:szCs w:val="20"/>
                <w:lang w:bidi="en-US"/>
              </w:rPr>
              <w:t xml:space="preserve"> komunikacyjnej gminy</w:t>
            </w:r>
          </w:p>
          <w:p w14:paraId="53CB2638" w14:textId="77777777" w:rsidR="00785160" w:rsidRDefault="00C03928">
            <w:pPr>
              <w:pStyle w:val="Akapitzlist"/>
              <w:numPr>
                <w:ilvl w:val="0"/>
                <w:numId w:val="19"/>
              </w:numPr>
              <w:spacing w:after="0"/>
              <w:ind w:left="270" w:hanging="270"/>
              <w:jc w:val="left"/>
              <w:rPr>
                <w:sz w:val="18"/>
                <w:szCs w:val="20"/>
                <w:lang w:bidi="en-US"/>
              </w:rPr>
            </w:pPr>
            <w:r w:rsidRPr="00785160">
              <w:rPr>
                <w:sz w:val="18"/>
                <w:szCs w:val="20"/>
                <w:lang w:bidi="en-US"/>
              </w:rPr>
              <w:t>poprawa jakości dróg, podniesienie parametrów technicznych oraz poprawa bezpieczeństwa na drogach</w:t>
            </w:r>
          </w:p>
          <w:p w14:paraId="7C8B9523" w14:textId="59F2D466" w:rsidR="00C03928" w:rsidRPr="00785160" w:rsidRDefault="00C03928">
            <w:pPr>
              <w:pStyle w:val="Akapitzlist"/>
              <w:numPr>
                <w:ilvl w:val="0"/>
                <w:numId w:val="19"/>
              </w:numPr>
              <w:spacing w:after="0"/>
              <w:ind w:left="270" w:hanging="270"/>
              <w:jc w:val="left"/>
              <w:rPr>
                <w:sz w:val="18"/>
                <w:szCs w:val="20"/>
                <w:lang w:bidi="en-US"/>
              </w:rPr>
            </w:pPr>
            <w:r w:rsidRPr="00785160">
              <w:rPr>
                <w:sz w:val="18"/>
                <w:szCs w:val="20"/>
                <w:lang w:bidi="en-US"/>
              </w:rPr>
              <w:lastRenderedPageBreak/>
              <w:t xml:space="preserve">zwiększenie mobilności </w:t>
            </w:r>
            <w:r w:rsidR="00577FD8" w:rsidRPr="00785160">
              <w:rPr>
                <w:sz w:val="18"/>
                <w:szCs w:val="20"/>
                <w:lang w:bidi="en-US"/>
              </w:rPr>
              <w:t xml:space="preserve">mieszkańców </w:t>
            </w:r>
            <w:r w:rsidRPr="00785160">
              <w:rPr>
                <w:sz w:val="18"/>
                <w:szCs w:val="20"/>
                <w:lang w:bidi="en-US"/>
              </w:rPr>
              <w:t xml:space="preserve">i </w:t>
            </w:r>
            <w:r w:rsidR="00577FD8" w:rsidRPr="00785160">
              <w:rPr>
                <w:sz w:val="18"/>
                <w:szCs w:val="20"/>
                <w:lang w:bidi="en-US"/>
              </w:rPr>
              <w:t>stopnia</w:t>
            </w:r>
            <w:r w:rsidRPr="00785160">
              <w:rPr>
                <w:sz w:val="18"/>
                <w:szCs w:val="20"/>
                <w:lang w:bidi="en-US"/>
              </w:rPr>
              <w:t xml:space="preserve"> </w:t>
            </w:r>
            <w:r w:rsidR="00577FD8" w:rsidRPr="00785160">
              <w:rPr>
                <w:sz w:val="18"/>
                <w:szCs w:val="20"/>
                <w:lang w:bidi="en-US"/>
              </w:rPr>
              <w:t>skomunikowania</w:t>
            </w:r>
            <w:r w:rsidRPr="00785160">
              <w:rPr>
                <w:sz w:val="18"/>
                <w:szCs w:val="20"/>
                <w:lang w:bidi="en-US"/>
              </w:rPr>
              <w:t xml:space="preserve"> gminy</w:t>
            </w:r>
          </w:p>
        </w:tc>
        <w:tc>
          <w:tcPr>
            <w:tcW w:w="4494" w:type="dxa"/>
            <w:tcBorders>
              <w:top w:val="single" w:sz="12" w:space="0" w:color="E4EEF8"/>
              <w:left w:val="single" w:sz="12" w:space="0" w:color="E4EEF8"/>
              <w:bottom w:val="single" w:sz="12" w:space="0" w:color="E4EEF8"/>
              <w:right w:val="single" w:sz="12" w:space="0" w:color="E4EEF8"/>
            </w:tcBorders>
          </w:tcPr>
          <w:p w14:paraId="25E17F74" w14:textId="4A0AA03C" w:rsidR="00C03928" w:rsidRPr="00785160" w:rsidRDefault="00785160">
            <w:pPr>
              <w:pStyle w:val="Akapitzlist"/>
              <w:numPr>
                <w:ilvl w:val="0"/>
                <w:numId w:val="19"/>
              </w:numPr>
              <w:spacing w:after="0"/>
              <w:ind w:left="318" w:hanging="284"/>
              <w:jc w:val="left"/>
              <w:rPr>
                <w:sz w:val="18"/>
                <w:szCs w:val="20"/>
                <w:lang w:bidi="en-US"/>
              </w:rPr>
            </w:pPr>
            <w:r>
              <w:rPr>
                <w:sz w:val="18"/>
                <w:szCs w:val="20"/>
                <w:lang w:bidi="en-US"/>
              </w:rPr>
              <w:lastRenderedPageBreak/>
              <w:t>d</w:t>
            </w:r>
            <w:r w:rsidR="00C03928" w:rsidRPr="00785160">
              <w:rPr>
                <w:sz w:val="18"/>
                <w:szCs w:val="20"/>
                <w:lang w:bidi="en-US"/>
              </w:rPr>
              <w:t>ługość zmodernizowanych lub przebudowanych dróg gminnych</w:t>
            </w:r>
            <w:r w:rsidRPr="00785160">
              <w:rPr>
                <w:sz w:val="18"/>
                <w:szCs w:val="20"/>
                <w:lang w:bidi="en-US"/>
              </w:rPr>
              <w:t xml:space="preserve"> </w:t>
            </w:r>
            <w:r w:rsidRPr="00785160">
              <w:rPr>
                <w:color w:val="0070C0"/>
                <w:lang w:bidi="en-US"/>
              </w:rPr>
              <w:sym w:font="Wingdings" w:char="F0EC"/>
            </w:r>
          </w:p>
          <w:p w14:paraId="11E55176" w14:textId="08BE2DAD" w:rsidR="00C03928" w:rsidRPr="00785160" w:rsidRDefault="00785160">
            <w:pPr>
              <w:pStyle w:val="Akapitzlist"/>
              <w:numPr>
                <w:ilvl w:val="0"/>
                <w:numId w:val="19"/>
              </w:numPr>
              <w:spacing w:after="0"/>
              <w:ind w:left="318" w:hanging="284"/>
              <w:jc w:val="left"/>
              <w:rPr>
                <w:sz w:val="18"/>
                <w:szCs w:val="18"/>
                <w:lang w:bidi="en-US"/>
              </w:rPr>
            </w:pPr>
            <w:r>
              <w:rPr>
                <w:sz w:val="18"/>
                <w:szCs w:val="18"/>
                <w:lang w:bidi="en-US"/>
              </w:rPr>
              <w:t>d</w:t>
            </w:r>
            <w:r w:rsidR="00577FD8" w:rsidRPr="00785160">
              <w:rPr>
                <w:sz w:val="18"/>
                <w:szCs w:val="18"/>
                <w:lang w:bidi="en-US"/>
              </w:rPr>
              <w:t xml:space="preserve">ługość zmodernizowanych lub przebudowanych połączeń kolejowych </w:t>
            </w:r>
            <w:r w:rsidRPr="00785160">
              <w:rPr>
                <w:color w:val="0070C0"/>
                <w:szCs w:val="20"/>
                <w:lang w:bidi="en-US"/>
              </w:rPr>
              <w:sym w:font="Wingdings" w:char="F0EC"/>
            </w:r>
          </w:p>
        </w:tc>
      </w:tr>
      <w:tr w:rsidR="007D0A8A" w14:paraId="26478417" w14:textId="77777777" w:rsidTr="007D0A8A">
        <w:tc>
          <w:tcPr>
            <w:tcW w:w="8982" w:type="dxa"/>
            <w:gridSpan w:val="3"/>
            <w:tcBorders>
              <w:top w:val="single" w:sz="12" w:space="0" w:color="E4EEF8"/>
              <w:left w:val="nil"/>
              <w:bottom w:val="single" w:sz="12" w:space="0" w:color="E4EEF8"/>
              <w:right w:val="nil"/>
            </w:tcBorders>
          </w:tcPr>
          <w:p w14:paraId="44EBD497" w14:textId="77777777" w:rsidR="007D0A8A" w:rsidRDefault="007D0A8A" w:rsidP="007D0A8A">
            <w:pPr>
              <w:pStyle w:val="Akapitzlist"/>
              <w:spacing w:after="0"/>
              <w:ind w:left="318"/>
              <w:jc w:val="left"/>
              <w:rPr>
                <w:sz w:val="18"/>
                <w:szCs w:val="20"/>
                <w:lang w:bidi="en-US"/>
              </w:rPr>
            </w:pPr>
          </w:p>
        </w:tc>
      </w:tr>
      <w:bookmarkEnd w:id="193"/>
      <w:tr w:rsidR="00577FD8" w:rsidRPr="00C37A0C" w14:paraId="6315D048" w14:textId="77777777" w:rsidTr="007D0A8A">
        <w:tc>
          <w:tcPr>
            <w:tcW w:w="2365" w:type="dxa"/>
            <w:tcBorders>
              <w:top w:val="single" w:sz="12" w:space="0" w:color="E4EEF8"/>
              <w:left w:val="single" w:sz="12" w:space="0" w:color="E4EEF8"/>
              <w:bottom w:val="single" w:sz="12" w:space="0" w:color="E4EEF8"/>
              <w:right w:val="single" w:sz="12" w:space="0" w:color="E4EEF8"/>
            </w:tcBorders>
            <w:shd w:val="clear" w:color="auto" w:fill="9EC4E6"/>
            <w:vAlign w:val="center"/>
          </w:tcPr>
          <w:p w14:paraId="2E7D1B9E" w14:textId="573F0AEC" w:rsidR="00577FD8" w:rsidRPr="00C37A0C" w:rsidRDefault="00577FD8" w:rsidP="00C37A0C">
            <w:pPr>
              <w:spacing w:before="80" w:after="80" w:line="240" w:lineRule="auto"/>
              <w:jc w:val="left"/>
              <w:rPr>
                <w:b/>
                <w:bCs/>
                <w:sz w:val="18"/>
                <w:szCs w:val="18"/>
                <w:lang w:bidi="en-US"/>
              </w:rPr>
            </w:pPr>
            <w:r w:rsidRPr="00C37A0C">
              <w:rPr>
                <w:b/>
                <w:bCs/>
                <w:sz w:val="18"/>
                <w:szCs w:val="18"/>
                <w:lang w:bidi="en-US"/>
              </w:rPr>
              <w:t>Kierunek działania 3.5</w:t>
            </w:r>
          </w:p>
        </w:tc>
        <w:tc>
          <w:tcPr>
            <w:tcW w:w="6617" w:type="dxa"/>
            <w:gridSpan w:val="2"/>
            <w:tcBorders>
              <w:top w:val="single" w:sz="12" w:space="0" w:color="E4EEF8"/>
              <w:left w:val="single" w:sz="12" w:space="0" w:color="E4EEF8"/>
              <w:bottom w:val="single" w:sz="12" w:space="0" w:color="E4EEF8"/>
              <w:right w:val="single" w:sz="12" w:space="0" w:color="E4EEF8"/>
            </w:tcBorders>
            <w:shd w:val="clear" w:color="auto" w:fill="9EC4E6"/>
            <w:vAlign w:val="center"/>
          </w:tcPr>
          <w:p w14:paraId="109945C2" w14:textId="1950290C" w:rsidR="00577FD8" w:rsidRPr="00C37A0C" w:rsidRDefault="00577FD8" w:rsidP="00C37A0C">
            <w:pPr>
              <w:spacing w:before="80" w:after="80" w:line="240" w:lineRule="auto"/>
              <w:jc w:val="left"/>
              <w:rPr>
                <w:b/>
                <w:bCs/>
                <w:sz w:val="18"/>
                <w:szCs w:val="18"/>
                <w:lang w:bidi="en-US"/>
              </w:rPr>
            </w:pPr>
            <w:r w:rsidRPr="00C37A0C">
              <w:rPr>
                <w:b/>
                <w:bCs/>
                <w:sz w:val="18"/>
                <w:szCs w:val="18"/>
                <w:lang w:bidi="en-US"/>
              </w:rPr>
              <w:t>Rozwój elektronicznych usług publicznych i technologii cyfrowych</w:t>
            </w:r>
          </w:p>
        </w:tc>
      </w:tr>
      <w:tr w:rsidR="00577FD8" w:rsidRPr="00C37A0C" w14:paraId="4B1D2C52" w14:textId="77777777" w:rsidTr="00577FD8">
        <w:tc>
          <w:tcPr>
            <w:tcW w:w="4488" w:type="dxa"/>
            <w:gridSpan w:val="2"/>
            <w:tcBorders>
              <w:top w:val="single" w:sz="12" w:space="0" w:color="E4EEF8"/>
              <w:left w:val="single" w:sz="12" w:space="0" w:color="E4EEF8"/>
              <w:bottom w:val="single" w:sz="12" w:space="0" w:color="E4EEF8"/>
              <w:right w:val="single" w:sz="12" w:space="0" w:color="E4EEF8"/>
            </w:tcBorders>
            <w:vAlign w:val="center"/>
          </w:tcPr>
          <w:p w14:paraId="56E44BD2" w14:textId="77777777" w:rsidR="00577FD8" w:rsidRPr="00C37A0C" w:rsidRDefault="00577FD8" w:rsidP="00C37A0C">
            <w:pPr>
              <w:spacing w:before="80" w:after="80" w:line="240" w:lineRule="auto"/>
              <w:jc w:val="left"/>
              <w:rPr>
                <w:b/>
                <w:bCs/>
                <w:sz w:val="18"/>
                <w:szCs w:val="18"/>
                <w:lang w:bidi="en-US"/>
              </w:rPr>
            </w:pPr>
            <w:r w:rsidRPr="00C37A0C">
              <w:rPr>
                <w:b/>
                <w:bCs/>
                <w:sz w:val="18"/>
                <w:szCs w:val="18"/>
                <w:lang w:bidi="en-US"/>
              </w:rPr>
              <w:t>Planowane rezultaty</w:t>
            </w:r>
          </w:p>
        </w:tc>
        <w:tc>
          <w:tcPr>
            <w:tcW w:w="4494" w:type="dxa"/>
            <w:tcBorders>
              <w:top w:val="single" w:sz="12" w:space="0" w:color="E4EEF8"/>
              <w:left w:val="single" w:sz="12" w:space="0" w:color="E4EEF8"/>
              <w:bottom w:val="single" w:sz="12" w:space="0" w:color="E4EEF8"/>
              <w:right w:val="single" w:sz="12" w:space="0" w:color="E4EEF8"/>
            </w:tcBorders>
            <w:vAlign w:val="center"/>
          </w:tcPr>
          <w:p w14:paraId="0F3DA630" w14:textId="77777777" w:rsidR="00577FD8" w:rsidRPr="00C37A0C" w:rsidRDefault="00577FD8" w:rsidP="00C37A0C">
            <w:pPr>
              <w:spacing w:before="80" w:after="80" w:line="240" w:lineRule="auto"/>
              <w:jc w:val="left"/>
              <w:rPr>
                <w:b/>
                <w:bCs/>
                <w:sz w:val="18"/>
                <w:szCs w:val="18"/>
                <w:lang w:bidi="en-US"/>
              </w:rPr>
            </w:pPr>
            <w:r w:rsidRPr="00C37A0C">
              <w:rPr>
                <w:b/>
                <w:bCs/>
                <w:sz w:val="18"/>
                <w:szCs w:val="18"/>
                <w:lang w:bidi="en-US"/>
              </w:rPr>
              <w:t>Wskaźniki osiągnięcia/</w:t>
            </w:r>
            <w:r w:rsidRPr="00BD67EA">
              <w:rPr>
                <w:b/>
                <w:bCs/>
                <w:color w:val="0070C0"/>
                <w:sz w:val="18"/>
                <w:szCs w:val="18"/>
                <w:lang w:bidi="en-US"/>
              </w:rPr>
              <w:t>oczekiwany trend</w:t>
            </w:r>
          </w:p>
        </w:tc>
      </w:tr>
      <w:tr w:rsidR="00577FD8" w14:paraId="577B1381" w14:textId="77777777" w:rsidTr="00785160">
        <w:tc>
          <w:tcPr>
            <w:tcW w:w="4488" w:type="dxa"/>
            <w:gridSpan w:val="2"/>
            <w:tcBorders>
              <w:top w:val="single" w:sz="12" w:space="0" w:color="E4EEF8"/>
              <w:left w:val="single" w:sz="12" w:space="0" w:color="E4EEF8"/>
              <w:bottom w:val="single" w:sz="12" w:space="0" w:color="E4EEF8"/>
              <w:right w:val="single" w:sz="12" w:space="0" w:color="E4EEF8"/>
            </w:tcBorders>
          </w:tcPr>
          <w:p w14:paraId="7E6A53A5" w14:textId="77777777" w:rsidR="00577FD8" w:rsidRPr="00577FD8" w:rsidRDefault="00577FD8">
            <w:pPr>
              <w:pStyle w:val="Akapitzlist"/>
              <w:numPr>
                <w:ilvl w:val="0"/>
                <w:numId w:val="17"/>
              </w:numPr>
              <w:spacing w:after="0"/>
              <w:ind w:left="270" w:hanging="270"/>
              <w:jc w:val="left"/>
              <w:rPr>
                <w:sz w:val="18"/>
                <w:szCs w:val="18"/>
                <w:lang w:bidi="en-US"/>
              </w:rPr>
            </w:pPr>
            <w:r w:rsidRPr="00577FD8">
              <w:rPr>
                <w:sz w:val="18"/>
                <w:szCs w:val="18"/>
                <w:lang w:bidi="en-US"/>
              </w:rPr>
              <w:t>wzrost dostępności i liczby e-usług</w:t>
            </w:r>
          </w:p>
          <w:p w14:paraId="5017E6B0" w14:textId="77777777" w:rsidR="00577FD8" w:rsidRPr="00577FD8" w:rsidRDefault="00577FD8">
            <w:pPr>
              <w:pStyle w:val="Akapitzlist"/>
              <w:numPr>
                <w:ilvl w:val="0"/>
                <w:numId w:val="17"/>
              </w:numPr>
              <w:spacing w:after="0"/>
              <w:ind w:left="270" w:hanging="270"/>
              <w:jc w:val="left"/>
              <w:rPr>
                <w:sz w:val="18"/>
                <w:szCs w:val="18"/>
                <w:lang w:bidi="en-US"/>
              </w:rPr>
            </w:pPr>
            <w:r w:rsidRPr="00577FD8">
              <w:rPr>
                <w:sz w:val="18"/>
                <w:szCs w:val="18"/>
                <w:lang w:bidi="en-US"/>
              </w:rPr>
              <w:t>zwiększenie liczby spraw administracyjnych załatwianych elektronicznie</w:t>
            </w:r>
          </w:p>
          <w:p w14:paraId="6A287853" w14:textId="06E2AEFE" w:rsidR="00577FD8" w:rsidRDefault="00577FD8">
            <w:pPr>
              <w:pStyle w:val="Akapitzlist"/>
              <w:numPr>
                <w:ilvl w:val="0"/>
                <w:numId w:val="17"/>
              </w:numPr>
              <w:spacing w:after="0"/>
              <w:ind w:left="270" w:hanging="270"/>
              <w:jc w:val="left"/>
              <w:rPr>
                <w:lang w:bidi="en-US"/>
              </w:rPr>
            </w:pPr>
            <w:r w:rsidRPr="00577FD8">
              <w:rPr>
                <w:sz w:val="18"/>
                <w:szCs w:val="18"/>
                <w:lang w:bidi="en-US"/>
              </w:rPr>
              <w:t>modernizacja zaplecza teleinformatycznego zapewniająca tworzenie i implementację nowoczesnych systemów e-administracji</w:t>
            </w:r>
          </w:p>
        </w:tc>
        <w:tc>
          <w:tcPr>
            <w:tcW w:w="4494" w:type="dxa"/>
            <w:tcBorders>
              <w:top w:val="single" w:sz="12" w:space="0" w:color="E4EEF8"/>
              <w:left w:val="single" w:sz="12" w:space="0" w:color="E4EEF8"/>
              <w:bottom w:val="single" w:sz="12" w:space="0" w:color="E4EEF8"/>
              <w:right w:val="single" w:sz="12" w:space="0" w:color="E4EEF8"/>
            </w:tcBorders>
          </w:tcPr>
          <w:p w14:paraId="45FF1986" w14:textId="5B55848E" w:rsidR="00577FD8" w:rsidRPr="00577FD8" w:rsidRDefault="00577FD8">
            <w:pPr>
              <w:pStyle w:val="Akapitzlist"/>
              <w:numPr>
                <w:ilvl w:val="0"/>
                <w:numId w:val="18"/>
              </w:numPr>
              <w:spacing w:after="0"/>
              <w:ind w:left="318" w:hanging="284"/>
              <w:jc w:val="left"/>
              <w:rPr>
                <w:sz w:val="18"/>
                <w:szCs w:val="18"/>
                <w:lang w:bidi="en-US"/>
              </w:rPr>
            </w:pPr>
            <w:r w:rsidRPr="00577FD8">
              <w:rPr>
                <w:sz w:val="18"/>
                <w:szCs w:val="18"/>
                <w:lang w:bidi="en-US"/>
              </w:rPr>
              <w:t>użytkownicy nowych i zmodernizowanych publicznych usług, produktów i procesów cyfrowych</w:t>
            </w:r>
            <w:r>
              <w:rPr>
                <w:sz w:val="18"/>
                <w:szCs w:val="18"/>
                <w:lang w:bidi="en-US"/>
              </w:rPr>
              <w:t xml:space="preserve"> </w:t>
            </w:r>
            <w:r w:rsidR="00785160" w:rsidRPr="00785160">
              <w:rPr>
                <w:color w:val="0070C0"/>
                <w:szCs w:val="20"/>
                <w:lang w:bidi="en-US"/>
              </w:rPr>
              <w:sym w:font="Wingdings" w:char="F0EC"/>
            </w:r>
          </w:p>
          <w:p w14:paraId="6683137A" w14:textId="7ACB1439" w:rsidR="00577FD8" w:rsidRPr="00577FD8" w:rsidRDefault="00577FD8">
            <w:pPr>
              <w:pStyle w:val="Akapitzlist"/>
              <w:numPr>
                <w:ilvl w:val="0"/>
                <w:numId w:val="18"/>
              </w:numPr>
              <w:spacing w:after="0"/>
              <w:ind w:left="318" w:hanging="284"/>
              <w:jc w:val="left"/>
              <w:rPr>
                <w:sz w:val="18"/>
                <w:szCs w:val="18"/>
                <w:lang w:bidi="en-US"/>
              </w:rPr>
            </w:pPr>
            <w:r w:rsidRPr="00577FD8">
              <w:rPr>
                <w:sz w:val="18"/>
                <w:szCs w:val="18"/>
                <w:lang w:bidi="en-US"/>
              </w:rPr>
              <w:t>instytucje publiczne otrzymujące wsparcie na opracowywanie usług, produktów i procesów cyfrowych</w:t>
            </w:r>
            <w:r>
              <w:rPr>
                <w:sz w:val="18"/>
                <w:szCs w:val="18"/>
                <w:lang w:bidi="en-US"/>
              </w:rPr>
              <w:t xml:space="preserve"> </w:t>
            </w:r>
            <w:r w:rsidR="00785160" w:rsidRPr="00785160">
              <w:rPr>
                <w:color w:val="0070C0"/>
                <w:szCs w:val="20"/>
                <w:lang w:bidi="en-US"/>
              </w:rPr>
              <w:sym w:font="Wingdings" w:char="F0EC"/>
            </w:r>
          </w:p>
          <w:p w14:paraId="7AACEFDE" w14:textId="5BD3CA56" w:rsidR="00577FD8" w:rsidRPr="00577FD8" w:rsidRDefault="00577FD8">
            <w:pPr>
              <w:pStyle w:val="Akapitzlist"/>
              <w:numPr>
                <w:ilvl w:val="0"/>
                <w:numId w:val="18"/>
              </w:numPr>
              <w:spacing w:after="0"/>
              <w:ind w:left="318" w:hanging="284"/>
              <w:jc w:val="left"/>
              <w:rPr>
                <w:sz w:val="18"/>
                <w:szCs w:val="18"/>
                <w:lang w:bidi="en-US"/>
              </w:rPr>
            </w:pPr>
            <w:r w:rsidRPr="00577FD8">
              <w:rPr>
                <w:sz w:val="18"/>
                <w:szCs w:val="18"/>
                <w:lang w:bidi="en-US"/>
              </w:rPr>
              <w:t>liczba podmiotów wspartych w zakresie rozwoju usług, produktów i procesów cyfrowych</w:t>
            </w:r>
            <w:r>
              <w:rPr>
                <w:sz w:val="18"/>
                <w:szCs w:val="18"/>
                <w:lang w:bidi="en-US"/>
              </w:rPr>
              <w:t xml:space="preserve"> </w:t>
            </w:r>
            <w:r w:rsidR="00785160" w:rsidRPr="00785160">
              <w:rPr>
                <w:color w:val="0070C0"/>
                <w:szCs w:val="20"/>
                <w:lang w:bidi="en-US"/>
              </w:rPr>
              <w:sym w:font="Wingdings" w:char="F0EC"/>
            </w:r>
          </w:p>
        </w:tc>
      </w:tr>
    </w:tbl>
    <w:p w14:paraId="6B2F9800" w14:textId="4BC41C55" w:rsidR="00BF09CD" w:rsidRDefault="00BF09CD" w:rsidP="00261698">
      <w:pPr>
        <w:rPr>
          <w:lang w:bidi="en-US"/>
        </w:rPr>
      </w:pPr>
    </w:p>
    <w:p w14:paraId="2D95AB38" w14:textId="77777777" w:rsidR="00735EEB" w:rsidRDefault="00735EEB" w:rsidP="00261698">
      <w:pPr>
        <w:rPr>
          <w:lang w:bidi="en-US"/>
        </w:rPr>
      </w:pPr>
    </w:p>
    <w:p w14:paraId="761DF8A0" w14:textId="77777777" w:rsidR="00735EEB" w:rsidRDefault="00735EEB" w:rsidP="00261698">
      <w:pPr>
        <w:rPr>
          <w:lang w:bidi="en-US"/>
        </w:rPr>
      </w:pPr>
    </w:p>
    <w:p w14:paraId="586107FD" w14:textId="77777777" w:rsidR="00735EEB" w:rsidRDefault="00735EEB" w:rsidP="00261698">
      <w:pPr>
        <w:rPr>
          <w:lang w:bidi="en-US"/>
        </w:rPr>
      </w:pPr>
    </w:p>
    <w:p w14:paraId="43FE0648" w14:textId="3DD463FE" w:rsidR="00FC15E9" w:rsidRDefault="00FC15E9" w:rsidP="00FC15E9">
      <w:pPr>
        <w:spacing w:after="160" w:line="259" w:lineRule="auto"/>
        <w:jc w:val="left"/>
        <w:rPr>
          <w:lang w:bidi="en-US"/>
        </w:rPr>
      </w:pPr>
      <w:r>
        <w:rPr>
          <w:lang w:bidi="en-US"/>
        </w:rPr>
        <w:br w:type="page"/>
      </w:r>
    </w:p>
    <w:p w14:paraId="4BCADF2C" w14:textId="39AE7E2E" w:rsidR="00261698" w:rsidRDefault="00261698" w:rsidP="00FC15E9">
      <w:pPr>
        <w:pStyle w:val="Nagwek1"/>
        <w:rPr>
          <w:lang w:bidi="en-US"/>
        </w:rPr>
      </w:pPr>
      <w:bookmarkStart w:id="194" w:name="_Toc191908799"/>
      <w:r>
        <w:rPr>
          <w:lang w:bidi="en-US"/>
        </w:rPr>
        <w:lastRenderedPageBreak/>
        <w:t>9</w:t>
      </w:r>
      <w:r w:rsidR="000A3C96">
        <w:rPr>
          <w:lang w:bidi="en-US"/>
        </w:rPr>
        <w:t xml:space="preserve"> A</w:t>
      </w:r>
      <w:r>
        <w:rPr>
          <w:lang w:bidi="en-US"/>
        </w:rPr>
        <w:t xml:space="preserve">. </w:t>
      </w:r>
      <w:r w:rsidR="000A3C96">
        <w:rPr>
          <w:lang w:bidi="en-US"/>
        </w:rPr>
        <w:t>Model struktury funkcjonalno - przestrzennej</w:t>
      </w:r>
      <w:bookmarkEnd w:id="194"/>
    </w:p>
    <w:p w14:paraId="7FB5BCC2" w14:textId="77777777" w:rsidR="000A3C96" w:rsidRPr="000A3C96" w:rsidRDefault="000A3C96" w:rsidP="00E73482">
      <w:pPr>
        <w:spacing w:before="200" w:after="200"/>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Struktura przestrzenna gminy Opole Lubelskie to system powiązanych ze sobą różnych elementów zagospodarowania pełniących określone funkcje, które łącznie tworzą całość funkcjonalno-przestrzenną. Elementami tej struktury są zarówno poszczególne części tego obszaru, które tworzą złożone systemy (np. ośrodki osadnicze, węzły ekologiczne, tereny produkcji rolniczej), tereny różniące się między sobą przeznaczeniem, użytkowaniem i funkcją, jak i sieci infrastrukturalne (transportowe, elektroenergetyczne) umo</w:t>
      </w:r>
      <w:r w:rsidRPr="000A3C96">
        <w:rPr>
          <w:rFonts w:eastAsia="Century Gothic" w:cs="Times New Roman" w:hint="eastAsia"/>
          <w:bCs/>
          <w:kern w:val="0"/>
          <w:szCs w:val="20"/>
          <w:lang w:bidi="en-US"/>
          <w14:ligatures w14:val="none"/>
        </w:rPr>
        <w:t>ż</w:t>
      </w:r>
      <w:r w:rsidRPr="000A3C96">
        <w:rPr>
          <w:rFonts w:eastAsia="Century Gothic" w:cs="Times New Roman"/>
          <w:bCs/>
          <w:kern w:val="0"/>
          <w:szCs w:val="20"/>
          <w:lang w:bidi="en-US"/>
          <w14:ligatures w14:val="none"/>
        </w:rPr>
        <w:t>liwiaj</w:t>
      </w:r>
      <w:r w:rsidRPr="000A3C96">
        <w:rPr>
          <w:rFonts w:eastAsia="Century Gothic" w:cs="Times New Roman" w:hint="eastAsia"/>
          <w:bCs/>
          <w:kern w:val="0"/>
          <w:szCs w:val="20"/>
          <w:lang w:bidi="en-US"/>
          <w14:ligatures w14:val="none"/>
        </w:rPr>
        <w:t>ą</w:t>
      </w:r>
      <w:r w:rsidRPr="000A3C96">
        <w:rPr>
          <w:rFonts w:eastAsia="Century Gothic" w:cs="Times New Roman"/>
          <w:bCs/>
          <w:kern w:val="0"/>
          <w:szCs w:val="20"/>
          <w:lang w:bidi="en-US"/>
          <w14:ligatures w14:val="none"/>
        </w:rPr>
        <w:t>ce kontakty i powiązania pomi</w:t>
      </w:r>
      <w:r w:rsidRPr="000A3C96">
        <w:rPr>
          <w:rFonts w:eastAsia="Century Gothic" w:cs="Times New Roman" w:hint="eastAsia"/>
          <w:bCs/>
          <w:kern w:val="0"/>
          <w:szCs w:val="20"/>
          <w:lang w:bidi="en-US"/>
          <w14:ligatures w14:val="none"/>
        </w:rPr>
        <w:t>ę</w:t>
      </w:r>
      <w:r w:rsidRPr="000A3C96">
        <w:rPr>
          <w:rFonts w:eastAsia="Century Gothic" w:cs="Times New Roman"/>
          <w:bCs/>
          <w:kern w:val="0"/>
          <w:szCs w:val="20"/>
          <w:lang w:bidi="en-US"/>
          <w14:ligatures w14:val="none"/>
        </w:rPr>
        <w:t>dzy poszczególnymi cz</w:t>
      </w:r>
      <w:r w:rsidRPr="000A3C96">
        <w:rPr>
          <w:rFonts w:eastAsia="Century Gothic" w:cs="Times New Roman" w:hint="eastAsia"/>
          <w:bCs/>
          <w:kern w:val="0"/>
          <w:szCs w:val="20"/>
          <w:lang w:bidi="en-US"/>
          <w14:ligatures w14:val="none"/>
        </w:rPr>
        <w:t>ęś</w:t>
      </w:r>
      <w:r w:rsidRPr="000A3C96">
        <w:rPr>
          <w:rFonts w:eastAsia="Century Gothic" w:cs="Times New Roman"/>
          <w:bCs/>
          <w:kern w:val="0"/>
          <w:szCs w:val="20"/>
          <w:lang w:bidi="en-US"/>
          <w14:ligatures w14:val="none"/>
        </w:rPr>
        <w:t xml:space="preserve">ciami gminy oraz otoczeniem zewnętrznym. Głównym celem kształtowanego modelu struktury funkcjonalno-przestrzennej jest stworzenie warunków do racjonalnego organizowania przestrzeni i egzekwowania ładu przestrzennego dla realizacji działań będących odpowiedzią na wyzwania rozwojowe. Ma on również wyeliminować lub minimalizować konflikty przestrzenne powstające między funkcjami społeczno-gospodarczymi i poszczególnymi podmiotami gospodarczymi na tle wykorzystywania ograniczonej przestrzeni i jej zasobów. Stanowi on schemat obrazujący sposób funkcjonowania obszaru i przestrzenne odniesienie dla polityk rozwojowych. </w:t>
      </w:r>
    </w:p>
    <w:p w14:paraId="7A17516A" w14:textId="77777777" w:rsidR="000A3C96" w:rsidRPr="000A3C96" w:rsidRDefault="000A3C96" w:rsidP="00E73482">
      <w:pPr>
        <w:spacing w:before="120"/>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Model, uwzględniając regionalną politykę rozwoju określoną w </w:t>
      </w:r>
      <w:r w:rsidRPr="000A3C96">
        <w:rPr>
          <w:rFonts w:eastAsia="Century Gothic" w:cs="Times New Roman"/>
          <w:bCs/>
          <w:i/>
          <w:kern w:val="0"/>
          <w:szCs w:val="20"/>
          <w:lang w:bidi="en-US"/>
          <w14:ligatures w14:val="none"/>
        </w:rPr>
        <w:t>Strategii Rozwoju Województwa Lubelskiego do 2030 roku</w:t>
      </w:r>
      <w:r w:rsidRPr="000A3C96">
        <w:rPr>
          <w:rFonts w:eastAsia="Century Gothic" w:cs="Times New Roman"/>
          <w:bCs/>
          <w:kern w:val="0"/>
          <w:szCs w:val="20"/>
          <w:lang w:bidi="en-US"/>
          <w14:ligatures w14:val="none"/>
        </w:rPr>
        <w:t xml:space="preserve"> (</w:t>
      </w:r>
      <w:r w:rsidRPr="000A3C96">
        <w:rPr>
          <w:rFonts w:eastAsia="Century Gothic" w:cs="Times New Roman"/>
          <w:bCs/>
          <w:i/>
          <w:iCs/>
          <w:kern w:val="0"/>
          <w:szCs w:val="20"/>
          <w:lang w:bidi="en-US"/>
          <w14:ligatures w14:val="none"/>
        </w:rPr>
        <w:t>SRWL</w:t>
      </w:r>
      <w:r w:rsidRPr="000A3C96">
        <w:rPr>
          <w:rFonts w:eastAsia="Century Gothic" w:cs="Times New Roman"/>
          <w:bCs/>
          <w:kern w:val="0"/>
          <w:szCs w:val="20"/>
          <w:lang w:bidi="en-US"/>
          <w14:ligatures w14:val="none"/>
        </w:rPr>
        <w:t>), organizuje warunki przestrzenne dla alokacji funkcji społeczno-gospodarczych i poszczególnych inwestycji przyczyniających się do realizacji priorytetów rozwojowych OSI o znaczeniu regionalnym, tj.: MOF Opola Lubelskiego i OSI Powiśle (o czym mowa w rozdziale 10.1).</w:t>
      </w:r>
    </w:p>
    <w:p w14:paraId="6B9B41EC" w14:textId="77777777" w:rsidR="000A3C96" w:rsidRPr="000A3C96" w:rsidRDefault="000A3C96" w:rsidP="00E73482">
      <w:pPr>
        <w:spacing w:before="120"/>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Głównymi elementami konstytuującymi strukturę funkcjonalno-przestrzenną gminy są: </w:t>
      </w:r>
    </w:p>
    <w:p w14:paraId="4D6F8226" w14:textId="4D2618A1" w:rsidR="00E24DA1" w:rsidRPr="000A3C96" w:rsidRDefault="00E24DA1">
      <w:pPr>
        <w:keepNext/>
        <w:numPr>
          <w:ilvl w:val="0"/>
          <w:numId w:val="87"/>
        </w:numPr>
        <w:spacing w:before="120" w:after="200" w:line="276" w:lineRule="auto"/>
        <w:ind w:left="284"/>
        <w:jc w:val="left"/>
        <w:rPr>
          <w:rFonts w:eastAsia="Century Gothic" w:cs="Times New Roman"/>
          <w:bCs/>
          <w:kern w:val="0"/>
          <w:szCs w:val="20"/>
          <w:lang w:bidi="en-US"/>
          <w14:ligatures w14:val="none"/>
        </w:rPr>
      </w:pPr>
      <w:r w:rsidRPr="00317DA3">
        <w:rPr>
          <w:rFonts w:eastAsia="Century Gothic" w:cs="Times New Roman"/>
          <w:b/>
          <w:kern w:val="0"/>
          <w:szCs w:val="20"/>
          <w:lang w:bidi="en-US"/>
          <w14:ligatures w14:val="none"/>
        </w:rPr>
        <w:t>sieć osadnicza</w:t>
      </w:r>
      <w:r w:rsidRPr="000A3C96">
        <w:rPr>
          <w:rFonts w:eastAsia="Century Gothic" w:cs="Times New Roman"/>
          <w:bCs/>
          <w:kern w:val="0"/>
          <w:szCs w:val="20"/>
          <w:lang w:bidi="en-US"/>
          <w14:ligatures w14:val="none"/>
        </w:rPr>
        <w:t xml:space="preserve">, będąca elementem wzmacniania i rozwoju funkcji społeczno-gospodarczych, </w:t>
      </w:r>
      <w:r w:rsidRPr="000A3C96">
        <w:rPr>
          <w:rFonts w:eastAsia="Century Gothic" w:cs="Times New Roman"/>
          <w:iCs/>
          <w:kern w:val="0"/>
          <w:szCs w:val="20"/>
          <w:lang w:bidi="en-US"/>
          <w14:ligatures w14:val="none"/>
        </w:rPr>
        <w:t>na którą składają się</w:t>
      </w:r>
      <w:r w:rsidR="00CA3F0B">
        <w:rPr>
          <w:rFonts w:eastAsia="Century Gothic" w:cs="Times New Roman"/>
          <w:iCs/>
          <w:kern w:val="0"/>
          <w:szCs w:val="20"/>
          <w:lang w:bidi="en-US"/>
          <w14:ligatures w14:val="none"/>
        </w:rPr>
        <w:t xml:space="preserve"> </w:t>
      </w:r>
      <w:r w:rsidR="00B92C22">
        <w:rPr>
          <w:rFonts w:eastAsia="Century Gothic" w:cs="Times New Roman"/>
          <w:iCs/>
          <w:kern w:val="0"/>
          <w:szCs w:val="20"/>
          <w:lang w:bidi="en-US"/>
          <w14:ligatures w14:val="none"/>
        </w:rPr>
        <w:t>następujące jednostki</w:t>
      </w:r>
      <w:r w:rsidR="00B24A18">
        <w:rPr>
          <w:rFonts w:eastAsia="Century Gothic" w:cs="Times New Roman"/>
          <w:iCs/>
          <w:kern w:val="0"/>
          <w:szCs w:val="20"/>
          <w:lang w:bidi="en-US"/>
          <w14:ligatures w14:val="none"/>
        </w:rPr>
        <w:t xml:space="preserve">, </w:t>
      </w:r>
      <w:r w:rsidR="00993C51">
        <w:rPr>
          <w:rFonts w:eastAsia="Century Gothic" w:cs="Times New Roman"/>
          <w:iCs/>
          <w:kern w:val="0"/>
          <w:szCs w:val="20"/>
          <w:lang w:bidi="en-US"/>
          <w14:ligatures w14:val="none"/>
        </w:rPr>
        <w:t xml:space="preserve">dla których określa się </w:t>
      </w:r>
      <w:r w:rsidR="00A80EC5">
        <w:rPr>
          <w:rFonts w:eastAsia="Century Gothic" w:cs="Times New Roman"/>
          <w:iCs/>
          <w:kern w:val="0"/>
          <w:szCs w:val="20"/>
          <w:lang w:bidi="en-US"/>
          <w14:ligatures w14:val="none"/>
        </w:rPr>
        <w:t>rol</w:t>
      </w:r>
      <w:r w:rsidR="00D50FD0">
        <w:rPr>
          <w:rFonts w:eastAsia="Century Gothic" w:cs="Times New Roman"/>
          <w:iCs/>
          <w:kern w:val="0"/>
          <w:szCs w:val="20"/>
          <w:lang w:bidi="en-US"/>
          <w14:ligatures w14:val="none"/>
        </w:rPr>
        <w:t>e</w:t>
      </w:r>
      <w:r w:rsidR="00A80EC5">
        <w:rPr>
          <w:rFonts w:eastAsia="Century Gothic" w:cs="Times New Roman"/>
          <w:iCs/>
          <w:kern w:val="0"/>
          <w:szCs w:val="20"/>
          <w:lang w:bidi="en-US"/>
          <w14:ligatures w14:val="none"/>
        </w:rPr>
        <w:t xml:space="preserve"> </w:t>
      </w:r>
      <w:r w:rsidR="00EE6A48">
        <w:rPr>
          <w:rFonts w:eastAsia="Century Gothic" w:cs="Times New Roman"/>
          <w:iCs/>
          <w:kern w:val="0"/>
          <w:szCs w:val="20"/>
          <w:lang w:bidi="en-US"/>
          <w14:ligatures w14:val="none"/>
        </w:rPr>
        <w:t>i</w:t>
      </w:r>
      <w:r w:rsidR="00A80EC5" w:rsidRPr="00A80EC5">
        <w:rPr>
          <w:rFonts w:eastAsia="Century Gothic" w:cs="Times New Roman"/>
          <w:iCs/>
          <w:kern w:val="0"/>
          <w:szCs w:val="20"/>
          <w:lang w:bidi="en-US"/>
          <w14:ligatures w14:val="none"/>
        </w:rPr>
        <w:t xml:space="preserve"> </w:t>
      </w:r>
      <w:r w:rsidR="00A80EC5">
        <w:rPr>
          <w:rFonts w:eastAsia="Century Gothic" w:cs="Times New Roman"/>
          <w:iCs/>
          <w:kern w:val="0"/>
          <w:szCs w:val="20"/>
          <w:lang w:bidi="en-US"/>
          <w14:ligatures w14:val="none"/>
        </w:rPr>
        <w:t xml:space="preserve">funkcje jakie pełnią </w:t>
      </w:r>
      <w:r w:rsidR="00455C8F">
        <w:rPr>
          <w:rFonts w:eastAsia="Century Gothic" w:cs="Times New Roman"/>
          <w:iCs/>
          <w:kern w:val="0"/>
          <w:szCs w:val="20"/>
          <w:lang w:bidi="en-US"/>
          <w14:ligatures w14:val="none"/>
        </w:rPr>
        <w:t>w strukturze osadniczej, tj.</w:t>
      </w:r>
      <w:r w:rsidRPr="000A3C96">
        <w:rPr>
          <w:rFonts w:eastAsia="Century Gothic" w:cs="Times New Roman"/>
          <w:iCs/>
          <w:kern w:val="0"/>
          <w:szCs w:val="20"/>
          <w:lang w:bidi="en-US"/>
          <w14:ligatures w14:val="none"/>
        </w:rPr>
        <w:t>:</w:t>
      </w:r>
    </w:p>
    <w:p w14:paraId="49E0BDB3" w14:textId="1E3718FB" w:rsidR="00E24DA1" w:rsidRPr="000A3C96" w:rsidRDefault="00E24DA1">
      <w:pPr>
        <w:numPr>
          <w:ilvl w:val="0"/>
          <w:numId w:val="88"/>
        </w:numPr>
        <w:spacing w:before="120" w:after="200" w:line="276" w:lineRule="auto"/>
        <w:ind w:left="851"/>
        <w:jc w:val="left"/>
        <w:rPr>
          <w:rFonts w:eastAsia="Century Gothic" w:cs="Times New Roman"/>
          <w:bCs/>
          <w:kern w:val="0"/>
          <w:szCs w:val="20"/>
          <w:lang w:bidi="en-US"/>
          <w14:ligatures w14:val="none"/>
        </w:rPr>
      </w:pPr>
      <w:r w:rsidRPr="00DD0E7E">
        <w:rPr>
          <w:rFonts w:eastAsia="Century Gothic" w:cs="Times New Roman"/>
          <w:b/>
          <w:kern w:val="0"/>
          <w:szCs w:val="20"/>
          <w:lang w:bidi="en-US"/>
          <w14:ligatures w14:val="none"/>
        </w:rPr>
        <w:t xml:space="preserve">Opole Lubelskie – </w:t>
      </w:r>
      <w:r w:rsidR="00DD0E7E" w:rsidRPr="00DD0E7E">
        <w:rPr>
          <w:rFonts w:eastAsia="Century Gothic" w:cs="Times New Roman"/>
          <w:b/>
          <w:kern w:val="0"/>
          <w:szCs w:val="20"/>
          <w:lang w:bidi="en-US"/>
          <w14:ligatures w14:val="none"/>
        </w:rPr>
        <w:t>rdzeń Miejskiego Obszaru Funkcjonalnego</w:t>
      </w:r>
      <w:r w:rsidR="00DD0E7E">
        <w:rPr>
          <w:rFonts w:eastAsia="Century Gothic" w:cs="Times New Roman"/>
          <w:b/>
          <w:kern w:val="0"/>
          <w:szCs w:val="20"/>
          <w:lang w:bidi="en-US"/>
          <w14:ligatures w14:val="none"/>
        </w:rPr>
        <w:t xml:space="preserve">, </w:t>
      </w:r>
      <w:r w:rsidRPr="000A3C96">
        <w:rPr>
          <w:rFonts w:eastAsia="Century Gothic" w:cs="Times New Roman"/>
          <w:bCs/>
          <w:kern w:val="0"/>
          <w:szCs w:val="20"/>
          <w:lang w:bidi="en-US"/>
          <w14:ligatures w14:val="none"/>
        </w:rPr>
        <w:t>ośrodek miejski</w:t>
      </w:r>
      <w:r w:rsidR="00DD0E7E">
        <w:rPr>
          <w:rFonts w:eastAsia="Century Gothic" w:cs="Times New Roman"/>
          <w:bCs/>
          <w:kern w:val="0"/>
          <w:szCs w:val="20"/>
          <w:lang w:bidi="en-US"/>
          <w14:ligatures w14:val="none"/>
        </w:rPr>
        <w:t xml:space="preserve"> </w:t>
      </w:r>
      <w:r w:rsidRPr="000A3C96">
        <w:rPr>
          <w:rFonts w:eastAsia="Century Gothic" w:cs="Times New Roman"/>
          <w:bCs/>
          <w:kern w:val="0"/>
          <w:szCs w:val="20"/>
          <w:lang w:bidi="en-US"/>
          <w14:ligatures w14:val="none"/>
        </w:rPr>
        <w:t>pełniący ważną rolę w zakresie funkcji sektora publicznego</w:t>
      </w:r>
      <w:r w:rsidR="00277FA2">
        <w:rPr>
          <w:rFonts w:eastAsia="Century Gothic" w:cs="Times New Roman"/>
          <w:bCs/>
          <w:kern w:val="0"/>
          <w:szCs w:val="20"/>
          <w:lang w:bidi="en-US"/>
          <w14:ligatures w14:val="none"/>
        </w:rPr>
        <w:t xml:space="preserve">, dla którego </w:t>
      </w:r>
      <w:r w:rsidR="00183617">
        <w:rPr>
          <w:rFonts w:eastAsia="Century Gothic" w:cs="Times New Roman"/>
          <w:bCs/>
          <w:kern w:val="0"/>
          <w:szCs w:val="20"/>
          <w:lang w:bidi="en-US"/>
          <w14:ligatures w14:val="none"/>
        </w:rPr>
        <w:t>przyjmuje</w:t>
      </w:r>
      <w:r w:rsidR="00DB7F11">
        <w:rPr>
          <w:rFonts w:eastAsia="Century Gothic" w:cs="Times New Roman"/>
          <w:bCs/>
          <w:kern w:val="0"/>
          <w:szCs w:val="20"/>
          <w:lang w:bidi="en-US"/>
          <w14:ligatures w14:val="none"/>
        </w:rPr>
        <w:t xml:space="preserve"> się </w:t>
      </w:r>
      <w:r w:rsidR="00277FA2" w:rsidRPr="00277FA2">
        <w:rPr>
          <w:rFonts w:eastAsia="Century Gothic" w:cs="Times New Roman"/>
          <w:bCs/>
          <w:kern w:val="0"/>
          <w:szCs w:val="20"/>
          <w:lang w:bidi="en-US"/>
          <w14:ligatures w14:val="none"/>
        </w:rPr>
        <w:t>intensywny rozwój społeczno-gospodarczy z zapewnieniem prawidłowego funkcjonowania lokalnych systemów przyrodniczych decydujących o jakości przestrzeni zamieszkania</w:t>
      </w:r>
      <w:r w:rsidR="00182613">
        <w:rPr>
          <w:rFonts w:eastAsia="Century Gothic" w:cs="Times New Roman"/>
          <w:bCs/>
          <w:kern w:val="0"/>
          <w:szCs w:val="20"/>
          <w:lang w:bidi="en-US"/>
          <w14:ligatures w14:val="none"/>
        </w:rPr>
        <w:t>.</w:t>
      </w:r>
      <w:r w:rsidRPr="000A3C96">
        <w:rPr>
          <w:rFonts w:eastAsia="Century Gothic" w:cs="Times New Roman"/>
          <w:bCs/>
          <w:kern w:val="0"/>
          <w:szCs w:val="20"/>
          <w:lang w:bidi="en-US"/>
          <w14:ligatures w14:val="none"/>
        </w:rPr>
        <w:t xml:space="preserve"> </w:t>
      </w:r>
    </w:p>
    <w:p w14:paraId="79323BE2" w14:textId="396A2919" w:rsidR="00EA011B" w:rsidRDefault="00E5661C" w:rsidP="00E24DA1">
      <w:pPr>
        <w:spacing w:before="120"/>
        <w:ind w:left="851"/>
        <w:rPr>
          <w:rFonts w:eastAsia="Century Gothic" w:cs="Times New Roman"/>
          <w:bCs/>
          <w:kern w:val="0"/>
          <w:szCs w:val="20"/>
          <w:lang w:bidi="en-US"/>
          <w14:ligatures w14:val="none"/>
        </w:rPr>
      </w:pPr>
      <w:r>
        <w:rPr>
          <w:rFonts w:eastAsia="Century Gothic" w:cs="Times New Roman"/>
          <w:bCs/>
          <w:kern w:val="0"/>
          <w:szCs w:val="20"/>
          <w:lang w:bidi="en-US"/>
          <w14:ligatures w14:val="none"/>
        </w:rPr>
        <w:t>Opole Lubelskie jako p</w:t>
      </w:r>
      <w:r w:rsidR="00E24DA1" w:rsidRPr="000A3C96">
        <w:rPr>
          <w:rFonts w:eastAsia="Century Gothic" w:cs="Times New Roman"/>
          <w:bCs/>
          <w:kern w:val="0"/>
          <w:szCs w:val="20"/>
          <w:lang w:bidi="en-US"/>
          <w14:ligatures w14:val="none"/>
        </w:rPr>
        <w:t>onadlokalny ośrodek obsługi wskazany do koncentracji urbanizacji w zorganizowanych układach przestrzennych oraz rozwoju pozarolniczej działalności gospodarczej</w:t>
      </w:r>
      <w:r w:rsidR="00E24DA1" w:rsidRPr="000A3C96">
        <w:rPr>
          <w:rFonts w:eastAsia="Century Gothic" w:cs="Times New Roman"/>
          <w:iCs/>
          <w:kern w:val="0"/>
          <w:szCs w:val="20"/>
          <w:lang w:bidi="en-US"/>
          <w14:ligatures w14:val="none"/>
        </w:rPr>
        <w:t xml:space="preserve">. </w:t>
      </w:r>
      <w:r w:rsidR="00E24DA1" w:rsidRPr="000A3C96">
        <w:rPr>
          <w:rFonts w:eastAsia="Century Gothic" w:cs="Times New Roman"/>
          <w:bCs/>
          <w:kern w:val="0"/>
          <w:szCs w:val="20"/>
          <w:lang w:bidi="en-US"/>
          <w14:ligatures w14:val="none"/>
        </w:rPr>
        <w:t>Działania rozwojowe ukierunkowane</w:t>
      </w:r>
      <w:r w:rsidR="00B16CCF">
        <w:rPr>
          <w:rFonts w:eastAsia="Century Gothic" w:cs="Times New Roman"/>
          <w:bCs/>
          <w:kern w:val="0"/>
          <w:szCs w:val="20"/>
          <w:lang w:bidi="en-US"/>
          <w14:ligatures w14:val="none"/>
        </w:rPr>
        <w:t xml:space="preserve"> zostają </w:t>
      </w:r>
      <w:r w:rsidR="00E24DA1" w:rsidRPr="000A3C96">
        <w:rPr>
          <w:rFonts w:eastAsia="Century Gothic" w:cs="Times New Roman"/>
          <w:bCs/>
          <w:kern w:val="0"/>
          <w:szCs w:val="20"/>
          <w:lang w:bidi="en-US"/>
          <w14:ligatures w14:val="none"/>
        </w:rPr>
        <w:t xml:space="preserve">na wzmacnianie </w:t>
      </w:r>
      <w:r w:rsidR="00B16CCF">
        <w:rPr>
          <w:rFonts w:eastAsia="Century Gothic" w:cs="Times New Roman"/>
          <w:bCs/>
          <w:kern w:val="0"/>
          <w:szCs w:val="20"/>
          <w:lang w:bidi="en-US"/>
          <w14:ligatures w14:val="none"/>
        </w:rPr>
        <w:t xml:space="preserve">jego </w:t>
      </w:r>
      <w:r w:rsidR="00E24DA1" w:rsidRPr="000A3C96">
        <w:rPr>
          <w:rFonts w:eastAsia="Century Gothic" w:cs="Times New Roman"/>
          <w:bCs/>
          <w:kern w:val="0"/>
          <w:szCs w:val="20"/>
          <w:lang w:bidi="en-US"/>
          <w14:ligatures w14:val="none"/>
        </w:rPr>
        <w:t>potencjału poprzez rozwój funkcji obsługi turystyki oraz rozwój infrastruktury i usług służących krystalizacji silnego ośrodka obsługującego tereny wiejskie</w:t>
      </w:r>
      <w:r w:rsidR="00B40716">
        <w:rPr>
          <w:rFonts w:eastAsia="Century Gothic" w:cs="Times New Roman"/>
          <w:bCs/>
          <w:kern w:val="0"/>
          <w:szCs w:val="20"/>
          <w:lang w:bidi="en-US"/>
          <w14:ligatures w14:val="none"/>
        </w:rPr>
        <w:t xml:space="preserve">, które </w:t>
      </w:r>
      <w:r w:rsidR="00EA011B">
        <w:rPr>
          <w:rFonts w:eastAsia="Century Gothic" w:cs="Times New Roman"/>
          <w:bCs/>
          <w:kern w:val="0"/>
          <w:szCs w:val="20"/>
          <w:lang w:bidi="en-US"/>
          <w14:ligatures w14:val="none"/>
        </w:rPr>
        <w:t>obejm</w:t>
      </w:r>
      <w:r w:rsidR="00B40716">
        <w:rPr>
          <w:rFonts w:eastAsia="Century Gothic" w:cs="Times New Roman"/>
          <w:bCs/>
          <w:kern w:val="0"/>
          <w:szCs w:val="20"/>
          <w:lang w:bidi="en-US"/>
          <w14:ligatures w14:val="none"/>
        </w:rPr>
        <w:t>ują</w:t>
      </w:r>
      <w:r w:rsidR="00EA011B">
        <w:rPr>
          <w:rFonts w:eastAsia="Century Gothic" w:cs="Times New Roman"/>
          <w:bCs/>
          <w:kern w:val="0"/>
          <w:szCs w:val="20"/>
          <w:lang w:bidi="en-US"/>
          <w14:ligatures w14:val="none"/>
        </w:rPr>
        <w:t xml:space="preserve"> przede wszystkim:</w:t>
      </w:r>
    </w:p>
    <w:p w14:paraId="4DF4A468" w14:textId="77777777" w:rsidR="00646CF3" w:rsidRDefault="00F27283">
      <w:pPr>
        <w:pStyle w:val="Akapitzlist"/>
        <w:numPr>
          <w:ilvl w:val="0"/>
          <w:numId w:val="100"/>
        </w:numPr>
        <w:spacing w:before="120"/>
        <w:rPr>
          <w:rFonts w:eastAsia="Century Gothic" w:cs="Times New Roman"/>
          <w:bCs/>
          <w:kern w:val="0"/>
          <w:szCs w:val="20"/>
          <w:lang w:bidi="en-US"/>
          <w14:ligatures w14:val="none"/>
        </w:rPr>
      </w:pPr>
      <w:r w:rsidRPr="00646CF3">
        <w:rPr>
          <w:rFonts w:eastAsia="Century Gothic" w:cs="Times New Roman"/>
          <w:bCs/>
          <w:kern w:val="0"/>
          <w:szCs w:val="20"/>
          <w:lang w:bidi="en-US"/>
          <w14:ligatures w14:val="none"/>
        </w:rPr>
        <w:t>realizację polityki przestrzennej stwarzającej</w:t>
      </w:r>
      <w:r w:rsidR="008429A7" w:rsidRPr="00646CF3">
        <w:rPr>
          <w:rFonts w:eastAsia="Century Gothic" w:cs="Times New Roman"/>
          <w:bCs/>
          <w:kern w:val="0"/>
          <w:szCs w:val="20"/>
          <w:lang w:bidi="en-US"/>
          <w14:ligatures w14:val="none"/>
        </w:rPr>
        <w:t xml:space="preserve"> warunk</w:t>
      </w:r>
      <w:r w:rsidRPr="00646CF3">
        <w:rPr>
          <w:rFonts w:eastAsia="Century Gothic" w:cs="Times New Roman"/>
          <w:bCs/>
          <w:kern w:val="0"/>
          <w:szCs w:val="20"/>
          <w:lang w:bidi="en-US"/>
          <w14:ligatures w14:val="none"/>
        </w:rPr>
        <w:t>i</w:t>
      </w:r>
      <w:r w:rsidR="008429A7" w:rsidRPr="00646CF3">
        <w:rPr>
          <w:rFonts w:eastAsia="Century Gothic" w:cs="Times New Roman"/>
          <w:bCs/>
          <w:kern w:val="0"/>
          <w:szCs w:val="20"/>
          <w:lang w:bidi="en-US"/>
          <w14:ligatures w14:val="none"/>
        </w:rPr>
        <w:t xml:space="preserve"> </w:t>
      </w:r>
      <w:r w:rsidR="00957614" w:rsidRPr="00646CF3">
        <w:rPr>
          <w:rFonts w:eastAsia="Century Gothic" w:cs="Times New Roman"/>
          <w:bCs/>
          <w:kern w:val="0"/>
          <w:szCs w:val="20"/>
          <w:lang w:bidi="en-US"/>
          <w14:ligatures w14:val="none"/>
        </w:rPr>
        <w:t>do zwiększania liczby miejsc pracy w różnych dziedzinach działalności gospodarczej (przetwórstwo</w:t>
      </w:r>
      <w:r w:rsidR="00646CF3" w:rsidRPr="00646CF3">
        <w:rPr>
          <w:rFonts w:eastAsia="Century Gothic" w:cs="Times New Roman"/>
          <w:bCs/>
          <w:kern w:val="0"/>
          <w:szCs w:val="20"/>
          <w:lang w:bidi="en-US"/>
          <w14:ligatures w14:val="none"/>
        </w:rPr>
        <w:t>, przetwórstwo, administracja, turystyka, usługi publiczne</w:t>
      </w:r>
      <w:r w:rsidR="00646CF3">
        <w:rPr>
          <w:rFonts w:eastAsia="Century Gothic" w:cs="Times New Roman"/>
          <w:bCs/>
          <w:kern w:val="0"/>
          <w:szCs w:val="20"/>
          <w:lang w:bidi="en-US"/>
          <w14:ligatures w14:val="none"/>
        </w:rPr>
        <w:t xml:space="preserve"> </w:t>
      </w:r>
      <w:r w:rsidR="00646CF3" w:rsidRPr="00646CF3">
        <w:rPr>
          <w:rFonts w:eastAsia="Century Gothic" w:cs="Times New Roman"/>
          <w:bCs/>
          <w:kern w:val="0"/>
          <w:szCs w:val="20"/>
          <w:lang w:bidi="en-US"/>
          <w14:ligatures w14:val="none"/>
        </w:rPr>
        <w:t>i komercyjne</w:t>
      </w:r>
      <w:r w:rsidR="00646CF3">
        <w:rPr>
          <w:rFonts w:eastAsia="Century Gothic" w:cs="Times New Roman"/>
          <w:bCs/>
          <w:kern w:val="0"/>
          <w:szCs w:val="20"/>
          <w:lang w:bidi="en-US"/>
          <w14:ligatures w14:val="none"/>
        </w:rPr>
        <w:t>),</w:t>
      </w:r>
    </w:p>
    <w:p w14:paraId="25BFBF76" w14:textId="77777777" w:rsidR="00B619A5" w:rsidRDefault="00607F51">
      <w:pPr>
        <w:pStyle w:val="Akapitzlist"/>
        <w:numPr>
          <w:ilvl w:val="0"/>
          <w:numId w:val="100"/>
        </w:numPr>
        <w:spacing w:before="120"/>
        <w:rPr>
          <w:rFonts w:eastAsia="Century Gothic" w:cs="Times New Roman"/>
          <w:bCs/>
          <w:kern w:val="0"/>
          <w:szCs w:val="20"/>
          <w:lang w:bidi="en-US"/>
          <w14:ligatures w14:val="none"/>
        </w:rPr>
      </w:pPr>
      <w:r w:rsidRPr="00607F51">
        <w:rPr>
          <w:rFonts w:eastAsia="Century Gothic" w:cs="Times New Roman"/>
          <w:bCs/>
          <w:kern w:val="0"/>
          <w:szCs w:val="20"/>
          <w:lang w:bidi="en-US"/>
          <w14:ligatures w14:val="none"/>
        </w:rPr>
        <w:lastRenderedPageBreak/>
        <w:t>podniesienie rangi centrum miasta i przygotowanie go do pełnienia roli centrum usługowo-kulturalnego m.in. poprzez zwiększenie możliwości organizacji imprez o</w:t>
      </w:r>
      <w:r>
        <w:rPr>
          <w:rFonts w:eastAsia="Century Gothic" w:cs="Times New Roman"/>
          <w:bCs/>
          <w:kern w:val="0"/>
          <w:szCs w:val="20"/>
          <w:lang w:bidi="en-US"/>
          <w14:ligatures w14:val="none"/>
        </w:rPr>
        <w:t xml:space="preserve"> </w:t>
      </w:r>
      <w:r w:rsidRPr="00607F51">
        <w:rPr>
          <w:rFonts w:eastAsia="Century Gothic" w:cs="Times New Roman"/>
          <w:bCs/>
          <w:kern w:val="0"/>
          <w:szCs w:val="20"/>
          <w:lang w:bidi="en-US"/>
          <w14:ligatures w14:val="none"/>
        </w:rPr>
        <w:t>charakterze regionalnym</w:t>
      </w:r>
      <w:r>
        <w:rPr>
          <w:rFonts w:eastAsia="Century Gothic" w:cs="Times New Roman"/>
          <w:bCs/>
          <w:kern w:val="0"/>
          <w:szCs w:val="20"/>
          <w:lang w:bidi="en-US"/>
          <w14:ligatures w14:val="none"/>
        </w:rPr>
        <w:t>,</w:t>
      </w:r>
    </w:p>
    <w:p w14:paraId="4DDA6A52" w14:textId="509A271F" w:rsidR="00E24DA1" w:rsidRPr="000D711E" w:rsidRDefault="00B619A5">
      <w:pPr>
        <w:pStyle w:val="Akapitzlist"/>
        <w:numPr>
          <w:ilvl w:val="0"/>
          <w:numId w:val="100"/>
        </w:numPr>
        <w:spacing w:before="120"/>
        <w:rPr>
          <w:rFonts w:eastAsia="Century Gothic" w:cs="Times New Roman"/>
          <w:bCs/>
          <w:kern w:val="0"/>
          <w:szCs w:val="20"/>
          <w:lang w:bidi="en-US"/>
          <w14:ligatures w14:val="none"/>
        </w:rPr>
      </w:pPr>
      <w:r w:rsidRPr="000D711E">
        <w:rPr>
          <w:rFonts w:eastAsia="Century Gothic" w:cs="Times New Roman"/>
          <w:bCs/>
          <w:kern w:val="0"/>
          <w:szCs w:val="20"/>
          <w:lang w:bidi="en-US"/>
          <w14:ligatures w14:val="none"/>
        </w:rPr>
        <w:t>rozwój funkcji obsługi rolnictwa i ogrodnictwa, w tym także funkcji terenochłonnych</w:t>
      </w:r>
      <w:r w:rsidR="000D711E" w:rsidRPr="000D711E">
        <w:rPr>
          <w:rFonts w:eastAsia="Century Gothic" w:cs="Times New Roman"/>
          <w:bCs/>
          <w:kern w:val="0"/>
          <w:szCs w:val="20"/>
          <w:lang w:bidi="en-US"/>
          <w14:ligatures w14:val="none"/>
        </w:rPr>
        <w:t xml:space="preserve"> poprzez </w:t>
      </w:r>
      <w:r w:rsidRPr="000D711E">
        <w:rPr>
          <w:rFonts w:eastAsia="Century Gothic" w:cs="Times New Roman"/>
          <w:bCs/>
          <w:kern w:val="0"/>
          <w:szCs w:val="20"/>
          <w:lang w:bidi="en-US"/>
          <w14:ligatures w14:val="none"/>
        </w:rPr>
        <w:t>restrukturyzacj</w:t>
      </w:r>
      <w:r w:rsidR="000D711E" w:rsidRPr="000D711E">
        <w:rPr>
          <w:rFonts w:eastAsia="Century Gothic" w:cs="Times New Roman"/>
          <w:bCs/>
          <w:kern w:val="0"/>
          <w:szCs w:val="20"/>
          <w:lang w:bidi="en-US"/>
          <w14:ligatures w14:val="none"/>
        </w:rPr>
        <w:t>ę</w:t>
      </w:r>
      <w:r w:rsidRPr="000D711E">
        <w:rPr>
          <w:rFonts w:eastAsia="Century Gothic" w:cs="Times New Roman"/>
          <w:bCs/>
          <w:kern w:val="0"/>
          <w:szCs w:val="20"/>
          <w:lang w:bidi="en-US"/>
          <w14:ligatures w14:val="none"/>
        </w:rPr>
        <w:t xml:space="preserve"> niefunkcjonujących zakładów </w:t>
      </w:r>
      <w:r w:rsidR="00194FC2">
        <w:rPr>
          <w:rFonts w:eastAsia="Century Gothic" w:cs="Times New Roman"/>
          <w:bCs/>
          <w:kern w:val="0"/>
          <w:szCs w:val="20"/>
          <w:lang w:bidi="en-US"/>
          <w14:ligatures w14:val="none"/>
        </w:rPr>
        <w:t xml:space="preserve">oraz </w:t>
      </w:r>
      <w:r w:rsidR="00A2380F">
        <w:rPr>
          <w:rFonts w:eastAsia="Century Gothic" w:cs="Times New Roman"/>
          <w:bCs/>
          <w:kern w:val="0"/>
          <w:szCs w:val="20"/>
          <w:lang w:bidi="en-US"/>
          <w14:ligatures w14:val="none"/>
        </w:rPr>
        <w:t>wykorzystanie</w:t>
      </w:r>
      <w:r w:rsidR="00194FC2">
        <w:rPr>
          <w:rFonts w:eastAsia="Century Gothic" w:cs="Times New Roman"/>
          <w:bCs/>
          <w:kern w:val="0"/>
          <w:szCs w:val="20"/>
          <w:lang w:bidi="en-US"/>
          <w14:ligatures w14:val="none"/>
        </w:rPr>
        <w:t xml:space="preserve"> </w:t>
      </w:r>
      <w:r w:rsidRPr="000D711E">
        <w:rPr>
          <w:rFonts w:eastAsia="Century Gothic" w:cs="Times New Roman"/>
          <w:bCs/>
          <w:kern w:val="0"/>
          <w:szCs w:val="20"/>
          <w:lang w:bidi="en-US"/>
          <w14:ligatures w14:val="none"/>
        </w:rPr>
        <w:t>teren</w:t>
      </w:r>
      <w:r w:rsidR="00A2380F">
        <w:rPr>
          <w:rFonts w:eastAsia="Century Gothic" w:cs="Times New Roman"/>
          <w:bCs/>
          <w:kern w:val="0"/>
          <w:szCs w:val="20"/>
          <w:lang w:bidi="en-US"/>
          <w14:ligatures w14:val="none"/>
        </w:rPr>
        <w:t>ów</w:t>
      </w:r>
      <w:r w:rsidRPr="000D711E">
        <w:rPr>
          <w:rFonts w:eastAsia="Century Gothic" w:cs="Times New Roman"/>
          <w:bCs/>
          <w:kern w:val="0"/>
          <w:szCs w:val="20"/>
          <w:lang w:bidi="en-US"/>
          <w14:ligatures w14:val="none"/>
        </w:rPr>
        <w:t xml:space="preserve"> wskazan</w:t>
      </w:r>
      <w:r w:rsidR="00FF032C">
        <w:rPr>
          <w:rFonts w:eastAsia="Century Gothic" w:cs="Times New Roman"/>
          <w:bCs/>
          <w:kern w:val="0"/>
          <w:szCs w:val="20"/>
          <w:lang w:bidi="en-US"/>
          <w14:ligatures w14:val="none"/>
        </w:rPr>
        <w:t>ych</w:t>
      </w:r>
      <w:r w:rsidRPr="000D711E">
        <w:rPr>
          <w:rFonts w:eastAsia="Century Gothic" w:cs="Times New Roman"/>
          <w:bCs/>
          <w:kern w:val="0"/>
          <w:szCs w:val="20"/>
          <w:lang w:bidi="en-US"/>
          <w14:ligatures w14:val="none"/>
        </w:rPr>
        <w:t xml:space="preserve"> do przekształceń funkcjonalnych, niezagospodarowan</w:t>
      </w:r>
      <w:r w:rsidR="00E126BC">
        <w:rPr>
          <w:rFonts w:eastAsia="Century Gothic" w:cs="Times New Roman"/>
          <w:bCs/>
          <w:kern w:val="0"/>
          <w:szCs w:val="20"/>
          <w:lang w:bidi="en-US"/>
          <w14:ligatures w14:val="none"/>
        </w:rPr>
        <w:t>ych</w:t>
      </w:r>
      <w:r w:rsidRPr="000D711E">
        <w:rPr>
          <w:rFonts w:eastAsia="Century Gothic" w:cs="Times New Roman"/>
          <w:bCs/>
          <w:kern w:val="0"/>
          <w:szCs w:val="20"/>
          <w:lang w:bidi="en-US"/>
          <w14:ligatures w14:val="none"/>
        </w:rPr>
        <w:t xml:space="preserve"> </w:t>
      </w:r>
      <w:r w:rsidR="00E126BC" w:rsidRPr="000D711E">
        <w:rPr>
          <w:rFonts w:eastAsia="Century Gothic" w:cs="Times New Roman"/>
          <w:bCs/>
          <w:kern w:val="0"/>
          <w:szCs w:val="20"/>
          <w:lang w:bidi="en-US"/>
          <w14:ligatures w14:val="none"/>
        </w:rPr>
        <w:t>teren</w:t>
      </w:r>
      <w:r w:rsidR="00E126BC">
        <w:rPr>
          <w:rFonts w:eastAsia="Century Gothic" w:cs="Times New Roman"/>
          <w:bCs/>
          <w:kern w:val="0"/>
          <w:szCs w:val="20"/>
          <w:lang w:bidi="en-US"/>
          <w14:ligatures w14:val="none"/>
        </w:rPr>
        <w:t>ów</w:t>
      </w:r>
      <w:r w:rsidR="00E126BC" w:rsidRPr="000D711E">
        <w:rPr>
          <w:rFonts w:eastAsia="Century Gothic" w:cs="Times New Roman"/>
          <w:bCs/>
          <w:kern w:val="0"/>
          <w:szCs w:val="20"/>
          <w:lang w:bidi="en-US"/>
          <w14:ligatures w14:val="none"/>
        </w:rPr>
        <w:t xml:space="preserve"> </w:t>
      </w:r>
      <w:r w:rsidRPr="000D711E">
        <w:rPr>
          <w:rFonts w:eastAsia="Century Gothic" w:cs="Times New Roman"/>
          <w:bCs/>
          <w:kern w:val="0"/>
          <w:szCs w:val="20"/>
          <w:lang w:bidi="en-US"/>
          <w14:ligatures w14:val="none"/>
        </w:rPr>
        <w:t>wyznaczon</w:t>
      </w:r>
      <w:r w:rsidR="00E126BC">
        <w:rPr>
          <w:rFonts w:eastAsia="Century Gothic" w:cs="Times New Roman"/>
          <w:bCs/>
          <w:kern w:val="0"/>
          <w:szCs w:val="20"/>
          <w:lang w:bidi="en-US"/>
          <w14:ligatures w14:val="none"/>
        </w:rPr>
        <w:t>ych</w:t>
      </w:r>
      <w:r w:rsidRPr="000D711E">
        <w:rPr>
          <w:rFonts w:eastAsia="Century Gothic" w:cs="Times New Roman"/>
          <w:bCs/>
          <w:kern w:val="0"/>
          <w:szCs w:val="20"/>
          <w:lang w:bidi="en-US"/>
          <w14:ligatures w14:val="none"/>
        </w:rPr>
        <w:t xml:space="preserve"> w planie</w:t>
      </w:r>
      <w:r w:rsidR="000D711E" w:rsidRPr="000D711E">
        <w:rPr>
          <w:rFonts w:eastAsia="Century Gothic" w:cs="Times New Roman"/>
          <w:bCs/>
          <w:kern w:val="0"/>
          <w:szCs w:val="20"/>
          <w:lang w:bidi="en-US"/>
          <w14:ligatures w14:val="none"/>
        </w:rPr>
        <w:t xml:space="preserve"> </w:t>
      </w:r>
      <w:r w:rsidRPr="000D711E">
        <w:rPr>
          <w:rFonts w:eastAsia="Century Gothic" w:cs="Times New Roman"/>
          <w:bCs/>
          <w:kern w:val="0"/>
          <w:szCs w:val="20"/>
          <w:lang w:bidi="en-US"/>
          <w14:ligatures w14:val="none"/>
        </w:rPr>
        <w:t xml:space="preserve">miejscowym na funkcje przedsiębiorczości, </w:t>
      </w:r>
      <w:r w:rsidR="00E126BC" w:rsidRPr="000D711E">
        <w:rPr>
          <w:rFonts w:eastAsia="Century Gothic" w:cs="Times New Roman"/>
          <w:bCs/>
          <w:kern w:val="0"/>
          <w:szCs w:val="20"/>
          <w:lang w:bidi="en-US"/>
          <w14:ligatures w14:val="none"/>
        </w:rPr>
        <w:t>teren</w:t>
      </w:r>
      <w:r w:rsidR="00E126BC">
        <w:rPr>
          <w:rFonts w:eastAsia="Century Gothic" w:cs="Times New Roman"/>
          <w:bCs/>
          <w:kern w:val="0"/>
          <w:szCs w:val="20"/>
          <w:lang w:bidi="en-US"/>
          <w14:ligatures w14:val="none"/>
        </w:rPr>
        <w:t>ów</w:t>
      </w:r>
      <w:r w:rsidR="00E126BC" w:rsidRPr="000D711E">
        <w:rPr>
          <w:rFonts w:eastAsia="Century Gothic" w:cs="Times New Roman"/>
          <w:bCs/>
          <w:kern w:val="0"/>
          <w:szCs w:val="20"/>
          <w:lang w:bidi="en-US"/>
          <w14:ligatures w14:val="none"/>
        </w:rPr>
        <w:t xml:space="preserve"> </w:t>
      </w:r>
      <w:r w:rsidRPr="000D711E">
        <w:rPr>
          <w:rFonts w:eastAsia="Century Gothic" w:cs="Times New Roman"/>
          <w:bCs/>
          <w:kern w:val="0"/>
          <w:szCs w:val="20"/>
          <w:lang w:bidi="en-US"/>
          <w14:ligatures w14:val="none"/>
        </w:rPr>
        <w:t>roln</w:t>
      </w:r>
      <w:r w:rsidR="00E126BC">
        <w:rPr>
          <w:rFonts w:eastAsia="Century Gothic" w:cs="Times New Roman"/>
          <w:bCs/>
          <w:kern w:val="0"/>
          <w:szCs w:val="20"/>
          <w:lang w:bidi="en-US"/>
          <w14:ligatures w14:val="none"/>
        </w:rPr>
        <w:t>ych</w:t>
      </w:r>
      <w:r w:rsidRPr="000D711E">
        <w:rPr>
          <w:rFonts w:eastAsia="Century Gothic" w:cs="Times New Roman"/>
          <w:bCs/>
          <w:kern w:val="0"/>
          <w:szCs w:val="20"/>
          <w:lang w:bidi="en-US"/>
          <w14:ligatures w14:val="none"/>
        </w:rPr>
        <w:t xml:space="preserve"> o korzystnych warunkach</w:t>
      </w:r>
      <w:r w:rsidR="000D711E" w:rsidRPr="000D711E">
        <w:rPr>
          <w:rFonts w:eastAsia="Century Gothic" w:cs="Times New Roman"/>
          <w:bCs/>
          <w:kern w:val="0"/>
          <w:szCs w:val="20"/>
          <w:lang w:bidi="en-US"/>
          <w14:ligatures w14:val="none"/>
        </w:rPr>
        <w:t xml:space="preserve"> </w:t>
      </w:r>
      <w:r w:rsidRPr="000D711E">
        <w:rPr>
          <w:rFonts w:eastAsia="Century Gothic" w:cs="Times New Roman"/>
          <w:bCs/>
          <w:kern w:val="0"/>
          <w:szCs w:val="20"/>
          <w:lang w:bidi="en-US"/>
          <w14:ligatures w14:val="none"/>
        </w:rPr>
        <w:t>uzbrojenia i obsługi komunikacyjnej na obrzeżach miasta</w:t>
      </w:r>
      <w:r w:rsidR="00E24DA1" w:rsidRPr="000D711E">
        <w:rPr>
          <w:rFonts w:eastAsia="Century Gothic" w:cs="Times New Roman"/>
          <w:bCs/>
          <w:kern w:val="0"/>
          <w:szCs w:val="20"/>
          <w:lang w:bidi="en-US"/>
          <w14:ligatures w14:val="none"/>
        </w:rPr>
        <w:t>;</w:t>
      </w:r>
    </w:p>
    <w:p w14:paraId="4F2DB404" w14:textId="7B64B8F9" w:rsidR="00E24DA1" w:rsidRPr="000A3C96" w:rsidRDefault="00E24DA1">
      <w:pPr>
        <w:numPr>
          <w:ilvl w:val="0"/>
          <w:numId w:val="88"/>
        </w:numPr>
        <w:spacing w:before="120" w:after="200" w:line="276" w:lineRule="auto"/>
        <w:ind w:left="851"/>
        <w:jc w:val="left"/>
        <w:rPr>
          <w:rFonts w:eastAsia="Century Gothic" w:cs="Times New Roman"/>
          <w:bCs/>
          <w:kern w:val="0"/>
          <w:szCs w:val="20"/>
          <w:lang w:bidi="en-US"/>
          <w14:ligatures w14:val="none"/>
        </w:rPr>
      </w:pPr>
      <w:r w:rsidRPr="00E34F28">
        <w:rPr>
          <w:rFonts w:eastAsia="Century Gothic" w:cs="Times New Roman"/>
          <w:b/>
          <w:kern w:val="0"/>
          <w:szCs w:val="20"/>
          <w:lang w:bidi="en-US"/>
          <w14:ligatures w14:val="none"/>
        </w:rPr>
        <w:t>wsie – elementarne ośrodki osadnicze</w:t>
      </w:r>
      <w:r w:rsidR="002E30E6">
        <w:rPr>
          <w:rFonts w:eastAsia="Century Gothic" w:cs="Times New Roman"/>
          <w:bCs/>
          <w:kern w:val="0"/>
          <w:szCs w:val="20"/>
          <w:lang w:bidi="en-US"/>
          <w14:ligatures w14:val="none"/>
        </w:rPr>
        <w:t xml:space="preserve">, </w:t>
      </w:r>
      <w:r w:rsidR="007D77AA">
        <w:rPr>
          <w:rFonts w:eastAsia="Century Gothic" w:cs="Times New Roman"/>
          <w:bCs/>
          <w:kern w:val="0"/>
          <w:szCs w:val="20"/>
          <w:lang w:bidi="en-US"/>
          <w14:ligatures w14:val="none"/>
        </w:rPr>
        <w:t xml:space="preserve">dla których przyjmuje się </w:t>
      </w:r>
      <w:r w:rsidR="007A1397">
        <w:rPr>
          <w:rFonts w:eastAsia="Century Gothic" w:cs="Times New Roman"/>
          <w:bCs/>
          <w:kern w:val="0"/>
          <w:szCs w:val="20"/>
          <w:lang w:bidi="en-US"/>
          <w14:ligatures w14:val="none"/>
        </w:rPr>
        <w:t xml:space="preserve">rozwój funkcji służących </w:t>
      </w:r>
      <w:r w:rsidR="007D77AA" w:rsidRPr="007D77AA">
        <w:rPr>
          <w:rFonts w:eastAsia="Century Gothic" w:cs="Times New Roman"/>
          <w:bCs/>
          <w:kern w:val="0"/>
          <w:szCs w:val="20"/>
          <w:lang w:bidi="en-US"/>
          <w14:ligatures w14:val="none"/>
        </w:rPr>
        <w:t>zaspokajani</w:t>
      </w:r>
      <w:r w:rsidR="007A1397">
        <w:rPr>
          <w:rFonts w:eastAsia="Century Gothic" w:cs="Times New Roman"/>
          <w:bCs/>
          <w:kern w:val="0"/>
          <w:szCs w:val="20"/>
          <w:lang w:bidi="en-US"/>
          <w14:ligatures w14:val="none"/>
        </w:rPr>
        <w:t>u</w:t>
      </w:r>
      <w:r w:rsidR="007D77AA" w:rsidRPr="007D77AA">
        <w:rPr>
          <w:rFonts w:eastAsia="Century Gothic" w:cs="Times New Roman"/>
          <w:bCs/>
          <w:kern w:val="0"/>
          <w:szCs w:val="20"/>
          <w:lang w:bidi="en-US"/>
          <w14:ligatures w14:val="none"/>
        </w:rPr>
        <w:t xml:space="preserve"> </w:t>
      </w:r>
      <w:r w:rsidR="00496D39">
        <w:rPr>
          <w:rFonts w:eastAsia="Century Gothic" w:cs="Times New Roman"/>
          <w:bCs/>
          <w:kern w:val="0"/>
          <w:szCs w:val="20"/>
          <w:lang w:bidi="en-US"/>
          <w14:ligatures w14:val="none"/>
        </w:rPr>
        <w:t xml:space="preserve">podstawowych </w:t>
      </w:r>
      <w:r w:rsidR="007D77AA" w:rsidRPr="007D77AA">
        <w:rPr>
          <w:rFonts w:eastAsia="Century Gothic" w:cs="Times New Roman"/>
          <w:bCs/>
          <w:kern w:val="0"/>
          <w:szCs w:val="20"/>
          <w:lang w:bidi="en-US"/>
          <w14:ligatures w14:val="none"/>
        </w:rPr>
        <w:t>potrzeb społeczności w wymiarze lokalnym</w:t>
      </w:r>
      <w:r w:rsidR="00503326">
        <w:rPr>
          <w:rFonts w:eastAsia="Century Gothic" w:cs="Times New Roman"/>
          <w:bCs/>
          <w:kern w:val="0"/>
          <w:szCs w:val="20"/>
          <w:lang w:bidi="en-US"/>
          <w14:ligatures w14:val="none"/>
        </w:rPr>
        <w:t xml:space="preserve">, ponadto </w:t>
      </w:r>
      <w:r w:rsidR="002E30E6">
        <w:rPr>
          <w:rFonts w:eastAsia="Century Gothic" w:cs="Times New Roman"/>
          <w:bCs/>
          <w:kern w:val="0"/>
          <w:szCs w:val="20"/>
          <w:lang w:bidi="en-US"/>
          <w14:ligatures w14:val="none"/>
        </w:rPr>
        <w:t xml:space="preserve">– ze </w:t>
      </w:r>
      <w:r w:rsidR="00164232">
        <w:rPr>
          <w:rFonts w:eastAsia="Century Gothic" w:cs="Times New Roman"/>
          <w:bCs/>
          <w:kern w:val="0"/>
          <w:szCs w:val="20"/>
          <w:lang w:bidi="en-US"/>
          <w14:ligatures w14:val="none"/>
        </w:rPr>
        <w:t xml:space="preserve">względu na uwarunkowania społeczno-gospodarcze i środowiskowe – </w:t>
      </w:r>
      <w:r w:rsidR="001E09E0">
        <w:rPr>
          <w:rFonts w:eastAsia="Century Gothic" w:cs="Times New Roman"/>
          <w:bCs/>
          <w:kern w:val="0"/>
          <w:szCs w:val="20"/>
          <w:lang w:bidi="en-US"/>
          <w14:ligatures w14:val="none"/>
        </w:rPr>
        <w:t xml:space="preserve">wśród nich </w:t>
      </w:r>
      <w:r w:rsidR="00164232">
        <w:rPr>
          <w:rFonts w:eastAsia="Century Gothic" w:cs="Times New Roman"/>
          <w:bCs/>
          <w:kern w:val="0"/>
          <w:szCs w:val="20"/>
          <w:lang w:bidi="en-US"/>
          <w14:ligatures w14:val="none"/>
        </w:rPr>
        <w:t>wyróżnia się</w:t>
      </w:r>
      <w:r w:rsidR="001E09E0">
        <w:rPr>
          <w:rFonts w:eastAsia="Century Gothic" w:cs="Times New Roman"/>
          <w:bCs/>
          <w:kern w:val="0"/>
          <w:szCs w:val="20"/>
          <w:lang w:bidi="en-US"/>
          <w14:ligatures w14:val="none"/>
        </w:rPr>
        <w:t xml:space="preserve"> ośrodki</w:t>
      </w:r>
      <w:r w:rsidR="00DA1E2F">
        <w:rPr>
          <w:rFonts w:eastAsia="Century Gothic" w:cs="Times New Roman"/>
          <w:bCs/>
          <w:kern w:val="0"/>
          <w:szCs w:val="20"/>
          <w:lang w:bidi="en-US"/>
          <w14:ligatures w14:val="none"/>
        </w:rPr>
        <w:t xml:space="preserve"> rozwoju, obok funkcji osadniczej, także funkcji </w:t>
      </w:r>
      <w:r w:rsidR="00F7778A">
        <w:rPr>
          <w:rFonts w:eastAsia="Century Gothic" w:cs="Times New Roman"/>
          <w:bCs/>
          <w:kern w:val="0"/>
          <w:szCs w:val="20"/>
          <w:lang w:bidi="en-US"/>
          <w14:ligatures w14:val="none"/>
        </w:rPr>
        <w:t>turystycznej i gospodarczej, tj.</w:t>
      </w:r>
      <w:r w:rsidR="001E09E0">
        <w:rPr>
          <w:rFonts w:eastAsia="Century Gothic" w:cs="Times New Roman"/>
          <w:bCs/>
          <w:kern w:val="0"/>
          <w:szCs w:val="20"/>
          <w:lang w:bidi="en-US"/>
          <w14:ligatures w14:val="none"/>
        </w:rPr>
        <w:t>:</w:t>
      </w:r>
      <w:r w:rsidRPr="000A3C96">
        <w:rPr>
          <w:rFonts w:eastAsia="Century Gothic" w:cs="Times New Roman"/>
          <w:bCs/>
          <w:kern w:val="0"/>
          <w:szCs w:val="20"/>
          <w:lang w:bidi="en-US"/>
          <w14:ligatures w14:val="none"/>
        </w:rPr>
        <w:t xml:space="preserve"> </w:t>
      </w:r>
    </w:p>
    <w:p w14:paraId="5FEA4F5B" w14:textId="0401ECBE" w:rsidR="000B4ADE" w:rsidRPr="000A3C96" w:rsidRDefault="000B4ADE">
      <w:pPr>
        <w:numPr>
          <w:ilvl w:val="0"/>
          <w:numId w:val="89"/>
        </w:numPr>
        <w:spacing w:before="120" w:after="200" w:line="276" w:lineRule="auto"/>
        <w:ind w:left="1276" w:hanging="357"/>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ośrodki rozwoju funkcji turystycznej (turystyka, rekreacja, agroturystyka) – Kluczkowice-Osiedle, Pomorze, Niezdów, Wrzelowiec, Emilcin,</w:t>
      </w:r>
    </w:p>
    <w:p w14:paraId="0D0E3C04" w14:textId="5E8FCF11" w:rsidR="000B4ADE" w:rsidRDefault="000B4ADE">
      <w:pPr>
        <w:numPr>
          <w:ilvl w:val="0"/>
          <w:numId w:val="89"/>
        </w:numPr>
        <w:spacing w:before="120" w:after="200" w:line="276" w:lineRule="auto"/>
        <w:ind w:left="1276" w:hanging="357"/>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ośrodki rozwoju funkcji gospodarczej – Elżbieta, Wola Rudzka, Kluczkowice, Kluczkowice-Osiedle</w:t>
      </w:r>
      <w:r w:rsidR="00182613">
        <w:rPr>
          <w:rFonts w:eastAsia="Century Gothic" w:cs="Times New Roman"/>
          <w:bCs/>
          <w:kern w:val="0"/>
          <w:szCs w:val="20"/>
          <w:lang w:bidi="en-US"/>
          <w14:ligatures w14:val="none"/>
        </w:rPr>
        <w:t>.</w:t>
      </w:r>
    </w:p>
    <w:p w14:paraId="2CE04F3C" w14:textId="77777777" w:rsidR="00257C67" w:rsidRDefault="00E24DA1" w:rsidP="000B4ADE">
      <w:pPr>
        <w:spacing w:before="120"/>
        <w:ind w:left="851"/>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W odniesieniu do ośrodków </w:t>
      </w:r>
      <w:r w:rsidR="002E30E6">
        <w:rPr>
          <w:rFonts w:eastAsia="Century Gothic" w:cs="Times New Roman"/>
          <w:bCs/>
          <w:kern w:val="0"/>
          <w:szCs w:val="20"/>
          <w:lang w:bidi="en-US"/>
          <w14:ligatures w14:val="none"/>
        </w:rPr>
        <w:t xml:space="preserve">wiejskich sieci osadniczej </w:t>
      </w:r>
      <w:r w:rsidRPr="000A3C96">
        <w:rPr>
          <w:rFonts w:eastAsia="Century Gothic" w:cs="Times New Roman"/>
          <w:bCs/>
          <w:kern w:val="0"/>
          <w:szCs w:val="20"/>
          <w:lang w:bidi="en-US"/>
          <w14:ligatures w14:val="none"/>
        </w:rPr>
        <w:t>zakłada się działania rozwojowe ukierunkowane na odnowę wsi m. in. poprzez</w:t>
      </w:r>
      <w:r w:rsidR="00257C67">
        <w:rPr>
          <w:rFonts w:eastAsia="Century Gothic" w:cs="Times New Roman"/>
          <w:bCs/>
          <w:kern w:val="0"/>
          <w:szCs w:val="20"/>
          <w:lang w:bidi="en-US"/>
          <w14:ligatures w14:val="none"/>
        </w:rPr>
        <w:t>:</w:t>
      </w:r>
    </w:p>
    <w:p w14:paraId="6AF3D794" w14:textId="77777777" w:rsidR="00257C67" w:rsidRDefault="00E24DA1">
      <w:pPr>
        <w:pStyle w:val="Akapitzlist"/>
        <w:numPr>
          <w:ilvl w:val="0"/>
          <w:numId w:val="100"/>
        </w:numPr>
        <w:spacing w:before="120"/>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realizację atrakcyjnych przestrzeni publicznych z wykorzystaniem lokalnych usług, </w:t>
      </w:r>
    </w:p>
    <w:p w14:paraId="275FCA55" w14:textId="3F1BC00B" w:rsidR="00E24DA1" w:rsidRPr="000A3C96" w:rsidRDefault="00E24DA1">
      <w:pPr>
        <w:pStyle w:val="Akapitzlist"/>
        <w:numPr>
          <w:ilvl w:val="0"/>
          <w:numId w:val="100"/>
        </w:numPr>
        <w:spacing w:before="120"/>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wspieranie rozwoju wyspecjalizowanych funkcji ośrodków w oparciu o lokalne zasoby środowiskowe, przyrodnicze i kulturowe,</w:t>
      </w:r>
    </w:p>
    <w:p w14:paraId="650981D6" w14:textId="77777777" w:rsidR="00215D3A" w:rsidRDefault="00257C67">
      <w:pPr>
        <w:pStyle w:val="Akapitzlist"/>
        <w:numPr>
          <w:ilvl w:val="0"/>
          <w:numId w:val="100"/>
        </w:numPr>
        <w:spacing w:before="120"/>
        <w:rPr>
          <w:rFonts w:eastAsia="Century Gothic" w:cs="Times New Roman"/>
          <w:bCs/>
          <w:kern w:val="0"/>
          <w:szCs w:val="20"/>
          <w:lang w:bidi="en-US"/>
          <w14:ligatures w14:val="none"/>
        </w:rPr>
      </w:pPr>
      <w:r>
        <w:rPr>
          <w:rFonts w:eastAsia="Century Gothic" w:cs="Times New Roman"/>
          <w:bCs/>
          <w:kern w:val="0"/>
          <w:szCs w:val="20"/>
          <w:lang w:bidi="en-US"/>
          <w14:ligatures w14:val="none"/>
        </w:rPr>
        <w:t>r</w:t>
      </w:r>
      <w:r w:rsidR="00FE602E" w:rsidRPr="00FE602E">
        <w:rPr>
          <w:rFonts w:eastAsia="Century Gothic" w:cs="Times New Roman"/>
          <w:bCs/>
          <w:kern w:val="0"/>
          <w:szCs w:val="20"/>
          <w:lang w:bidi="en-US"/>
          <w14:ligatures w14:val="none"/>
        </w:rPr>
        <w:t>ozbudow</w:t>
      </w:r>
      <w:r>
        <w:rPr>
          <w:rFonts w:eastAsia="Century Gothic" w:cs="Times New Roman"/>
          <w:bCs/>
          <w:kern w:val="0"/>
          <w:szCs w:val="20"/>
          <w:lang w:bidi="en-US"/>
          <w14:ligatures w14:val="none"/>
        </w:rPr>
        <w:t>ę</w:t>
      </w:r>
      <w:r w:rsidR="00FE602E" w:rsidRPr="00FE602E">
        <w:rPr>
          <w:rFonts w:eastAsia="Century Gothic" w:cs="Times New Roman"/>
          <w:bCs/>
          <w:kern w:val="0"/>
          <w:szCs w:val="20"/>
          <w:lang w:bidi="en-US"/>
          <w14:ligatures w14:val="none"/>
        </w:rPr>
        <w:t xml:space="preserve"> i dywersyfikacj</w:t>
      </w:r>
      <w:r>
        <w:rPr>
          <w:rFonts w:eastAsia="Century Gothic" w:cs="Times New Roman"/>
          <w:bCs/>
          <w:kern w:val="0"/>
          <w:szCs w:val="20"/>
          <w:lang w:bidi="en-US"/>
          <w14:ligatures w14:val="none"/>
        </w:rPr>
        <w:t>ę</w:t>
      </w:r>
      <w:r w:rsidR="00FE602E" w:rsidRPr="00FE602E">
        <w:rPr>
          <w:rFonts w:eastAsia="Century Gothic" w:cs="Times New Roman"/>
          <w:bCs/>
          <w:kern w:val="0"/>
          <w:szCs w:val="20"/>
          <w:lang w:bidi="en-US"/>
          <w14:ligatures w14:val="none"/>
        </w:rPr>
        <w:t xml:space="preserve"> bazy ekonomicznej</w:t>
      </w:r>
      <w:r>
        <w:rPr>
          <w:rFonts w:eastAsia="Century Gothic" w:cs="Times New Roman"/>
          <w:bCs/>
          <w:kern w:val="0"/>
          <w:szCs w:val="20"/>
          <w:lang w:bidi="en-US"/>
          <w14:ligatures w14:val="none"/>
        </w:rPr>
        <w:t xml:space="preserve">, </w:t>
      </w:r>
      <w:r w:rsidR="00FE602E" w:rsidRPr="00FE602E">
        <w:rPr>
          <w:rFonts w:eastAsia="Century Gothic" w:cs="Times New Roman"/>
          <w:bCs/>
          <w:kern w:val="0"/>
          <w:szCs w:val="20"/>
          <w:lang w:bidi="en-US"/>
          <w14:ligatures w14:val="none"/>
        </w:rPr>
        <w:t>w tym rozwój pozarolniczej przedsiębiorczości mieszkańców gminy i tworzenie warunków do rozwoju małych i średnich przedsiębiorstw</w:t>
      </w:r>
      <w:r w:rsidR="00215D3A">
        <w:rPr>
          <w:rFonts w:eastAsia="Century Gothic" w:cs="Times New Roman"/>
          <w:bCs/>
          <w:kern w:val="0"/>
          <w:szCs w:val="20"/>
          <w:lang w:bidi="en-US"/>
          <w14:ligatures w14:val="none"/>
        </w:rPr>
        <w:t>,</w:t>
      </w:r>
    </w:p>
    <w:p w14:paraId="146666AE" w14:textId="2E5893A9" w:rsidR="00E24DA1" w:rsidRPr="002D3114" w:rsidRDefault="00FE602E">
      <w:pPr>
        <w:pStyle w:val="Akapitzlist"/>
        <w:numPr>
          <w:ilvl w:val="0"/>
          <w:numId w:val="100"/>
        </w:numPr>
        <w:spacing w:before="120"/>
        <w:rPr>
          <w:rFonts w:eastAsia="Century Gothic" w:cs="Times New Roman"/>
          <w:bCs/>
          <w:kern w:val="0"/>
          <w:szCs w:val="20"/>
          <w:lang w:bidi="en-US"/>
          <w14:ligatures w14:val="none"/>
        </w:rPr>
      </w:pPr>
      <w:r w:rsidRPr="00FE602E">
        <w:rPr>
          <w:rFonts w:eastAsia="Century Gothic" w:cs="Times New Roman"/>
          <w:bCs/>
          <w:kern w:val="0"/>
          <w:szCs w:val="20"/>
          <w:lang w:bidi="en-US"/>
          <w14:ligatures w14:val="none"/>
        </w:rPr>
        <w:t>pobudzanie atrakcyjności inwestycyjnej</w:t>
      </w:r>
      <w:r w:rsidR="002D3114" w:rsidRPr="002D3114">
        <w:rPr>
          <w:rFonts w:eastAsia="Century Gothic" w:cs="Times New Roman"/>
          <w:bCs/>
          <w:kern w:val="0"/>
          <w:szCs w:val="20"/>
          <w:lang w:bidi="en-US"/>
          <w14:ligatures w14:val="none"/>
        </w:rPr>
        <w:t>, w tym przygotowanie i uzbrojenie stref aktywności gospodarczej, jako</w:t>
      </w:r>
      <w:r w:rsidR="002D3114">
        <w:rPr>
          <w:rFonts w:eastAsia="Century Gothic" w:cs="Times New Roman"/>
          <w:bCs/>
          <w:kern w:val="0"/>
          <w:szCs w:val="20"/>
          <w:lang w:bidi="en-US"/>
          <w14:ligatures w14:val="none"/>
        </w:rPr>
        <w:t xml:space="preserve"> </w:t>
      </w:r>
      <w:r w:rsidR="002D3114" w:rsidRPr="002D3114">
        <w:rPr>
          <w:rFonts w:eastAsia="Century Gothic" w:cs="Times New Roman"/>
          <w:bCs/>
          <w:kern w:val="0"/>
          <w:szCs w:val="20"/>
          <w:lang w:bidi="en-US"/>
          <w14:ligatures w14:val="none"/>
        </w:rPr>
        <w:t>obszarów ofertowych</w:t>
      </w:r>
      <w:r w:rsidR="00E24DA1" w:rsidRPr="002D3114">
        <w:rPr>
          <w:rFonts w:eastAsia="Century Gothic" w:cs="Times New Roman"/>
          <w:bCs/>
          <w:kern w:val="0"/>
          <w:szCs w:val="20"/>
          <w:lang w:bidi="en-US"/>
          <w14:ligatures w14:val="none"/>
        </w:rPr>
        <w:t xml:space="preserve">; </w:t>
      </w:r>
    </w:p>
    <w:p w14:paraId="3E3CE2A9" w14:textId="0A2DDE6E" w:rsidR="000A3C96" w:rsidRPr="004C3FBD" w:rsidRDefault="00836EB1">
      <w:pPr>
        <w:keepNext/>
        <w:numPr>
          <w:ilvl w:val="0"/>
          <w:numId w:val="87"/>
        </w:numPr>
        <w:spacing w:before="120" w:after="200" w:line="276" w:lineRule="auto"/>
        <w:ind w:left="284"/>
        <w:jc w:val="left"/>
        <w:rPr>
          <w:rFonts w:eastAsia="Century Gothic" w:cs="Times New Roman"/>
          <w:bCs/>
          <w:kern w:val="0"/>
          <w:szCs w:val="20"/>
          <w:lang w:bidi="en-US"/>
          <w14:ligatures w14:val="none"/>
        </w:rPr>
      </w:pPr>
      <w:r w:rsidRPr="004C3FBD">
        <w:rPr>
          <w:rFonts w:eastAsia="Century Gothic" w:cs="Times New Roman"/>
          <w:b/>
          <w:kern w:val="0"/>
          <w:szCs w:val="20"/>
          <w:lang w:bidi="en-US"/>
          <w14:ligatures w14:val="none"/>
        </w:rPr>
        <w:t xml:space="preserve">system </w:t>
      </w:r>
      <w:r w:rsidR="003E4205" w:rsidRPr="004C3FBD">
        <w:rPr>
          <w:rFonts w:eastAsia="Century Gothic" w:cs="Times New Roman"/>
          <w:b/>
          <w:kern w:val="0"/>
          <w:szCs w:val="20"/>
          <w:lang w:bidi="en-US"/>
          <w14:ligatures w14:val="none"/>
        </w:rPr>
        <w:t>powiązań przyrodniczych</w:t>
      </w:r>
      <w:r w:rsidR="00AF5550" w:rsidRPr="004C3FBD">
        <w:rPr>
          <w:rFonts w:eastAsia="Century Gothic" w:cs="Times New Roman"/>
          <w:bCs/>
          <w:kern w:val="0"/>
          <w:szCs w:val="20"/>
          <w:lang w:bidi="en-US"/>
          <w14:ligatures w14:val="none"/>
        </w:rPr>
        <w:t xml:space="preserve">, który stanowi </w:t>
      </w:r>
      <w:r w:rsidR="000A3C96" w:rsidRPr="004C3FBD">
        <w:rPr>
          <w:rFonts w:eastAsia="Century Gothic" w:cs="Times New Roman"/>
          <w:bCs/>
          <w:kern w:val="0"/>
          <w:szCs w:val="20"/>
          <w:lang w:bidi="en-US"/>
          <w14:ligatures w14:val="none"/>
        </w:rPr>
        <w:t xml:space="preserve">System Przyrodniczy Gminy (SPG), będący elementem </w:t>
      </w:r>
      <w:r w:rsidR="000D387C">
        <w:rPr>
          <w:rFonts w:eastAsia="Century Gothic" w:cs="Times New Roman"/>
          <w:bCs/>
          <w:kern w:val="0"/>
          <w:szCs w:val="20"/>
          <w:lang w:bidi="en-US"/>
          <w14:ligatures w14:val="none"/>
        </w:rPr>
        <w:t xml:space="preserve">struktury </w:t>
      </w:r>
      <w:r w:rsidR="000A3C96" w:rsidRPr="004C3FBD">
        <w:rPr>
          <w:rFonts w:eastAsia="Century Gothic" w:cs="Times New Roman"/>
          <w:bCs/>
          <w:kern w:val="0"/>
          <w:szCs w:val="20"/>
          <w:lang w:bidi="en-US"/>
          <w14:ligatures w14:val="none"/>
        </w:rPr>
        <w:t xml:space="preserve">o wiodącej funkcji przyrodniczej, </w:t>
      </w:r>
      <w:r w:rsidR="00172E27" w:rsidRPr="004C3FBD">
        <w:rPr>
          <w:rFonts w:eastAsia="Century Gothic" w:cs="Times New Roman"/>
          <w:bCs/>
          <w:kern w:val="0"/>
          <w:szCs w:val="20"/>
          <w:lang w:bidi="en-US"/>
          <w14:ligatures w14:val="none"/>
        </w:rPr>
        <w:t xml:space="preserve">dla którego </w:t>
      </w:r>
      <w:r w:rsidR="00524FA5" w:rsidRPr="004C3FBD">
        <w:rPr>
          <w:rFonts w:eastAsia="Century Gothic" w:cs="Times New Roman"/>
          <w:bCs/>
          <w:kern w:val="0"/>
          <w:szCs w:val="20"/>
          <w:lang w:bidi="en-US"/>
          <w14:ligatures w14:val="none"/>
        </w:rPr>
        <w:t xml:space="preserve">przyjmuje się podporządkowanie wszelkiej działalności utrzymaniu wartości przyrodniczych </w:t>
      </w:r>
      <w:r w:rsidR="004C3FBD" w:rsidRPr="004C3FBD">
        <w:rPr>
          <w:rFonts w:eastAsia="Century Gothic" w:cs="Times New Roman"/>
          <w:bCs/>
          <w:kern w:val="0"/>
          <w:szCs w:val="20"/>
          <w:lang w:bidi="en-US"/>
          <w14:ligatures w14:val="none"/>
        </w:rPr>
        <w:t>oraz ciągłości powiązań ekologicznych</w:t>
      </w:r>
      <w:r w:rsidR="00A21248">
        <w:rPr>
          <w:rFonts w:eastAsia="Century Gothic" w:cs="Times New Roman"/>
          <w:bCs/>
          <w:kern w:val="0"/>
          <w:szCs w:val="20"/>
          <w:lang w:bidi="en-US"/>
          <w14:ligatures w14:val="none"/>
        </w:rPr>
        <w:t>.</w:t>
      </w:r>
      <w:r w:rsidR="004C3FBD" w:rsidRPr="004C3FBD">
        <w:rPr>
          <w:rFonts w:eastAsia="Century Gothic" w:cs="Times New Roman"/>
          <w:bCs/>
          <w:kern w:val="0"/>
          <w:szCs w:val="20"/>
          <w:lang w:bidi="en-US"/>
          <w14:ligatures w14:val="none"/>
        </w:rPr>
        <w:t xml:space="preserve"> </w:t>
      </w:r>
      <w:r w:rsidR="00A21248">
        <w:rPr>
          <w:rFonts w:eastAsia="Century Gothic" w:cs="Times New Roman"/>
          <w:bCs/>
          <w:kern w:val="0"/>
          <w:szCs w:val="20"/>
          <w:lang w:bidi="en-US"/>
          <w14:ligatures w14:val="none"/>
        </w:rPr>
        <w:t>N</w:t>
      </w:r>
      <w:r w:rsidR="004C3FBD" w:rsidRPr="004C3FBD">
        <w:rPr>
          <w:rFonts w:eastAsia="Century Gothic" w:cs="Times New Roman"/>
          <w:bCs/>
          <w:kern w:val="0"/>
          <w:szCs w:val="20"/>
          <w:lang w:bidi="en-US"/>
          <w14:ligatures w14:val="none"/>
        </w:rPr>
        <w:t xml:space="preserve">a system ten składają się </w:t>
      </w:r>
      <w:r w:rsidR="000A3C96" w:rsidRPr="004C3FBD">
        <w:rPr>
          <w:rFonts w:eastAsia="Century Gothic" w:cs="Times New Roman"/>
          <w:bCs/>
          <w:kern w:val="0"/>
          <w:szCs w:val="20"/>
          <w:lang w:bidi="en-US"/>
          <w14:ligatures w14:val="none"/>
        </w:rPr>
        <w:t>elementy przyrody nieożywionej i ożywionej powiązane ze sobą funkcjonalnie i przestrzennie, tworząc spójną całość, tj.:</w:t>
      </w:r>
    </w:p>
    <w:p w14:paraId="40D044D6" w14:textId="77777777" w:rsidR="000A3C96" w:rsidRPr="000A3C96" w:rsidRDefault="000A3C96">
      <w:pPr>
        <w:numPr>
          <w:ilvl w:val="0"/>
          <w:numId w:val="83"/>
        </w:numPr>
        <w:spacing w:before="120" w:after="200" w:line="276" w:lineRule="auto"/>
        <w:jc w:val="left"/>
        <w:rPr>
          <w:rFonts w:eastAsia="Century Gothic" w:cs="Times New Roman"/>
          <w:bCs/>
          <w:kern w:val="0"/>
          <w:szCs w:val="20"/>
          <w:lang w:bidi="en-US"/>
          <w14:ligatures w14:val="none"/>
        </w:rPr>
      </w:pPr>
      <w:r w:rsidRPr="000A3C96">
        <w:rPr>
          <w:rFonts w:eastAsia="Century Gothic" w:cs="Times New Roman"/>
          <w:b/>
          <w:bCs/>
          <w:iCs/>
          <w:kern w:val="0"/>
          <w:szCs w:val="20"/>
          <w:lang w:bidi="en-US"/>
          <w14:ligatures w14:val="none"/>
        </w:rPr>
        <w:t xml:space="preserve">przyrodnicze obszary węzłowe </w:t>
      </w:r>
      <w:r w:rsidRPr="000A3C96">
        <w:rPr>
          <w:rFonts w:eastAsia="Century Gothic" w:cs="Times New Roman"/>
          <w:iCs/>
          <w:kern w:val="0"/>
          <w:szCs w:val="20"/>
          <w:lang w:bidi="en-US"/>
          <w14:ligatures w14:val="none"/>
        </w:rPr>
        <w:t>stanowiące najcenniejsze przyrodniczo tereny, często o znaczeniu ponadlokalnym, wymagają specjalnego potraktowania i ochrony we wszystkich koncepcjach zagospodarowania przestrzennego; obszary te cechuje różnorodność korzystnych warunków przyrody nieożywionej, w tym szczególnie geomorfologicznych i hydrogeograficznych</w:t>
      </w:r>
      <w:r w:rsidRPr="000A3C96">
        <w:rPr>
          <w:rFonts w:eastAsia="Century Gothic" w:cs="Times New Roman"/>
          <w:bCs/>
          <w:kern w:val="0"/>
          <w:szCs w:val="20"/>
          <w:lang w:bidi="en-US"/>
          <w14:ligatures w14:val="none"/>
        </w:rPr>
        <w:t xml:space="preserve">; </w:t>
      </w:r>
    </w:p>
    <w:p w14:paraId="10ED9E9C" w14:textId="77777777" w:rsidR="000A3C96" w:rsidRPr="000A3C96" w:rsidRDefault="000A3C96" w:rsidP="000A3C96">
      <w:pPr>
        <w:spacing w:before="120"/>
        <w:ind w:left="720"/>
        <w:rPr>
          <w:rFonts w:eastAsia="Century Gothic" w:cs="Times New Roman"/>
          <w:iCs/>
          <w:kern w:val="0"/>
          <w:szCs w:val="20"/>
          <w:lang w:bidi="en-US"/>
          <w14:ligatures w14:val="none"/>
        </w:rPr>
      </w:pPr>
      <w:r w:rsidRPr="000A3C96">
        <w:rPr>
          <w:rFonts w:eastAsia="Century Gothic" w:cs="Times New Roman"/>
          <w:b/>
          <w:bCs/>
          <w:i/>
          <w:kern w:val="0"/>
          <w:szCs w:val="20"/>
          <w:lang w:bidi="en-US"/>
          <w14:ligatures w14:val="none"/>
        </w:rPr>
        <w:t>Wrzelowiecki Obszar Węzłowy</w:t>
      </w:r>
      <w:r w:rsidRPr="000A3C96">
        <w:rPr>
          <w:rFonts w:eastAsia="Century Gothic" w:cs="Times New Roman"/>
          <w:iCs/>
          <w:kern w:val="0"/>
          <w:szCs w:val="20"/>
          <w:lang w:bidi="en-US"/>
          <w14:ligatures w14:val="none"/>
        </w:rPr>
        <w:t xml:space="preserve"> – obejmuje leśny fragment Wrzelowieckiego Parku Krajobrazowego, którego rangę określają: lasy ochronne w zwartym kompleksie lasów </w:t>
      </w:r>
      <w:r w:rsidRPr="000A3C96">
        <w:rPr>
          <w:rFonts w:eastAsia="Century Gothic" w:cs="Times New Roman"/>
          <w:iCs/>
          <w:kern w:val="0"/>
          <w:szCs w:val="20"/>
          <w:lang w:bidi="en-US"/>
          <w14:ligatures w14:val="none"/>
        </w:rPr>
        <w:lastRenderedPageBreak/>
        <w:t>wyżynnych, projektowane dwa leśne rezerwaty przyrody, wysokie walory krajobrazowe (suche doliny, wąwozy, dolina Wrzelowianki), rejon występowania cennych gatunków flory i fauny oraz środowiskowotwórcza rola zbiornika retencyjnego.</w:t>
      </w:r>
    </w:p>
    <w:p w14:paraId="06EA8A7C" w14:textId="77777777" w:rsidR="000A3C96" w:rsidRPr="000A3C96" w:rsidRDefault="000A3C96" w:rsidP="000A3C96">
      <w:pPr>
        <w:spacing w:before="120"/>
        <w:ind w:left="720"/>
        <w:rPr>
          <w:rFonts w:eastAsia="Century Gothic" w:cs="Times New Roman"/>
          <w:iCs/>
          <w:kern w:val="0"/>
          <w:szCs w:val="20"/>
          <w:lang w:bidi="en-US"/>
          <w14:ligatures w14:val="none"/>
        </w:rPr>
      </w:pPr>
      <w:r w:rsidRPr="000A3C96">
        <w:rPr>
          <w:rFonts w:eastAsia="Century Gothic" w:cs="Times New Roman"/>
          <w:b/>
          <w:bCs/>
          <w:i/>
          <w:kern w:val="0"/>
          <w:szCs w:val="20"/>
          <w:lang w:bidi="en-US"/>
          <w14:ligatures w14:val="none"/>
        </w:rPr>
        <w:t>Chodelski Obszar Węzłowy</w:t>
      </w:r>
      <w:r w:rsidRPr="000A3C96">
        <w:rPr>
          <w:rFonts w:eastAsia="Century Gothic" w:cs="Times New Roman"/>
          <w:iCs/>
          <w:kern w:val="0"/>
          <w:szCs w:val="20"/>
          <w:lang w:bidi="en-US"/>
          <w14:ligatures w14:val="none"/>
        </w:rPr>
        <w:t xml:space="preserve"> – obejmuje zwarty kompleks borowy z rozległymi dolinami Jankówki (Leonki) i Chodelki Chodelskiego Obszaru Chronionego Krajobrazu; o jego randze przyrodniczej i walorach środowiskowych decydują: projektowany zespół przyrodniczo-krajobrazowy, chronione i rzadkie gatunki fauny i flory w dolinach i sąsiedztwie zbiorników wodnych, zlewnia chroniona Chodelki, siedliska borów wilgotnych i bagiennych, rzadkich w tej części Lubelszczyzny oraz wysokie walory estetyczno-krajobrazowe: przenikanie krajobrazów, wydmy, doliny, stawy, zbiorniki wodne.</w:t>
      </w:r>
    </w:p>
    <w:p w14:paraId="6ECF7948" w14:textId="77777777" w:rsidR="000A3C96" w:rsidRPr="000A3C96" w:rsidRDefault="000A3C96">
      <w:pPr>
        <w:numPr>
          <w:ilvl w:val="0"/>
          <w:numId w:val="83"/>
        </w:numPr>
        <w:spacing w:before="120" w:after="200" w:line="276" w:lineRule="auto"/>
        <w:jc w:val="left"/>
        <w:rPr>
          <w:rFonts w:eastAsia="Century Gothic" w:cs="Times New Roman"/>
          <w:bCs/>
          <w:kern w:val="0"/>
          <w:szCs w:val="20"/>
          <w:lang w:bidi="en-US"/>
          <w14:ligatures w14:val="none"/>
        </w:rPr>
      </w:pPr>
      <w:r w:rsidRPr="000A3C96">
        <w:rPr>
          <w:rFonts w:eastAsia="Century Gothic" w:cs="Times New Roman"/>
          <w:b/>
          <w:bCs/>
          <w:iCs/>
          <w:kern w:val="0"/>
          <w:szCs w:val="20"/>
          <w:lang w:bidi="en-US"/>
          <w14:ligatures w14:val="none"/>
        </w:rPr>
        <w:t xml:space="preserve">leśne i dolinne obszary węzłowe </w:t>
      </w:r>
      <w:r w:rsidRPr="000A3C96">
        <w:rPr>
          <w:rFonts w:eastAsia="Century Gothic" w:cs="Times New Roman"/>
          <w:iCs/>
          <w:kern w:val="0"/>
          <w:szCs w:val="20"/>
          <w:lang w:bidi="en-US"/>
          <w14:ligatures w14:val="none"/>
        </w:rPr>
        <w:t>– to tereny wspomagające przyrodnicze obszary węzłowe, o mniejszej bioróżnorodności, często monogatunkowe, ale o dużej prężności ekologicznej; środowiskowotwórcze znaczenie terenów dolinnych, polegające na nagromadzeniu ekosystemów wodno-leśno-torfowiskowych narażona na antropogenne przekształcenia (głównie wynikające z funkcji rolniczej) wymagają zachowania, wzbogacania biologicznego i ochrony</w:t>
      </w:r>
      <w:r w:rsidRPr="000A3C96">
        <w:rPr>
          <w:rFonts w:eastAsia="Century Gothic" w:cs="Times New Roman"/>
          <w:bCs/>
          <w:kern w:val="0"/>
          <w:szCs w:val="20"/>
          <w:lang w:bidi="en-US"/>
          <w14:ligatures w14:val="none"/>
        </w:rPr>
        <w:t>;</w:t>
      </w:r>
    </w:p>
    <w:p w14:paraId="286CAEE0" w14:textId="77777777" w:rsidR="000A3C96" w:rsidRPr="000A3C96" w:rsidRDefault="000A3C96" w:rsidP="000A3C96">
      <w:pPr>
        <w:spacing w:before="120"/>
        <w:ind w:left="720"/>
        <w:rPr>
          <w:rFonts w:eastAsia="Century Gothic" w:cs="Times New Roman"/>
          <w:b/>
          <w:bCs/>
          <w:iCs/>
          <w:kern w:val="0"/>
          <w:szCs w:val="20"/>
          <w:lang w:bidi="en-US"/>
          <w14:ligatures w14:val="none"/>
        </w:rPr>
      </w:pPr>
      <w:r w:rsidRPr="000A3C96">
        <w:rPr>
          <w:rFonts w:eastAsia="Century Gothic" w:cs="Times New Roman"/>
          <w:b/>
          <w:bCs/>
          <w:i/>
          <w:kern w:val="0"/>
          <w:szCs w:val="20"/>
          <w:lang w:bidi="en-US"/>
          <w14:ligatures w14:val="none"/>
        </w:rPr>
        <w:t>Wrzelowiecki Węzeł Ekologiczny</w:t>
      </w:r>
      <w:r w:rsidRPr="000A3C96">
        <w:rPr>
          <w:rFonts w:eastAsia="Century Gothic" w:cs="Times New Roman"/>
          <w:b/>
          <w:bCs/>
          <w:iCs/>
          <w:kern w:val="0"/>
          <w:szCs w:val="20"/>
          <w:lang w:bidi="en-US"/>
          <w14:ligatures w14:val="none"/>
        </w:rPr>
        <w:t xml:space="preserve"> </w:t>
      </w:r>
      <w:r w:rsidRPr="000A3C96">
        <w:rPr>
          <w:rFonts w:eastAsia="Century Gothic" w:cs="Times New Roman"/>
          <w:iCs/>
          <w:kern w:val="0"/>
          <w:szCs w:val="20"/>
          <w:lang w:bidi="en-US"/>
          <w14:ligatures w14:val="none"/>
        </w:rPr>
        <w:t>obejmujący strefę leśno-łąkową na północny wschód od Wrzelowca, położona częściowo w parku krajobrazowym i w jego otulinie; o jego wartości stanowią: rejon występowania chronionych i rzadkich gatunków fauny i flory, węzeł hydrograficzny Jankówki (Leonki) i Wrzelowianki, użytek ekologiczny „Emilcin”, borowy kompleks, w tym siedliska borów wilgotnych i bagiennych oraz urozmaicony krajobraz: wydmy, doliny, zbiorniki wodne, śródleśne łąki i pola, torfowiska.</w:t>
      </w:r>
    </w:p>
    <w:p w14:paraId="6C7D9A9E" w14:textId="77777777" w:rsidR="000A3C96" w:rsidRPr="000A3C96" w:rsidRDefault="000A3C96" w:rsidP="000A3C96">
      <w:pPr>
        <w:spacing w:before="120"/>
        <w:ind w:left="720"/>
        <w:rPr>
          <w:rFonts w:eastAsia="Century Gothic" w:cs="Times New Roman"/>
          <w:iCs/>
          <w:kern w:val="0"/>
          <w:szCs w:val="20"/>
          <w:lang w:bidi="en-US"/>
          <w14:ligatures w14:val="none"/>
        </w:rPr>
      </w:pPr>
      <w:r w:rsidRPr="000A3C96">
        <w:rPr>
          <w:rFonts w:eastAsia="Century Gothic" w:cs="Times New Roman"/>
          <w:b/>
          <w:bCs/>
          <w:i/>
          <w:kern w:val="0"/>
          <w:szCs w:val="20"/>
          <w:lang w:bidi="en-US"/>
          <w14:ligatures w14:val="none"/>
        </w:rPr>
        <w:t>Chodelski Węzeł Ekologiczny</w:t>
      </w:r>
      <w:r w:rsidRPr="000A3C96">
        <w:rPr>
          <w:rFonts w:eastAsia="Century Gothic" w:cs="Times New Roman"/>
          <w:iCs/>
          <w:kern w:val="0"/>
          <w:szCs w:val="20"/>
          <w:lang w:bidi="en-US"/>
          <w14:ligatures w14:val="none"/>
        </w:rPr>
        <w:t xml:space="preserve"> obejmujący fragment doliny Chodelki (od Rudy Maciejowskiej do Chodla) i sąsiadującej z nią doliny bezimiennego cieku spod Komaszyc Starych; o jego wartości stanowią: mozaiki ekosystemów leśnych, torfowiskowych, bagiennych, łąkowopastwiskowych, wodnych, występowanie rzadkich i chronionych gatunków fory oraz powiązania ekologiczne z terenami położonymi poza granicą gminy (w dolinie Chodelki) i w systemie wojewódzkim.</w:t>
      </w:r>
    </w:p>
    <w:p w14:paraId="29A19809" w14:textId="77777777" w:rsidR="000A3C96" w:rsidRPr="000A3C96" w:rsidRDefault="000A3C96">
      <w:pPr>
        <w:numPr>
          <w:ilvl w:val="0"/>
          <w:numId w:val="83"/>
        </w:numPr>
        <w:spacing w:before="120" w:after="200" w:line="276" w:lineRule="auto"/>
        <w:jc w:val="left"/>
        <w:rPr>
          <w:rFonts w:eastAsia="Century Gothic" w:cs="Times New Roman"/>
          <w:bCs/>
          <w:kern w:val="0"/>
          <w:szCs w:val="20"/>
          <w:lang w:bidi="en-US"/>
          <w14:ligatures w14:val="none"/>
        </w:rPr>
      </w:pPr>
      <w:r w:rsidRPr="000A3C96">
        <w:rPr>
          <w:rFonts w:eastAsia="Century Gothic" w:cs="Times New Roman"/>
          <w:b/>
          <w:bCs/>
          <w:kern w:val="0"/>
          <w:szCs w:val="20"/>
          <w:lang w:bidi="en-US"/>
          <w14:ligatures w14:val="none"/>
        </w:rPr>
        <w:t>dolinne obszary łącznikowe</w:t>
      </w:r>
      <w:r w:rsidRPr="000A3C96">
        <w:rPr>
          <w:rFonts w:eastAsia="Century Gothic" w:cs="Times New Roman"/>
          <w:bCs/>
          <w:kern w:val="0"/>
          <w:szCs w:val="20"/>
          <w:lang w:bidi="en-US"/>
          <w14:ligatures w14:val="none"/>
        </w:rPr>
        <w:t xml:space="preserve"> – dolinne korytarze ekologiczne pełniące funkcje, tj.: (i) obszarów przemieszczania się gatunków i populacji fauny i flory między obszarami węzłowymi a węzłami ekologicznymi, (ii) obszary rozprzestrzeniania się gatunków i populacji, co jest konsekwencją nagromadzenia potencjału fauny i flory.</w:t>
      </w:r>
    </w:p>
    <w:p w14:paraId="375255D4" w14:textId="77777777" w:rsidR="000A3C96" w:rsidRPr="000A3C96" w:rsidRDefault="000A3C96" w:rsidP="000A3C96">
      <w:pPr>
        <w:spacing w:before="120"/>
        <w:ind w:left="720"/>
        <w:rPr>
          <w:rFonts w:eastAsia="Century Gothic" w:cs="Times New Roman"/>
          <w:iCs/>
          <w:kern w:val="0"/>
          <w:szCs w:val="20"/>
          <w:lang w:bidi="en-US"/>
          <w14:ligatures w14:val="none"/>
        </w:rPr>
      </w:pPr>
      <w:r w:rsidRPr="000A3C96">
        <w:rPr>
          <w:rFonts w:eastAsia="Century Gothic" w:cs="Times New Roman"/>
          <w:b/>
          <w:bCs/>
          <w:i/>
          <w:kern w:val="0"/>
          <w:szCs w:val="20"/>
          <w:lang w:bidi="en-US"/>
          <w14:ligatures w14:val="none"/>
        </w:rPr>
        <w:t>Korytarz</w:t>
      </w:r>
      <w:r w:rsidRPr="000A3C96">
        <w:rPr>
          <w:rFonts w:eastAsia="Century Gothic" w:cs="Times New Roman"/>
          <w:i/>
          <w:kern w:val="0"/>
          <w:szCs w:val="20"/>
          <w:lang w:bidi="en-US"/>
          <w14:ligatures w14:val="none"/>
        </w:rPr>
        <w:t xml:space="preserve"> </w:t>
      </w:r>
      <w:r w:rsidRPr="000A3C96">
        <w:rPr>
          <w:rFonts w:eastAsia="Century Gothic" w:cs="Times New Roman"/>
          <w:b/>
          <w:bCs/>
          <w:i/>
          <w:kern w:val="0"/>
          <w:szCs w:val="20"/>
          <w:lang w:bidi="en-US"/>
          <w14:ligatures w14:val="none"/>
        </w:rPr>
        <w:t>ekologiczny Jankówki</w:t>
      </w:r>
      <w:r w:rsidRPr="000A3C96">
        <w:rPr>
          <w:rFonts w:eastAsia="Century Gothic" w:cs="Times New Roman"/>
          <w:iCs/>
          <w:kern w:val="0"/>
          <w:szCs w:val="20"/>
          <w:lang w:bidi="en-US"/>
          <w14:ligatures w14:val="none"/>
        </w:rPr>
        <w:t xml:space="preserve"> stanowi teren łącznikowy pomiędzy Chodelskim Obszarem Węzłowym, Chodelskim Obszarem Ekologicznym i Wrzelowieckim Obszarem Węzłowym obejmującym ekotony wodne, torfowiskowe, łąkowo-pastwiskowe, miejscami błotne, które stanowią siedliska zróżnicowanej fauny i flory dolinnej, o których walorach decydują stosunki wodne.</w:t>
      </w:r>
    </w:p>
    <w:p w14:paraId="6CB38792" w14:textId="77777777" w:rsidR="000A3C96" w:rsidRPr="000A3C96" w:rsidRDefault="000A3C96" w:rsidP="000A3C96">
      <w:pPr>
        <w:spacing w:before="120"/>
        <w:ind w:left="720"/>
        <w:rPr>
          <w:rFonts w:eastAsia="Century Gothic" w:cs="Times New Roman"/>
          <w:iCs/>
          <w:kern w:val="0"/>
          <w:szCs w:val="20"/>
          <w:lang w:bidi="en-US"/>
          <w14:ligatures w14:val="none"/>
        </w:rPr>
      </w:pPr>
      <w:r w:rsidRPr="000A3C96">
        <w:rPr>
          <w:rFonts w:eastAsia="Century Gothic" w:cs="Times New Roman"/>
          <w:b/>
          <w:bCs/>
          <w:i/>
          <w:kern w:val="0"/>
          <w:szCs w:val="20"/>
          <w:lang w:bidi="en-US"/>
          <w14:ligatures w14:val="none"/>
        </w:rPr>
        <w:t>Korytarz ekologiczny Chodelki</w:t>
      </w:r>
      <w:r w:rsidRPr="000A3C96">
        <w:rPr>
          <w:rFonts w:eastAsia="Century Gothic" w:cs="Times New Roman"/>
          <w:iCs/>
          <w:kern w:val="0"/>
          <w:szCs w:val="20"/>
          <w:lang w:bidi="en-US"/>
          <w14:ligatures w14:val="none"/>
        </w:rPr>
        <w:t xml:space="preserve"> stanowi podstawowe połączenie przyrodnicze pomiędzy Chodelskim Obszarem Węzłowym a Chodelskim Węzłem Ekologicznym, jest fragmentem zalesionej doliny, miejscami zabagnionej.</w:t>
      </w:r>
    </w:p>
    <w:p w14:paraId="3E64D8E9" w14:textId="77777777" w:rsidR="000A3C96" w:rsidRPr="000A3C96" w:rsidRDefault="000A3C96" w:rsidP="000A3C96">
      <w:pPr>
        <w:spacing w:before="120"/>
        <w:ind w:left="425"/>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lastRenderedPageBreak/>
        <w:t>Stanowią one podstawowe elementy struktury obszaru decydujące o jakości środowiska życia człowieka. SPG pełni wiele ważnych funkcji dla środowiska i ludzi, takich jak regulacja klimatu, retencja wody, ochrona różnorodności biologicznej, zapewnienie terenów rekreacyjnych i edukacyjnych. Wzmacnianie i zarządzanie SPG jest ważnym działaniem adaptacyjnym do zmian klimatu, ponieważ pomaga ograniczyć skutki takich zagrożeń jak susza, fale upałów, powodzie czy utrata różnorodności biologicznej. SPG stanowi integralną część regionalnej sieci ekologicznej, a jego powiązania z obszarami kluczowymi położonymi poza granicami gminy powinny być utrzymane i kształtowane w sposób zapewniający trwałe powiązania. W obszarze elementów SPG zakłada się realizację działań sprzyjających prawidłowemu funkcjonowaniu tych struktur poprzez integrację systemów obszarów węzłowych służącą zapewnieniu ciągłości i spójności przestrzeni przyrodniczej, wzmacnianiu i wykorzystaniu potencjału przyrodniczo-kulturowego oraz harmonizację rozwoju społeczno-gospodarczego i infrastruktury z przestrzenią przyrodniczą.</w:t>
      </w:r>
    </w:p>
    <w:p w14:paraId="221C2665" w14:textId="54270E00" w:rsidR="000A3C96" w:rsidRPr="004471F9" w:rsidRDefault="00B5279D">
      <w:pPr>
        <w:keepNext/>
        <w:numPr>
          <w:ilvl w:val="0"/>
          <w:numId w:val="87"/>
        </w:numPr>
        <w:spacing w:before="120" w:after="200" w:line="276" w:lineRule="auto"/>
        <w:ind w:left="284"/>
        <w:jc w:val="left"/>
        <w:rPr>
          <w:rFonts w:eastAsia="Century Gothic" w:cs="Times New Roman"/>
          <w:bCs/>
          <w:kern w:val="0"/>
          <w:szCs w:val="20"/>
          <w:lang w:bidi="en-US"/>
          <w14:ligatures w14:val="none"/>
        </w:rPr>
      </w:pPr>
      <w:r w:rsidRPr="004471F9">
        <w:rPr>
          <w:rFonts w:eastAsia="Century Gothic" w:cs="Times New Roman"/>
          <w:b/>
          <w:kern w:val="0"/>
          <w:szCs w:val="20"/>
          <w:lang w:bidi="en-US"/>
          <w14:ligatures w14:val="none"/>
        </w:rPr>
        <w:t xml:space="preserve">główne korytarze i elementy </w:t>
      </w:r>
      <w:r w:rsidR="001F48B4" w:rsidRPr="004471F9">
        <w:rPr>
          <w:rFonts w:eastAsia="Century Gothic" w:cs="Times New Roman"/>
          <w:b/>
          <w:kern w:val="0"/>
          <w:szCs w:val="20"/>
          <w:lang w:bidi="en-US"/>
          <w14:ligatures w14:val="none"/>
        </w:rPr>
        <w:t>sieci transportowych</w:t>
      </w:r>
      <w:r w:rsidR="00C422BE" w:rsidRPr="004471F9">
        <w:rPr>
          <w:rFonts w:eastAsia="Century Gothic" w:cs="Times New Roman"/>
          <w:bCs/>
          <w:kern w:val="0"/>
          <w:szCs w:val="20"/>
          <w:lang w:bidi="en-US"/>
          <w14:ligatures w14:val="none"/>
        </w:rPr>
        <w:t xml:space="preserve">, </w:t>
      </w:r>
      <w:r w:rsidR="00A21976" w:rsidRPr="004471F9">
        <w:rPr>
          <w:rFonts w:eastAsia="Century Gothic" w:cs="Times New Roman"/>
          <w:bCs/>
          <w:kern w:val="0"/>
          <w:szCs w:val="20"/>
          <w:lang w:bidi="en-US"/>
          <w14:ligatures w14:val="none"/>
        </w:rPr>
        <w:t xml:space="preserve">w tym rowerowych, </w:t>
      </w:r>
      <w:r w:rsidR="00323233" w:rsidRPr="004471F9">
        <w:rPr>
          <w:rFonts w:eastAsia="Century Gothic" w:cs="Times New Roman"/>
          <w:bCs/>
          <w:kern w:val="0"/>
          <w:szCs w:val="20"/>
          <w:lang w:bidi="en-US"/>
          <w14:ligatures w14:val="none"/>
        </w:rPr>
        <w:t>dla których przyjmuje się ich rozwój zapewniając</w:t>
      </w:r>
      <w:r w:rsidR="00C5173A" w:rsidRPr="004471F9">
        <w:rPr>
          <w:rFonts w:eastAsia="Century Gothic" w:cs="Times New Roman"/>
          <w:bCs/>
          <w:kern w:val="0"/>
          <w:szCs w:val="20"/>
          <w:lang w:bidi="en-US"/>
          <w14:ligatures w14:val="none"/>
        </w:rPr>
        <w:t>y</w:t>
      </w:r>
      <w:r w:rsidR="00323233" w:rsidRPr="004471F9">
        <w:rPr>
          <w:rFonts w:eastAsia="Century Gothic" w:cs="Times New Roman"/>
          <w:bCs/>
          <w:kern w:val="0"/>
          <w:szCs w:val="20"/>
          <w:lang w:bidi="en-US"/>
          <w14:ligatures w14:val="none"/>
        </w:rPr>
        <w:t xml:space="preserve"> sprawność powiązań komunikacyjnych, minimalizując</w:t>
      </w:r>
      <w:r w:rsidR="00C5173A" w:rsidRPr="004471F9">
        <w:rPr>
          <w:rFonts w:eastAsia="Century Gothic" w:cs="Times New Roman"/>
          <w:bCs/>
          <w:kern w:val="0"/>
          <w:szCs w:val="20"/>
          <w:lang w:bidi="en-US"/>
          <w14:ligatures w14:val="none"/>
        </w:rPr>
        <w:t>y</w:t>
      </w:r>
      <w:r w:rsidR="00323233" w:rsidRPr="004471F9">
        <w:rPr>
          <w:rFonts w:eastAsia="Century Gothic" w:cs="Times New Roman"/>
          <w:bCs/>
          <w:kern w:val="0"/>
          <w:szCs w:val="20"/>
          <w:lang w:bidi="en-US"/>
          <w14:ligatures w14:val="none"/>
        </w:rPr>
        <w:t xml:space="preserve"> zagrożenia bezpieczeństwa publicznego oraz kolizje z elementami </w:t>
      </w:r>
      <w:r w:rsidR="00C5173A" w:rsidRPr="004471F9">
        <w:rPr>
          <w:rFonts w:eastAsia="Century Gothic" w:cs="Times New Roman"/>
          <w:bCs/>
          <w:kern w:val="0"/>
          <w:szCs w:val="20"/>
          <w:lang w:bidi="en-US"/>
          <w14:ligatures w14:val="none"/>
        </w:rPr>
        <w:t>systemu przyrodniczego</w:t>
      </w:r>
      <w:r w:rsidR="00A21248">
        <w:rPr>
          <w:rFonts w:eastAsia="Century Gothic" w:cs="Times New Roman"/>
          <w:bCs/>
          <w:kern w:val="0"/>
          <w:szCs w:val="20"/>
          <w:lang w:bidi="en-US"/>
          <w14:ligatures w14:val="none"/>
        </w:rPr>
        <w:t>.</w:t>
      </w:r>
      <w:r w:rsidR="004471F9" w:rsidRPr="004471F9">
        <w:rPr>
          <w:rFonts w:eastAsia="Century Gothic" w:cs="Times New Roman"/>
          <w:bCs/>
          <w:kern w:val="0"/>
          <w:szCs w:val="20"/>
          <w:lang w:bidi="en-US"/>
          <w14:ligatures w14:val="none"/>
        </w:rPr>
        <w:t xml:space="preserve"> </w:t>
      </w:r>
      <w:r w:rsidR="00A21248">
        <w:rPr>
          <w:rFonts w:eastAsia="Century Gothic" w:cs="Times New Roman"/>
          <w:bCs/>
          <w:kern w:val="0"/>
          <w:szCs w:val="20"/>
          <w:lang w:bidi="en-US"/>
          <w14:ligatures w14:val="none"/>
        </w:rPr>
        <w:t>N</w:t>
      </w:r>
      <w:r w:rsidR="00C422BE" w:rsidRPr="004471F9">
        <w:rPr>
          <w:rFonts w:eastAsia="Century Gothic" w:cs="Times New Roman"/>
          <w:bCs/>
          <w:kern w:val="0"/>
          <w:szCs w:val="20"/>
          <w:lang w:bidi="en-US"/>
          <w14:ligatures w14:val="none"/>
        </w:rPr>
        <w:t xml:space="preserve">a </w:t>
      </w:r>
      <w:r w:rsidR="006A1B79">
        <w:rPr>
          <w:rFonts w:eastAsia="Century Gothic" w:cs="Times New Roman"/>
          <w:bCs/>
          <w:kern w:val="0"/>
          <w:szCs w:val="20"/>
          <w:lang w:bidi="en-US"/>
          <w14:ligatures w14:val="none"/>
        </w:rPr>
        <w:t xml:space="preserve">układ korytarzy i elementów sieci transportowej gminy </w:t>
      </w:r>
      <w:r w:rsidR="00C422BE" w:rsidRPr="004471F9">
        <w:rPr>
          <w:rFonts w:eastAsia="Century Gothic" w:cs="Times New Roman"/>
          <w:bCs/>
          <w:kern w:val="0"/>
          <w:szCs w:val="20"/>
          <w:lang w:bidi="en-US"/>
          <w14:ligatures w14:val="none"/>
        </w:rPr>
        <w:t>składają się</w:t>
      </w:r>
      <w:r w:rsidR="000A3C96" w:rsidRPr="004471F9">
        <w:rPr>
          <w:rFonts w:eastAsia="Century Gothic" w:cs="Times New Roman"/>
          <w:bCs/>
          <w:kern w:val="0"/>
          <w:szCs w:val="20"/>
          <w:lang w:bidi="en-US"/>
          <w14:ligatures w14:val="none"/>
        </w:rPr>
        <w:t>:</w:t>
      </w:r>
    </w:p>
    <w:p w14:paraId="2D2F9F50" w14:textId="0F299CCE" w:rsidR="002915B2" w:rsidRDefault="000A3C96">
      <w:pPr>
        <w:numPr>
          <w:ilvl w:val="0"/>
          <w:numId w:val="83"/>
        </w:numPr>
        <w:spacing w:before="120" w:after="200" w:line="276" w:lineRule="auto"/>
        <w:jc w:val="left"/>
        <w:rPr>
          <w:rFonts w:eastAsia="Century Gothic" w:cs="Times New Roman"/>
          <w:bCs/>
          <w:kern w:val="0"/>
          <w:szCs w:val="20"/>
          <w:lang w:bidi="en-US"/>
          <w14:ligatures w14:val="none"/>
        </w:rPr>
      </w:pPr>
      <w:r w:rsidRPr="000A3C96">
        <w:rPr>
          <w:rFonts w:eastAsia="Century Gothic" w:cs="Times New Roman"/>
          <w:iCs/>
          <w:kern w:val="0"/>
          <w:szCs w:val="20"/>
          <w:lang w:bidi="en-US"/>
          <w14:ligatures w14:val="none"/>
        </w:rPr>
        <w:t>drogi</w:t>
      </w:r>
      <w:r w:rsidRPr="000A3C96">
        <w:rPr>
          <w:rFonts w:eastAsia="Century Gothic" w:cs="Times New Roman"/>
          <w:bCs/>
          <w:kern w:val="0"/>
          <w:szCs w:val="20"/>
          <w:lang w:bidi="en-US"/>
          <w14:ligatures w14:val="none"/>
        </w:rPr>
        <w:t xml:space="preserve"> wojewódzkie </w:t>
      </w:r>
      <w:r w:rsidR="006704F1">
        <w:rPr>
          <w:rFonts w:eastAsia="Century Gothic" w:cs="Times New Roman"/>
          <w:bCs/>
          <w:kern w:val="0"/>
          <w:szCs w:val="20"/>
          <w:lang w:bidi="en-US"/>
          <w14:ligatures w14:val="none"/>
        </w:rPr>
        <w:t xml:space="preserve">nr </w:t>
      </w:r>
      <w:r w:rsidR="00F742D8">
        <w:rPr>
          <w:rFonts w:eastAsia="Century Gothic" w:cs="Times New Roman"/>
          <w:bCs/>
          <w:kern w:val="0"/>
          <w:szCs w:val="20"/>
          <w:lang w:bidi="en-US"/>
          <w14:ligatures w14:val="none"/>
        </w:rPr>
        <w:t>747</w:t>
      </w:r>
      <w:r w:rsidR="00D20274">
        <w:rPr>
          <w:rFonts w:eastAsia="Century Gothic" w:cs="Times New Roman"/>
          <w:bCs/>
          <w:kern w:val="0"/>
          <w:szCs w:val="20"/>
          <w:lang w:bidi="en-US"/>
          <w14:ligatures w14:val="none"/>
        </w:rPr>
        <w:t>, 824 i 832</w:t>
      </w:r>
      <w:r w:rsidR="008B6FBA">
        <w:rPr>
          <w:rFonts w:eastAsia="Century Gothic" w:cs="Times New Roman"/>
          <w:bCs/>
          <w:kern w:val="0"/>
          <w:szCs w:val="20"/>
          <w:lang w:bidi="en-US"/>
          <w14:ligatures w14:val="none"/>
        </w:rPr>
        <w:t xml:space="preserve"> </w:t>
      </w:r>
      <w:r w:rsidR="00B15312">
        <w:rPr>
          <w:rFonts w:eastAsia="Century Gothic" w:cs="Times New Roman"/>
          <w:bCs/>
          <w:kern w:val="0"/>
          <w:szCs w:val="20"/>
          <w:lang w:bidi="en-US"/>
          <w14:ligatures w14:val="none"/>
        </w:rPr>
        <w:t>stanowiące</w:t>
      </w:r>
      <w:r w:rsidRPr="000A3C96">
        <w:rPr>
          <w:rFonts w:eastAsia="Century Gothic" w:cs="Times New Roman"/>
          <w:bCs/>
          <w:kern w:val="0"/>
          <w:szCs w:val="20"/>
          <w:lang w:bidi="en-US"/>
          <w14:ligatures w14:val="none"/>
        </w:rPr>
        <w:t xml:space="preserve"> </w:t>
      </w:r>
      <w:r w:rsidR="00B15312" w:rsidRPr="000A3C96">
        <w:rPr>
          <w:rFonts w:eastAsia="Century Gothic" w:cs="Times New Roman"/>
          <w:bCs/>
          <w:kern w:val="0"/>
          <w:szCs w:val="20"/>
          <w:lang w:bidi="en-US"/>
          <w14:ligatures w14:val="none"/>
        </w:rPr>
        <w:t xml:space="preserve">główny szkielet sieci transportowej – pełniące </w:t>
      </w:r>
      <w:r w:rsidR="00B15312" w:rsidRPr="000A3C96">
        <w:rPr>
          <w:rFonts w:eastAsia="Century Gothic" w:cs="Times New Roman"/>
          <w:bCs/>
          <w:iCs/>
          <w:kern w:val="0"/>
          <w:szCs w:val="20"/>
          <w:lang w:bidi="en-US"/>
          <w14:ligatures w14:val="none"/>
        </w:rPr>
        <w:t>funkcję zewnętrznych powiązań transportowych gminy</w:t>
      </w:r>
      <w:r w:rsidR="00B15312" w:rsidRPr="000A3C96">
        <w:rPr>
          <w:rFonts w:eastAsia="Century Gothic" w:cs="Times New Roman"/>
          <w:bCs/>
          <w:kern w:val="0"/>
          <w:szCs w:val="20"/>
          <w:lang w:bidi="en-US"/>
          <w14:ligatures w14:val="none"/>
        </w:rPr>
        <w:t>,</w:t>
      </w:r>
    </w:p>
    <w:p w14:paraId="20DB7446" w14:textId="69B2546A" w:rsidR="004B20ED" w:rsidRDefault="004B20ED">
      <w:pPr>
        <w:numPr>
          <w:ilvl w:val="0"/>
          <w:numId w:val="83"/>
        </w:numPr>
        <w:spacing w:before="120" w:after="200" w:line="276" w:lineRule="auto"/>
        <w:jc w:val="left"/>
        <w:rPr>
          <w:rFonts w:eastAsia="Century Gothic" w:cs="Times New Roman"/>
          <w:bCs/>
          <w:kern w:val="0"/>
          <w:szCs w:val="20"/>
          <w:lang w:bidi="en-US"/>
          <w14:ligatures w14:val="none"/>
        </w:rPr>
      </w:pPr>
      <w:r>
        <w:rPr>
          <w:rFonts w:eastAsia="Century Gothic" w:cs="Times New Roman"/>
          <w:bCs/>
          <w:kern w:val="0"/>
          <w:szCs w:val="20"/>
          <w:lang w:bidi="en-US"/>
          <w14:ligatures w14:val="none"/>
        </w:rPr>
        <w:t xml:space="preserve">planowana obwodnica miasta w ciągu drogi </w:t>
      </w:r>
      <w:r w:rsidR="006704F1">
        <w:rPr>
          <w:rFonts w:eastAsia="Century Gothic" w:cs="Times New Roman"/>
          <w:bCs/>
          <w:kern w:val="0"/>
          <w:szCs w:val="20"/>
          <w:lang w:bidi="en-US"/>
          <w14:ligatures w14:val="none"/>
        </w:rPr>
        <w:t xml:space="preserve">wojewódzkiej nr </w:t>
      </w:r>
      <w:r w:rsidR="008B6FBA">
        <w:rPr>
          <w:rFonts w:eastAsia="Century Gothic" w:cs="Times New Roman"/>
          <w:bCs/>
          <w:kern w:val="0"/>
          <w:szCs w:val="20"/>
          <w:lang w:bidi="en-US"/>
          <w14:ligatures w14:val="none"/>
        </w:rPr>
        <w:t>824,</w:t>
      </w:r>
    </w:p>
    <w:p w14:paraId="2CF9A25F" w14:textId="47A93A72" w:rsidR="000A3C96" w:rsidRPr="000A3C96" w:rsidRDefault="000A3C96">
      <w:pPr>
        <w:numPr>
          <w:ilvl w:val="0"/>
          <w:numId w:val="83"/>
        </w:numPr>
        <w:spacing w:before="120" w:after="20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drogi powiatowe </w:t>
      </w:r>
      <w:r w:rsidR="008B6FBA">
        <w:rPr>
          <w:rFonts w:eastAsia="Century Gothic" w:cs="Times New Roman"/>
          <w:bCs/>
          <w:kern w:val="0"/>
          <w:szCs w:val="20"/>
          <w:lang w:bidi="en-US"/>
          <w14:ligatures w14:val="none"/>
        </w:rPr>
        <w:t>uzu</w:t>
      </w:r>
      <w:r w:rsidR="00D647C0">
        <w:rPr>
          <w:rFonts w:eastAsia="Century Gothic" w:cs="Times New Roman"/>
          <w:bCs/>
          <w:kern w:val="0"/>
          <w:szCs w:val="20"/>
          <w:lang w:bidi="en-US"/>
          <w14:ligatures w14:val="none"/>
        </w:rPr>
        <w:t>pełniające</w:t>
      </w:r>
      <w:r w:rsidRPr="000A3C96">
        <w:rPr>
          <w:rFonts w:eastAsia="Century Gothic" w:cs="Times New Roman"/>
          <w:bCs/>
          <w:kern w:val="0"/>
          <w:szCs w:val="20"/>
          <w:lang w:bidi="en-US"/>
          <w14:ligatures w14:val="none"/>
        </w:rPr>
        <w:t xml:space="preserve"> </w:t>
      </w:r>
      <w:r w:rsidR="00DC29A4">
        <w:rPr>
          <w:rFonts w:eastAsia="Century Gothic" w:cs="Times New Roman"/>
          <w:bCs/>
          <w:kern w:val="0"/>
          <w:szCs w:val="20"/>
          <w:lang w:bidi="en-US"/>
          <w14:ligatures w14:val="none"/>
        </w:rPr>
        <w:t xml:space="preserve">sieć dróg wojewódzkich i </w:t>
      </w:r>
      <w:r w:rsidRPr="000A3C96">
        <w:rPr>
          <w:rFonts w:eastAsia="Century Gothic" w:cs="Times New Roman"/>
          <w:bCs/>
          <w:kern w:val="0"/>
          <w:szCs w:val="20"/>
          <w:lang w:bidi="en-US"/>
          <w14:ligatures w14:val="none"/>
        </w:rPr>
        <w:t xml:space="preserve">pełniące </w:t>
      </w:r>
      <w:r w:rsidR="00DC29A4">
        <w:rPr>
          <w:rFonts w:eastAsia="Century Gothic" w:cs="Times New Roman"/>
          <w:bCs/>
          <w:kern w:val="0"/>
          <w:szCs w:val="20"/>
          <w:lang w:bidi="en-US"/>
          <w14:ligatures w14:val="none"/>
        </w:rPr>
        <w:t xml:space="preserve">zarówno </w:t>
      </w:r>
      <w:r w:rsidRPr="000A3C96">
        <w:rPr>
          <w:rFonts w:eastAsia="Century Gothic" w:cs="Times New Roman"/>
          <w:bCs/>
          <w:iCs/>
          <w:kern w:val="0"/>
          <w:szCs w:val="20"/>
          <w:lang w:bidi="en-US"/>
          <w14:ligatures w14:val="none"/>
        </w:rPr>
        <w:t>funkcję zewnętrznych</w:t>
      </w:r>
      <w:r w:rsidR="00DC29A4">
        <w:rPr>
          <w:rFonts w:eastAsia="Century Gothic" w:cs="Times New Roman"/>
          <w:bCs/>
          <w:iCs/>
          <w:kern w:val="0"/>
          <w:szCs w:val="20"/>
          <w:lang w:bidi="en-US"/>
          <w14:ligatures w14:val="none"/>
        </w:rPr>
        <w:t xml:space="preserve">, jak i wewnętrznych </w:t>
      </w:r>
      <w:r w:rsidRPr="000A3C96">
        <w:rPr>
          <w:rFonts w:eastAsia="Century Gothic" w:cs="Times New Roman"/>
          <w:bCs/>
          <w:iCs/>
          <w:kern w:val="0"/>
          <w:szCs w:val="20"/>
          <w:lang w:bidi="en-US"/>
          <w14:ligatures w14:val="none"/>
        </w:rPr>
        <w:t>powiązań transportowych gminy</w:t>
      </w:r>
      <w:r w:rsidRPr="000A3C96">
        <w:rPr>
          <w:rFonts w:eastAsia="Century Gothic" w:cs="Times New Roman"/>
          <w:bCs/>
          <w:kern w:val="0"/>
          <w:szCs w:val="20"/>
          <w:lang w:bidi="en-US"/>
          <w14:ligatures w14:val="none"/>
        </w:rPr>
        <w:t>,</w:t>
      </w:r>
    </w:p>
    <w:p w14:paraId="7FD6DA65" w14:textId="77777777" w:rsidR="000A3C96" w:rsidRPr="000A3C96" w:rsidRDefault="000A3C96">
      <w:pPr>
        <w:numPr>
          <w:ilvl w:val="0"/>
          <w:numId w:val="83"/>
        </w:numPr>
        <w:spacing w:before="120" w:after="200" w:line="276" w:lineRule="auto"/>
        <w:jc w:val="left"/>
        <w:rPr>
          <w:rFonts w:eastAsia="Century Gothic" w:cs="Times New Roman"/>
          <w:bCs/>
          <w:kern w:val="0"/>
          <w:szCs w:val="20"/>
          <w:lang w:bidi="en-US"/>
          <w14:ligatures w14:val="none"/>
        </w:rPr>
      </w:pPr>
      <w:r w:rsidRPr="000A3C96">
        <w:rPr>
          <w:rFonts w:eastAsia="Century Gothic" w:cs="Times New Roman"/>
          <w:bCs/>
          <w:iCs/>
          <w:kern w:val="0"/>
          <w:szCs w:val="20"/>
          <w:lang w:bidi="en-US"/>
          <w14:ligatures w14:val="none"/>
        </w:rPr>
        <w:t>drogi</w:t>
      </w:r>
      <w:r w:rsidRPr="000A3C96">
        <w:rPr>
          <w:rFonts w:eastAsia="Century Gothic" w:cs="Times New Roman"/>
          <w:bCs/>
          <w:kern w:val="0"/>
          <w:szCs w:val="20"/>
          <w:lang w:bidi="en-US"/>
          <w14:ligatures w14:val="none"/>
        </w:rPr>
        <w:t xml:space="preserve"> gminne – realizujące wewnętrzne powiązania transportowe, </w:t>
      </w:r>
      <w:r w:rsidRPr="000A3C96">
        <w:rPr>
          <w:rFonts w:eastAsia="Century Gothic" w:cs="Times New Roman"/>
          <w:bCs/>
          <w:iCs/>
          <w:kern w:val="0"/>
          <w:szCs w:val="20"/>
          <w:lang w:bidi="en-US"/>
          <w14:ligatures w14:val="none"/>
        </w:rPr>
        <w:t>a także bliskie powiązania zewnętrzne</w:t>
      </w:r>
      <w:r w:rsidRPr="000A3C96">
        <w:rPr>
          <w:rFonts w:eastAsia="Century Gothic" w:cs="Times New Roman"/>
          <w:bCs/>
          <w:kern w:val="0"/>
          <w:szCs w:val="20"/>
          <w:lang w:bidi="en-US"/>
          <w14:ligatures w14:val="none"/>
        </w:rPr>
        <w:t xml:space="preserve">, w odniesieniu do których zakłada się dalszy rozwój w wymiarze jakościowym i ilościowym, </w:t>
      </w:r>
    </w:p>
    <w:p w14:paraId="439883A6" w14:textId="77777777" w:rsidR="000A3C96" w:rsidRPr="000A3C96" w:rsidRDefault="000A3C96">
      <w:pPr>
        <w:numPr>
          <w:ilvl w:val="0"/>
          <w:numId w:val="83"/>
        </w:numPr>
        <w:spacing w:before="120" w:after="200" w:line="276" w:lineRule="auto"/>
        <w:jc w:val="left"/>
        <w:rPr>
          <w:rFonts w:eastAsia="Century Gothic" w:cs="Times New Roman"/>
          <w:bCs/>
          <w:kern w:val="0"/>
          <w:szCs w:val="20"/>
          <w:lang w:bidi="en-US"/>
          <w14:ligatures w14:val="none"/>
        </w:rPr>
      </w:pPr>
      <w:r w:rsidRPr="000A3C96">
        <w:rPr>
          <w:rFonts w:eastAsia="Century Gothic" w:cs="Times New Roman"/>
          <w:kern w:val="0"/>
          <w:szCs w:val="20"/>
          <w:lang w:bidi="en-US"/>
          <w14:ligatures w14:val="none"/>
        </w:rPr>
        <w:t>turystyczne szlaki rowerowe, w odniesieniu do których zakłada się rozwój ilościowy i jakościowy w sposób umożliwiający stworzenie spójnego systemu różnego rodzaju szlaków turystycznych (pieszych, rowerowych, samochodowych) zapewniającego integrację obszarów turystycznych gminy i regionu,</w:t>
      </w:r>
    </w:p>
    <w:p w14:paraId="79F588D1" w14:textId="77777777" w:rsidR="000A3C96" w:rsidRPr="000A3C96" w:rsidRDefault="000A3C96" w:rsidP="000A3C96">
      <w:pPr>
        <w:spacing w:before="120"/>
        <w:ind w:left="426"/>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 odniesieniu elementów infrastrukturalnych zakłada się realizację działań mających na celu ich rozwój, przede wszystkim gminnej infrastruktury transportowej, ukierunkowany na minimalizowanie barier i ograniczeń rozwoju w funkcjonowaniu układów przestrzennych, kształtowanie spójnego systemu zewnętrznych i wewnętrznych powiązań transportowych oraz integrację poszczególnych elementów systemu transportowego i podwyższenie parametrów eksploatacyjnych. Istotnym aspektem realizacji działań będzie również poprawa dostępności komunikacyjnej i mobilności mieszkańców, zapewnienie sprawności powiązań komunikacyjnych, minimalizowanie zagrożenia bezpieczeństwa publicznego oraz kolizji z elementami sieci ekologicznej.</w:t>
      </w:r>
    </w:p>
    <w:p w14:paraId="2A4541B0" w14:textId="77777777" w:rsidR="00B16E76" w:rsidRDefault="003C5BFE">
      <w:pPr>
        <w:keepNext/>
        <w:numPr>
          <w:ilvl w:val="0"/>
          <w:numId w:val="87"/>
        </w:numPr>
        <w:spacing w:before="120" w:after="200" w:line="276" w:lineRule="auto"/>
        <w:ind w:left="284"/>
        <w:jc w:val="left"/>
        <w:rPr>
          <w:rFonts w:eastAsia="Century Gothic" w:cs="Times New Roman"/>
          <w:b/>
          <w:kern w:val="0"/>
          <w:szCs w:val="20"/>
          <w:lang w:bidi="en-US"/>
          <w14:ligatures w14:val="none"/>
        </w:rPr>
      </w:pPr>
      <w:r w:rsidRPr="003C5BFE">
        <w:rPr>
          <w:rFonts w:eastAsia="Century Gothic" w:cs="Times New Roman"/>
          <w:b/>
          <w:kern w:val="0"/>
          <w:szCs w:val="20"/>
          <w:lang w:bidi="en-US"/>
          <w14:ligatures w14:val="none"/>
        </w:rPr>
        <w:lastRenderedPageBreak/>
        <w:t>główne elementy infrastruktury technicznej i społecznej</w:t>
      </w:r>
      <w:r w:rsidR="00A21248">
        <w:rPr>
          <w:rFonts w:eastAsia="Century Gothic" w:cs="Times New Roman"/>
          <w:bCs/>
          <w:kern w:val="0"/>
          <w:szCs w:val="20"/>
          <w:lang w:bidi="en-US"/>
          <w14:ligatures w14:val="none"/>
        </w:rPr>
        <w:t xml:space="preserve">, </w:t>
      </w:r>
      <w:r w:rsidR="00A21248" w:rsidRPr="004471F9">
        <w:rPr>
          <w:rFonts w:eastAsia="Century Gothic" w:cs="Times New Roman"/>
          <w:bCs/>
          <w:kern w:val="0"/>
          <w:szCs w:val="20"/>
          <w:lang w:bidi="en-US"/>
          <w14:ligatures w14:val="none"/>
        </w:rPr>
        <w:t xml:space="preserve">dla których przyjmuje się ich </w:t>
      </w:r>
      <w:r w:rsidR="00B16E76">
        <w:rPr>
          <w:rFonts w:eastAsia="Century Gothic" w:cs="Times New Roman"/>
          <w:bCs/>
          <w:kern w:val="0"/>
          <w:szCs w:val="20"/>
          <w:lang w:bidi="en-US"/>
          <w14:ligatures w14:val="none"/>
        </w:rPr>
        <w:t xml:space="preserve">dalszy </w:t>
      </w:r>
      <w:r w:rsidR="00A21248" w:rsidRPr="004471F9">
        <w:rPr>
          <w:rFonts w:eastAsia="Century Gothic" w:cs="Times New Roman"/>
          <w:bCs/>
          <w:kern w:val="0"/>
          <w:szCs w:val="20"/>
          <w:lang w:bidi="en-US"/>
          <w14:ligatures w14:val="none"/>
        </w:rPr>
        <w:t xml:space="preserve">rozwój </w:t>
      </w:r>
      <w:r w:rsidR="007F6BC8">
        <w:rPr>
          <w:rFonts w:eastAsia="Century Gothic" w:cs="Times New Roman"/>
          <w:bCs/>
          <w:kern w:val="0"/>
          <w:szCs w:val="20"/>
          <w:lang w:bidi="en-US"/>
          <w14:ligatures w14:val="none"/>
        </w:rPr>
        <w:t>jakościowy i ilościowy</w:t>
      </w:r>
      <w:r w:rsidR="00B16E76">
        <w:rPr>
          <w:rFonts w:eastAsia="Century Gothic" w:cs="Times New Roman"/>
          <w:b/>
          <w:kern w:val="0"/>
          <w:szCs w:val="20"/>
          <w:lang w:bidi="en-US"/>
          <w14:ligatures w14:val="none"/>
        </w:rPr>
        <w:t xml:space="preserve">. </w:t>
      </w:r>
    </w:p>
    <w:p w14:paraId="3A2BEED4" w14:textId="718C311E" w:rsidR="003C5BFE" w:rsidRPr="0029491E" w:rsidRDefault="007F6BC8" w:rsidP="00B16E76">
      <w:pPr>
        <w:keepNext/>
        <w:spacing w:before="120" w:after="200" w:line="276" w:lineRule="auto"/>
        <w:ind w:left="284"/>
        <w:jc w:val="left"/>
        <w:rPr>
          <w:rFonts w:eastAsia="Century Gothic" w:cs="Times New Roman"/>
          <w:b/>
          <w:kern w:val="0"/>
          <w:szCs w:val="20"/>
          <w:lang w:bidi="en-US"/>
          <w14:ligatures w14:val="none"/>
        </w:rPr>
      </w:pPr>
      <w:r w:rsidRPr="0029491E">
        <w:rPr>
          <w:rFonts w:eastAsia="Century Gothic" w:cs="Times New Roman"/>
          <w:bCs/>
          <w:kern w:val="0"/>
          <w:szCs w:val="20"/>
          <w:lang w:bidi="en-US"/>
          <w14:ligatures w14:val="none"/>
        </w:rPr>
        <w:t>Na główne elementy infrastruktury technicznej</w:t>
      </w:r>
      <w:r w:rsidRPr="0029491E">
        <w:rPr>
          <w:rFonts w:eastAsia="Century Gothic" w:cs="Times New Roman"/>
          <w:b/>
          <w:kern w:val="0"/>
          <w:szCs w:val="20"/>
          <w:lang w:bidi="en-US"/>
          <w14:ligatures w14:val="none"/>
        </w:rPr>
        <w:t xml:space="preserve"> </w:t>
      </w:r>
      <w:r w:rsidRPr="0029491E">
        <w:rPr>
          <w:rFonts w:eastAsia="Century Gothic" w:cs="Times New Roman"/>
          <w:bCs/>
          <w:kern w:val="0"/>
          <w:szCs w:val="20"/>
          <w:lang w:bidi="en-US"/>
          <w14:ligatures w14:val="none"/>
        </w:rPr>
        <w:t xml:space="preserve">w obszarze gminy </w:t>
      </w:r>
      <w:r w:rsidR="00A21248" w:rsidRPr="0029491E">
        <w:rPr>
          <w:rFonts w:eastAsia="Century Gothic" w:cs="Times New Roman"/>
          <w:bCs/>
          <w:kern w:val="0"/>
          <w:szCs w:val="20"/>
          <w:lang w:bidi="en-US"/>
          <w14:ligatures w14:val="none"/>
        </w:rPr>
        <w:t>składają się</w:t>
      </w:r>
      <w:r w:rsidRPr="0029491E">
        <w:rPr>
          <w:rFonts w:eastAsia="Century Gothic" w:cs="Times New Roman"/>
          <w:bCs/>
          <w:kern w:val="0"/>
          <w:szCs w:val="20"/>
          <w:lang w:bidi="en-US"/>
          <w14:ligatures w14:val="none"/>
        </w:rPr>
        <w:t>:</w:t>
      </w:r>
    </w:p>
    <w:p w14:paraId="0799029F" w14:textId="77777777" w:rsidR="00287B51" w:rsidRPr="000A3C96" w:rsidRDefault="00287B51">
      <w:pPr>
        <w:numPr>
          <w:ilvl w:val="0"/>
          <w:numId w:val="83"/>
        </w:numPr>
        <w:spacing w:before="120" w:after="20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linia kolejowa Nadwiślańskiej Kolejki Wąskotorowej relacji </w:t>
      </w:r>
      <w:r w:rsidRPr="000A3C96">
        <w:rPr>
          <w:rFonts w:eastAsia="Century Gothic" w:cs="Times New Roman"/>
          <w:kern w:val="0"/>
          <w:szCs w:val="20"/>
          <w:lang w:bidi="en-US"/>
          <w14:ligatures w14:val="none"/>
        </w:rPr>
        <w:t>Nałęczów – Wąwolnica – Karczmiska</w:t>
      </w:r>
      <w:r w:rsidRPr="000A3C96">
        <w:rPr>
          <w:rFonts w:eastAsia="Century Gothic" w:cs="Times New Roman"/>
          <w:bCs/>
          <w:kern w:val="0"/>
          <w:szCs w:val="20"/>
          <w:lang w:bidi="en-US"/>
          <w14:ligatures w14:val="none"/>
        </w:rPr>
        <w:t xml:space="preserve">, w odniesieniu do której zakłada się jej utrzymanie, restaurację </w:t>
      </w:r>
      <w:r w:rsidRPr="000A3C96">
        <w:rPr>
          <w:rFonts w:eastAsia="Century Gothic" w:cs="Times New Roman"/>
          <w:kern w:val="0"/>
          <w:szCs w:val="20"/>
          <w:lang w:bidi="en-US"/>
          <w14:ligatures w14:val="none"/>
        </w:rPr>
        <w:t>oraz odtworzenie dawnych stacji dla celów turystyczno-rekreacyjnych,</w:t>
      </w:r>
    </w:p>
    <w:p w14:paraId="64F54232" w14:textId="6EE1F284" w:rsidR="00E87E1A" w:rsidRDefault="00287B51">
      <w:pPr>
        <w:numPr>
          <w:ilvl w:val="0"/>
          <w:numId w:val="83"/>
        </w:numPr>
        <w:spacing w:before="120" w:after="200" w:line="276" w:lineRule="auto"/>
        <w:jc w:val="left"/>
        <w:rPr>
          <w:rFonts w:eastAsia="Century Gothic" w:cs="Times New Roman"/>
          <w:bCs/>
          <w:kern w:val="0"/>
          <w:szCs w:val="20"/>
          <w:lang w:bidi="en-US"/>
          <w14:ligatures w14:val="none"/>
        </w:rPr>
      </w:pPr>
      <w:r w:rsidRPr="000A3C96">
        <w:rPr>
          <w:rFonts w:eastAsia="Century Gothic" w:cs="Times New Roman"/>
          <w:iCs/>
          <w:kern w:val="0"/>
          <w:szCs w:val="20"/>
          <w:lang w:bidi="en-US"/>
          <w14:ligatures w14:val="none"/>
        </w:rPr>
        <w:t>elementy systemu</w:t>
      </w:r>
      <w:r w:rsidRPr="000A3C96">
        <w:rPr>
          <w:rFonts w:eastAsia="Century Gothic" w:cs="Times New Roman"/>
          <w:bCs/>
          <w:kern w:val="0"/>
          <w:szCs w:val="20"/>
          <w:lang w:bidi="en-US"/>
          <w14:ligatures w14:val="none"/>
        </w:rPr>
        <w:t xml:space="preserve"> energetycznego – linia elektroenergetyczne WN wraz ze stacją transformatorową (GPZ)</w:t>
      </w:r>
      <w:r w:rsidR="00070957">
        <w:rPr>
          <w:rFonts w:eastAsia="Century Gothic" w:cs="Times New Roman"/>
          <w:bCs/>
          <w:kern w:val="0"/>
          <w:szCs w:val="20"/>
          <w:lang w:bidi="en-US"/>
          <w14:ligatures w14:val="none"/>
        </w:rPr>
        <w:t>,</w:t>
      </w:r>
    </w:p>
    <w:p w14:paraId="546CA3B0" w14:textId="3FFE66CD" w:rsidR="00287B51" w:rsidRDefault="00287B51">
      <w:pPr>
        <w:numPr>
          <w:ilvl w:val="0"/>
          <w:numId w:val="83"/>
        </w:numPr>
        <w:spacing w:before="120" w:after="20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gazociąg wysokiego ciśnienia wraz ze stacją redukcyjno-pomiarową, decydujące o bezpieczeństwie energetycznym obszaru</w:t>
      </w:r>
      <w:r w:rsidR="00070957">
        <w:rPr>
          <w:rFonts w:eastAsia="Century Gothic" w:cs="Times New Roman"/>
          <w:bCs/>
          <w:kern w:val="0"/>
          <w:szCs w:val="20"/>
          <w:lang w:bidi="en-US"/>
          <w14:ligatures w14:val="none"/>
        </w:rPr>
        <w:t>.</w:t>
      </w:r>
    </w:p>
    <w:p w14:paraId="1897007D" w14:textId="271B48DC" w:rsidR="00B16E76" w:rsidRDefault="00B16E76" w:rsidP="00B16E76">
      <w:pPr>
        <w:keepNext/>
        <w:spacing w:before="120" w:after="200" w:line="276" w:lineRule="auto"/>
        <w:ind w:left="284"/>
        <w:jc w:val="left"/>
        <w:rPr>
          <w:rFonts w:eastAsia="Century Gothic" w:cs="Times New Roman"/>
          <w:bCs/>
          <w:kern w:val="0"/>
          <w:szCs w:val="20"/>
          <w:lang w:bidi="en-US"/>
          <w14:ligatures w14:val="none"/>
        </w:rPr>
      </w:pPr>
      <w:r>
        <w:rPr>
          <w:rFonts w:eastAsia="Century Gothic" w:cs="Times New Roman"/>
          <w:bCs/>
          <w:kern w:val="0"/>
          <w:szCs w:val="20"/>
          <w:lang w:bidi="en-US"/>
          <w14:ligatures w14:val="none"/>
        </w:rPr>
        <w:t xml:space="preserve">Na główne elementy infrastruktury społecznej </w:t>
      </w:r>
      <w:r w:rsidRPr="0029491E">
        <w:rPr>
          <w:rFonts w:eastAsia="Century Gothic" w:cs="Times New Roman"/>
          <w:bCs/>
          <w:kern w:val="0"/>
          <w:szCs w:val="20"/>
          <w:lang w:bidi="en-US"/>
          <w14:ligatures w14:val="none"/>
        </w:rPr>
        <w:t>w obszarze gminy składają się:</w:t>
      </w:r>
    </w:p>
    <w:p w14:paraId="56043B0F" w14:textId="2764D184" w:rsidR="00B16E76" w:rsidRDefault="00F93082">
      <w:pPr>
        <w:numPr>
          <w:ilvl w:val="0"/>
          <w:numId w:val="83"/>
        </w:numPr>
        <w:spacing w:before="120" w:after="200" w:line="276" w:lineRule="auto"/>
        <w:jc w:val="left"/>
        <w:rPr>
          <w:rFonts w:eastAsia="Century Gothic" w:cs="Times New Roman"/>
          <w:bCs/>
          <w:kern w:val="0"/>
          <w:szCs w:val="20"/>
          <w:lang w:bidi="en-US"/>
          <w14:ligatures w14:val="none"/>
        </w:rPr>
      </w:pPr>
      <w:r>
        <w:rPr>
          <w:rFonts w:eastAsia="Century Gothic" w:cs="Times New Roman"/>
          <w:bCs/>
          <w:kern w:val="0"/>
          <w:szCs w:val="20"/>
          <w:lang w:bidi="en-US"/>
          <w14:ligatures w14:val="none"/>
        </w:rPr>
        <w:t>obiekty administracji publicznej</w:t>
      </w:r>
      <w:r w:rsidR="001D63F1">
        <w:rPr>
          <w:rFonts w:eastAsia="Century Gothic" w:cs="Times New Roman"/>
          <w:bCs/>
          <w:kern w:val="0"/>
          <w:szCs w:val="20"/>
          <w:lang w:bidi="en-US"/>
          <w14:ligatures w14:val="none"/>
        </w:rPr>
        <w:t xml:space="preserve"> szczebla lokalnego i ponadlokalnego</w:t>
      </w:r>
      <w:r w:rsidR="00025809">
        <w:rPr>
          <w:rFonts w:eastAsia="Century Gothic" w:cs="Times New Roman"/>
          <w:bCs/>
          <w:kern w:val="0"/>
          <w:szCs w:val="20"/>
          <w:lang w:bidi="en-US"/>
          <w14:ligatures w14:val="none"/>
        </w:rPr>
        <w:t xml:space="preserve"> (</w:t>
      </w:r>
      <w:r w:rsidR="00E15B43">
        <w:rPr>
          <w:rFonts w:eastAsia="Century Gothic" w:cs="Times New Roman"/>
          <w:bCs/>
          <w:kern w:val="0"/>
          <w:szCs w:val="20"/>
          <w:lang w:bidi="en-US"/>
          <w14:ligatures w14:val="none"/>
        </w:rPr>
        <w:t xml:space="preserve">w tym: </w:t>
      </w:r>
      <w:r w:rsidR="006728EC">
        <w:rPr>
          <w:rFonts w:eastAsia="Century Gothic" w:cs="Times New Roman"/>
          <w:bCs/>
          <w:kern w:val="0"/>
          <w:szCs w:val="20"/>
          <w:lang w:bidi="en-US"/>
          <w14:ligatures w14:val="none"/>
        </w:rPr>
        <w:t xml:space="preserve">obiekty urzędu miejskiego, </w:t>
      </w:r>
      <w:r w:rsidR="00D52779">
        <w:rPr>
          <w:rFonts w:eastAsia="Century Gothic" w:cs="Times New Roman"/>
          <w:bCs/>
          <w:kern w:val="0"/>
          <w:szCs w:val="20"/>
          <w:lang w:bidi="en-US"/>
          <w14:ligatures w14:val="none"/>
        </w:rPr>
        <w:t xml:space="preserve">starostwa powiatowego, sądu rejonowego, </w:t>
      </w:r>
      <w:r w:rsidR="00B10BD3">
        <w:rPr>
          <w:rFonts w:eastAsia="Century Gothic" w:cs="Times New Roman"/>
          <w:bCs/>
          <w:kern w:val="0"/>
          <w:szCs w:val="20"/>
          <w:lang w:bidi="en-US"/>
          <w14:ligatures w14:val="none"/>
        </w:rPr>
        <w:t xml:space="preserve">ośrodki </w:t>
      </w:r>
      <w:r w:rsidR="00D52779">
        <w:rPr>
          <w:rFonts w:eastAsia="Century Gothic" w:cs="Times New Roman"/>
          <w:bCs/>
          <w:kern w:val="0"/>
          <w:szCs w:val="20"/>
          <w:lang w:bidi="en-US"/>
          <w14:ligatures w14:val="none"/>
        </w:rPr>
        <w:t>pomocy społecznej)</w:t>
      </w:r>
      <w:r w:rsidR="00205A5F">
        <w:rPr>
          <w:rFonts w:eastAsia="Century Gothic" w:cs="Times New Roman"/>
          <w:bCs/>
          <w:kern w:val="0"/>
          <w:szCs w:val="20"/>
          <w:lang w:bidi="en-US"/>
          <w14:ligatures w14:val="none"/>
        </w:rPr>
        <w:t>,</w:t>
      </w:r>
    </w:p>
    <w:p w14:paraId="384EDF63" w14:textId="1E30975F" w:rsidR="00205A5F" w:rsidRDefault="00205A5F">
      <w:pPr>
        <w:numPr>
          <w:ilvl w:val="0"/>
          <w:numId w:val="83"/>
        </w:numPr>
        <w:spacing w:before="120" w:after="200" w:line="276" w:lineRule="auto"/>
        <w:jc w:val="left"/>
        <w:rPr>
          <w:rFonts w:eastAsia="Century Gothic" w:cs="Times New Roman"/>
          <w:bCs/>
          <w:kern w:val="0"/>
          <w:szCs w:val="20"/>
          <w:lang w:bidi="en-US"/>
          <w14:ligatures w14:val="none"/>
        </w:rPr>
      </w:pPr>
      <w:r>
        <w:rPr>
          <w:rFonts w:eastAsia="Century Gothic" w:cs="Times New Roman"/>
          <w:bCs/>
          <w:kern w:val="0"/>
          <w:szCs w:val="20"/>
          <w:lang w:bidi="en-US"/>
          <w14:ligatures w14:val="none"/>
        </w:rPr>
        <w:t>obiekty instytucji kultury i kultu religijnego (</w:t>
      </w:r>
      <w:r w:rsidR="00E15B43">
        <w:rPr>
          <w:rFonts w:eastAsia="Century Gothic" w:cs="Times New Roman"/>
          <w:bCs/>
          <w:kern w:val="0"/>
          <w:szCs w:val="20"/>
          <w:lang w:bidi="en-US"/>
          <w14:ligatures w14:val="none"/>
        </w:rPr>
        <w:t xml:space="preserve">w tym: </w:t>
      </w:r>
      <w:r w:rsidR="00891419">
        <w:rPr>
          <w:rFonts w:eastAsia="Century Gothic" w:cs="Times New Roman"/>
          <w:bCs/>
          <w:kern w:val="0"/>
          <w:szCs w:val="20"/>
          <w:lang w:bidi="en-US"/>
          <w14:ligatures w14:val="none"/>
        </w:rPr>
        <w:t>biblioteki</w:t>
      </w:r>
      <w:r w:rsidR="00E15B43">
        <w:rPr>
          <w:rFonts w:eastAsia="Century Gothic" w:cs="Times New Roman"/>
          <w:bCs/>
          <w:kern w:val="0"/>
          <w:szCs w:val="20"/>
          <w:lang w:bidi="en-US"/>
          <w14:ligatures w14:val="none"/>
        </w:rPr>
        <w:t>, domy kultury, kościoły),</w:t>
      </w:r>
    </w:p>
    <w:p w14:paraId="335E77D2" w14:textId="3988D1A1" w:rsidR="00E15B43" w:rsidRDefault="008A1962">
      <w:pPr>
        <w:numPr>
          <w:ilvl w:val="0"/>
          <w:numId w:val="83"/>
        </w:numPr>
        <w:spacing w:before="120" w:after="200" w:line="276" w:lineRule="auto"/>
        <w:jc w:val="left"/>
        <w:rPr>
          <w:rFonts w:eastAsia="Century Gothic" w:cs="Times New Roman"/>
          <w:bCs/>
          <w:kern w:val="0"/>
          <w:szCs w:val="20"/>
          <w:lang w:bidi="en-US"/>
          <w14:ligatures w14:val="none"/>
        </w:rPr>
      </w:pPr>
      <w:r>
        <w:rPr>
          <w:rFonts w:eastAsia="Century Gothic" w:cs="Times New Roman"/>
          <w:bCs/>
          <w:kern w:val="0"/>
          <w:szCs w:val="20"/>
          <w:lang w:bidi="en-US"/>
          <w14:ligatures w14:val="none"/>
        </w:rPr>
        <w:t xml:space="preserve">placówki ochrony zdrowia (w tym: </w:t>
      </w:r>
      <w:r w:rsidR="00B10BD3">
        <w:rPr>
          <w:rFonts w:eastAsia="Century Gothic" w:cs="Times New Roman"/>
          <w:bCs/>
          <w:kern w:val="0"/>
          <w:szCs w:val="20"/>
          <w:lang w:bidi="en-US"/>
          <w14:ligatures w14:val="none"/>
        </w:rPr>
        <w:t>szpital</w:t>
      </w:r>
      <w:r w:rsidR="00AC4B17">
        <w:rPr>
          <w:rFonts w:eastAsia="Century Gothic" w:cs="Times New Roman"/>
          <w:bCs/>
          <w:kern w:val="0"/>
          <w:szCs w:val="20"/>
          <w:lang w:bidi="en-US"/>
          <w14:ligatures w14:val="none"/>
        </w:rPr>
        <w:t>, poradnie</w:t>
      </w:r>
      <w:r w:rsidR="00B76C6A">
        <w:rPr>
          <w:rFonts w:eastAsia="Century Gothic" w:cs="Times New Roman"/>
          <w:bCs/>
          <w:kern w:val="0"/>
          <w:szCs w:val="20"/>
          <w:lang w:bidi="en-US"/>
          <w14:ligatures w14:val="none"/>
        </w:rPr>
        <w:t>, ośrodki zdrowia</w:t>
      </w:r>
      <w:r w:rsidR="00AC4B17">
        <w:rPr>
          <w:rFonts w:eastAsia="Century Gothic" w:cs="Times New Roman"/>
          <w:bCs/>
          <w:kern w:val="0"/>
          <w:szCs w:val="20"/>
          <w:lang w:bidi="en-US"/>
          <w14:ligatures w14:val="none"/>
        </w:rPr>
        <w:t xml:space="preserve"> i </w:t>
      </w:r>
      <w:r w:rsidR="00B76C6A">
        <w:rPr>
          <w:rFonts w:eastAsia="Century Gothic" w:cs="Times New Roman"/>
          <w:bCs/>
          <w:kern w:val="0"/>
          <w:szCs w:val="20"/>
          <w:lang w:bidi="en-US"/>
          <w14:ligatures w14:val="none"/>
        </w:rPr>
        <w:t>zakłady opieki zdrowotnej)</w:t>
      </w:r>
      <w:r w:rsidR="004C7845">
        <w:rPr>
          <w:rFonts w:eastAsia="Century Gothic" w:cs="Times New Roman"/>
          <w:bCs/>
          <w:kern w:val="0"/>
          <w:szCs w:val="20"/>
          <w:lang w:bidi="en-US"/>
          <w14:ligatures w14:val="none"/>
        </w:rPr>
        <w:t>,</w:t>
      </w:r>
    </w:p>
    <w:p w14:paraId="0F1BB8B2" w14:textId="191C1673" w:rsidR="004C7845" w:rsidRDefault="004C7845">
      <w:pPr>
        <w:numPr>
          <w:ilvl w:val="0"/>
          <w:numId w:val="83"/>
        </w:numPr>
        <w:spacing w:before="120" w:after="200" w:line="276" w:lineRule="auto"/>
        <w:jc w:val="left"/>
        <w:rPr>
          <w:rFonts w:eastAsia="Century Gothic" w:cs="Times New Roman"/>
          <w:bCs/>
          <w:kern w:val="0"/>
          <w:szCs w:val="20"/>
          <w:lang w:bidi="en-US"/>
          <w14:ligatures w14:val="none"/>
        </w:rPr>
      </w:pPr>
      <w:r>
        <w:rPr>
          <w:rFonts w:eastAsia="Century Gothic" w:cs="Times New Roman"/>
          <w:bCs/>
          <w:kern w:val="0"/>
          <w:szCs w:val="20"/>
          <w:lang w:bidi="en-US"/>
          <w14:ligatures w14:val="none"/>
        </w:rPr>
        <w:t xml:space="preserve">placówki instytucji bezpieczeństwa publicznego (w tym: </w:t>
      </w:r>
      <w:r w:rsidR="007B364C">
        <w:rPr>
          <w:rFonts w:eastAsia="Century Gothic" w:cs="Times New Roman"/>
          <w:bCs/>
          <w:kern w:val="0"/>
          <w:szCs w:val="20"/>
          <w:lang w:bidi="en-US"/>
          <w14:ligatures w14:val="none"/>
        </w:rPr>
        <w:t>komenda powiatowa</w:t>
      </w:r>
      <w:r w:rsidR="006C7C24">
        <w:rPr>
          <w:rFonts w:eastAsia="Century Gothic" w:cs="Times New Roman"/>
          <w:bCs/>
          <w:kern w:val="0"/>
          <w:szCs w:val="20"/>
          <w:lang w:bidi="en-US"/>
          <w14:ligatures w14:val="none"/>
        </w:rPr>
        <w:t xml:space="preserve"> policji, </w:t>
      </w:r>
      <w:r w:rsidR="008A7DB9">
        <w:rPr>
          <w:rFonts w:eastAsia="Century Gothic" w:cs="Times New Roman"/>
          <w:bCs/>
          <w:kern w:val="0"/>
          <w:szCs w:val="20"/>
          <w:lang w:bidi="en-US"/>
          <w14:ligatures w14:val="none"/>
        </w:rPr>
        <w:t xml:space="preserve">komenda powiatowa </w:t>
      </w:r>
      <w:r w:rsidR="00CD1478">
        <w:rPr>
          <w:rFonts w:eastAsia="Century Gothic" w:cs="Times New Roman"/>
          <w:bCs/>
          <w:kern w:val="0"/>
          <w:szCs w:val="20"/>
          <w:lang w:bidi="en-US"/>
          <w14:ligatures w14:val="none"/>
        </w:rPr>
        <w:t xml:space="preserve">państwowej straży pożarnej, </w:t>
      </w:r>
      <w:r w:rsidR="00E826E4">
        <w:rPr>
          <w:rFonts w:eastAsia="Century Gothic" w:cs="Times New Roman"/>
          <w:bCs/>
          <w:kern w:val="0"/>
          <w:szCs w:val="20"/>
          <w:lang w:bidi="en-US"/>
          <w14:ligatures w14:val="none"/>
        </w:rPr>
        <w:t>remizy OSP, zakład karny),</w:t>
      </w:r>
    </w:p>
    <w:p w14:paraId="4373CB85" w14:textId="25875587" w:rsidR="00E826E4" w:rsidRDefault="00E826E4">
      <w:pPr>
        <w:numPr>
          <w:ilvl w:val="0"/>
          <w:numId w:val="83"/>
        </w:numPr>
        <w:spacing w:before="120" w:after="200" w:line="276" w:lineRule="auto"/>
        <w:jc w:val="left"/>
        <w:rPr>
          <w:rFonts w:eastAsia="Century Gothic" w:cs="Times New Roman"/>
          <w:bCs/>
          <w:kern w:val="0"/>
          <w:szCs w:val="20"/>
          <w:lang w:bidi="en-US"/>
          <w14:ligatures w14:val="none"/>
        </w:rPr>
      </w:pPr>
      <w:r>
        <w:rPr>
          <w:rFonts w:eastAsia="Century Gothic" w:cs="Times New Roman"/>
          <w:bCs/>
          <w:kern w:val="0"/>
          <w:szCs w:val="20"/>
          <w:lang w:bidi="en-US"/>
          <w14:ligatures w14:val="none"/>
        </w:rPr>
        <w:t xml:space="preserve">placówki edukacji publicznej (w tym: żłobki, przedszkola, szkoły </w:t>
      </w:r>
      <w:r w:rsidR="00A93C38">
        <w:rPr>
          <w:rFonts w:eastAsia="Century Gothic" w:cs="Times New Roman"/>
          <w:bCs/>
          <w:kern w:val="0"/>
          <w:szCs w:val="20"/>
          <w:lang w:bidi="en-US"/>
          <w14:ligatures w14:val="none"/>
        </w:rPr>
        <w:t>podstawowe</w:t>
      </w:r>
      <w:r>
        <w:rPr>
          <w:rFonts w:eastAsia="Century Gothic" w:cs="Times New Roman"/>
          <w:bCs/>
          <w:kern w:val="0"/>
          <w:szCs w:val="20"/>
          <w:lang w:bidi="en-US"/>
          <w14:ligatures w14:val="none"/>
        </w:rPr>
        <w:t xml:space="preserve"> i ponadpodstawowe),</w:t>
      </w:r>
    </w:p>
    <w:p w14:paraId="39E237B9" w14:textId="3F71461D" w:rsidR="00A93C38" w:rsidRDefault="00A93C38">
      <w:pPr>
        <w:numPr>
          <w:ilvl w:val="0"/>
          <w:numId w:val="83"/>
        </w:numPr>
        <w:spacing w:before="120" w:after="200" w:line="276" w:lineRule="auto"/>
        <w:jc w:val="left"/>
        <w:rPr>
          <w:rFonts w:eastAsia="Century Gothic" w:cs="Times New Roman"/>
          <w:bCs/>
          <w:kern w:val="0"/>
          <w:szCs w:val="20"/>
          <w:lang w:bidi="en-US"/>
          <w14:ligatures w14:val="none"/>
        </w:rPr>
      </w:pPr>
      <w:r>
        <w:rPr>
          <w:rFonts w:eastAsia="Century Gothic" w:cs="Times New Roman"/>
          <w:bCs/>
          <w:kern w:val="0"/>
          <w:szCs w:val="20"/>
          <w:lang w:bidi="en-US"/>
          <w14:ligatures w14:val="none"/>
        </w:rPr>
        <w:t>stadion miejski.</w:t>
      </w:r>
    </w:p>
    <w:p w14:paraId="50947D09" w14:textId="37831242" w:rsidR="00B63710" w:rsidRPr="0051622C" w:rsidRDefault="0051622C" w:rsidP="00B63710">
      <w:pPr>
        <w:spacing w:before="120"/>
        <w:ind w:left="426"/>
        <w:rPr>
          <w:rFonts w:eastAsia="Century Gothic" w:cs="Times New Roman"/>
          <w:bCs/>
          <w:kern w:val="0"/>
          <w:szCs w:val="20"/>
          <w:lang w:bidi="en-US"/>
          <w14:ligatures w14:val="none"/>
        </w:rPr>
      </w:pPr>
      <w:r>
        <w:rPr>
          <w:rFonts w:eastAsia="Century Gothic" w:cs="Times New Roman"/>
          <w:bCs/>
          <w:kern w:val="0"/>
          <w:szCs w:val="20"/>
          <w:lang w:bidi="en-US"/>
          <w14:ligatures w14:val="none"/>
        </w:rPr>
        <w:t xml:space="preserve">W odniesieniu do elementów infrastruktury </w:t>
      </w:r>
      <w:r w:rsidR="001A1769">
        <w:rPr>
          <w:rFonts w:eastAsia="Century Gothic" w:cs="Times New Roman"/>
          <w:bCs/>
          <w:kern w:val="0"/>
          <w:szCs w:val="20"/>
          <w:lang w:bidi="en-US"/>
          <w14:ligatures w14:val="none"/>
        </w:rPr>
        <w:t xml:space="preserve">społecznej zakłada się </w:t>
      </w:r>
      <w:r w:rsidRPr="0051622C">
        <w:rPr>
          <w:rFonts w:eastAsia="Century Gothic" w:cs="Times New Roman"/>
          <w:bCs/>
          <w:kern w:val="0"/>
          <w:szCs w:val="20"/>
          <w:lang w:bidi="en-US"/>
          <w14:ligatures w14:val="none"/>
        </w:rPr>
        <w:t xml:space="preserve">kształtowanie warunków przestrzennych zmierzających do poprawy jakości życia mieszkańców zarówno </w:t>
      </w:r>
      <w:r w:rsidR="001A1769">
        <w:rPr>
          <w:rFonts w:eastAsia="Century Gothic" w:cs="Times New Roman"/>
          <w:bCs/>
          <w:kern w:val="0"/>
          <w:szCs w:val="20"/>
          <w:lang w:bidi="en-US"/>
          <w14:ligatures w14:val="none"/>
        </w:rPr>
        <w:t>miasta</w:t>
      </w:r>
      <w:r w:rsidRPr="0051622C">
        <w:rPr>
          <w:rFonts w:eastAsia="Century Gothic" w:cs="Times New Roman"/>
          <w:bCs/>
          <w:kern w:val="0"/>
          <w:szCs w:val="20"/>
          <w:lang w:bidi="en-US"/>
          <w14:ligatures w14:val="none"/>
        </w:rPr>
        <w:t xml:space="preserve">, jaki i </w:t>
      </w:r>
      <w:r w:rsidR="00416DC6">
        <w:rPr>
          <w:rFonts w:eastAsia="Century Gothic" w:cs="Times New Roman"/>
          <w:bCs/>
          <w:kern w:val="0"/>
          <w:szCs w:val="20"/>
          <w:lang w:bidi="en-US"/>
          <w14:ligatures w14:val="none"/>
        </w:rPr>
        <w:t>terenów wiejskich gminy</w:t>
      </w:r>
      <w:r w:rsidRPr="0051622C">
        <w:rPr>
          <w:rFonts w:eastAsia="Century Gothic" w:cs="Times New Roman"/>
          <w:bCs/>
          <w:kern w:val="0"/>
          <w:szCs w:val="20"/>
          <w:lang w:bidi="en-US"/>
          <w14:ligatures w14:val="none"/>
        </w:rPr>
        <w:t>. Działania w tym zakresie służą przede wszystkim poprawie warunków zamieszkania, wypoczynku oraz ułatwieniu dostępu do usług, szczególnie: edukacji, kultury i zdrowia. Rozwój przestrzenny</w:t>
      </w:r>
      <w:r w:rsidR="00416DC6">
        <w:rPr>
          <w:rFonts w:eastAsia="Century Gothic" w:cs="Times New Roman"/>
          <w:bCs/>
          <w:kern w:val="0"/>
          <w:szCs w:val="20"/>
          <w:lang w:bidi="en-US"/>
          <w14:ligatures w14:val="none"/>
        </w:rPr>
        <w:t xml:space="preserve"> </w:t>
      </w:r>
      <w:r w:rsidR="0079113B">
        <w:rPr>
          <w:rFonts w:eastAsia="Century Gothic" w:cs="Times New Roman"/>
          <w:bCs/>
          <w:kern w:val="0"/>
          <w:szCs w:val="20"/>
          <w:lang w:bidi="en-US"/>
          <w14:ligatures w14:val="none"/>
        </w:rPr>
        <w:t xml:space="preserve">wykorzystujący elementy infrastruktury </w:t>
      </w:r>
      <w:r w:rsidRPr="0051622C">
        <w:rPr>
          <w:rFonts w:eastAsia="Century Gothic" w:cs="Times New Roman"/>
          <w:bCs/>
          <w:kern w:val="0"/>
          <w:szCs w:val="20"/>
          <w:lang w:bidi="en-US"/>
          <w14:ligatures w14:val="none"/>
        </w:rPr>
        <w:t>transport</w:t>
      </w:r>
      <w:r w:rsidR="0079113B">
        <w:rPr>
          <w:rFonts w:eastAsia="Century Gothic" w:cs="Times New Roman"/>
          <w:bCs/>
          <w:kern w:val="0"/>
          <w:szCs w:val="20"/>
          <w:lang w:bidi="en-US"/>
          <w14:ligatures w14:val="none"/>
        </w:rPr>
        <w:t>owej</w:t>
      </w:r>
      <w:r w:rsidRPr="0051622C">
        <w:rPr>
          <w:rFonts w:eastAsia="Century Gothic" w:cs="Times New Roman"/>
          <w:bCs/>
          <w:kern w:val="0"/>
          <w:szCs w:val="20"/>
          <w:lang w:bidi="en-US"/>
          <w14:ligatures w14:val="none"/>
        </w:rPr>
        <w:t xml:space="preserve"> i teleinformatyki powinien zapewniać zwiększenie mobilności mieszkańców, co sprzyja wyrównywaniu szans na rynku pracy.</w:t>
      </w:r>
    </w:p>
    <w:p w14:paraId="4E23E949" w14:textId="56775121" w:rsidR="00D9054B" w:rsidRPr="000726B2" w:rsidRDefault="000A3C96">
      <w:pPr>
        <w:keepNext/>
        <w:numPr>
          <w:ilvl w:val="0"/>
          <w:numId w:val="87"/>
        </w:numPr>
        <w:spacing w:before="120" w:after="200" w:line="276" w:lineRule="auto"/>
        <w:ind w:left="284"/>
        <w:jc w:val="left"/>
        <w:rPr>
          <w:rFonts w:eastAsia="Century Gothic" w:cs="Times New Roman"/>
          <w:bCs/>
          <w:kern w:val="0"/>
          <w:szCs w:val="20"/>
          <w:lang w:bidi="en-US"/>
          <w14:ligatures w14:val="none"/>
        </w:rPr>
      </w:pPr>
      <w:r w:rsidRPr="000726B2">
        <w:rPr>
          <w:rFonts w:eastAsia="Century Gothic" w:cs="Times New Roman"/>
          <w:b/>
          <w:kern w:val="0"/>
          <w:szCs w:val="20"/>
          <w:lang w:bidi="en-US"/>
          <w14:ligatures w14:val="none"/>
        </w:rPr>
        <w:t>obszary wzmacniania i rozwoju funkcji społeczno-gospodarczych</w:t>
      </w:r>
      <w:r w:rsidR="00A21248" w:rsidRPr="000726B2">
        <w:rPr>
          <w:rFonts w:eastAsia="Century Gothic" w:cs="Times New Roman"/>
          <w:bCs/>
          <w:kern w:val="0"/>
          <w:szCs w:val="20"/>
          <w:lang w:bidi="en-US"/>
          <w14:ligatures w14:val="none"/>
        </w:rPr>
        <w:t xml:space="preserve">, </w:t>
      </w:r>
      <w:r w:rsidR="002F278A" w:rsidRPr="000726B2">
        <w:rPr>
          <w:rFonts w:eastAsia="Century Gothic" w:cs="Times New Roman"/>
          <w:bCs/>
          <w:kern w:val="0"/>
          <w:szCs w:val="20"/>
          <w:lang w:bidi="en-US"/>
          <w14:ligatures w14:val="none"/>
        </w:rPr>
        <w:t xml:space="preserve">dla </w:t>
      </w:r>
      <w:r w:rsidR="00587AEB" w:rsidRPr="000726B2">
        <w:rPr>
          <w:rFonts w:eastAsia="Century Gothic" w:cs="Times New Roman"/>
          <w:bCs/>
          <w:kern w:val="0"/>
          <w:szCs w:val="20"/>
          <w:lang w:bidi="en-US"/>
          <w14:ligatures w14:val="none"/>
        </w:rPr>
        <w:t xml:space="preserve">których </w:t>
      </w:r>
      <w:r w:rsidR="00A025F6" w:rsidRPr="000726B2">
        <w:rPr>
          <w:rFonts w:eastAsia="Century Gothic" w:cs="Times New Roman"/>
          <w:bCs/>
          <w:kern w:val="0"/>
          <w:szCs w:val="20"/>
          <w:lang w:bidi="en-US"/>
          <w14:ligatures w14:val="none"/>
        </w:rPr>
        <w:t>(</w:t>
      </w:r>
      <w:r w:rsidR="0064089A" w:rsidRPr="000726B2">
        <w:rPr>
          <w:rFonts w:eastAsia="Century Gothic" w:cs="Times New Roman"/>
          <w:bCs/>
          <w:kern w:val="0"/>
          <w:szCs w:val="20"/>
          <w:lang w:bidi="en-US"/>
          <w14:ligatures w14:val="none"/>
        </w:rPr>
        <w:t>w zależności od ich specyfiki</w:t>
      </w:r>
      <w:r w:rsidR="00A025F6" w:rsidRPr="000726B2">
        <w:rPr>
          <w:rFonts w:eastAsia="Century Gothic" w:cs="Times New Roman"/>
          <w:bCs/>
          <w:kern w:val="0"/>
          <w:szCs w:val="20"/>
          <w:lang w:bidi="en-US"/>
          <w14:ligatures w14:val="none"/>
        </w:rPr>
        <w:t>)</w:t>
      </w:r>
      <w:r w:rsidR="0064089A" w:rsidRPr="000726B2">
        <w:rPr>
          <w:rFonts w:eastAsia="Century Gothic" w:cs="Times New Roman"/>
          <w:bCs/>
          <w:kern w:val="0"/>
          <w:szCs w:val="20"/>
          <w:lang w:bidi="en-US"/>
          <w14:ligatures w14:val="none"/>
        </w:rPr>
        <w:t xml:space="preserve"> przyjmuje się</w:t>
      </w:r>
      <w:r w:rsidR="00A025F6" w:rsidRPr="000726B2">
        <w:rPr>
          <w:rFonts w:eastAsia="Century Gothic" w:cs="Times New Roman"/>
          <w:bCs/>
          <w:kern w:val="0"/>
          <w:szCs w:val="20"/>
          <w:lang w:bidi="en-US"/>
          <w14:ligatures w14:val="none"/>
        </w:rPr>
        <w:t xml:space="preserve"> </w:t>
      </w:r>
      <w:r w:rsidR="00FF7F4D" w:rsidRPr="000726B2">
        <w:rPr>
          <w:rFonts w:eastAsia="Century Gothic" w:cs="Times New Roman"/>
          <w:bCs/>
          <w:kern w:val="0"/>
          <w:szCs w:val="20"/>
          <w:lang w:bidi="en-US"/>
          <w14:ligatures w14:val="none"/>
        </w:rPr>
        <w:t>rozwój przestrzennych struktur gospodarczych oraz infrastruktury komunikacyjnej, komunalnej i społecznej służącej wzmacnianiu powiązań funkcjonalnych</w:t>
      </w:r>
      <w:r w:rsidR="00932214" w:rsidRPr="000726B2">
        <w:rPr>
          <w:rFonts w:eastAsia="Century Gothic" w:cs="Times New Roman"/>
          <w:bCs/>
          <w:kern w:val="0"/>
          <w:szCs w:val="20"/>
          <w:lang w:bidi="en-US"/>
          <w14:ligatures w14:val="none"/>
        </w:rPr>
        <w:t xml:space="preserve"> </w:t>
      </w:r>
      <w:r w:rsidR="00CD67BC" w:rsidRPr="000726B2">
        <w:rPr>
          <w:rFonts w:eastAsia="Century Gothic" w:cs="Times New Roman"/>
          <w:bCs/>
          <w:kern w:val="0"/>
          <w:szCs w:val="20"/>
          <w:lang w:bidi="en-US"/>
          <w14:ligatures w14:val="none"/>
        </w:rPr>
        <w:t xml:space="preserve">w </w:t>
      </w:r>
      <w:r w:rsidR="002C0C04" w:rsidRPr="000726B2">
        <w:rPr>
          <w:rFonts w:eastAsia="Century Gothic" w:cs="Times New Roman"/>
          <w:bCs/>
          <w:kern w:val="0"/>
          <w:szCs w:val="20"/>
          <w:lang w:bidi="en-US"/>
          <w14:ligatures w14:val="none"/>
        </w:rPr>
        <w:t xml:space="preserve">odniesieniu do </w:t>
      </w:r>
      <w:r w:rsidR="003C77D5" w:rsidRPr="000726B2">
        <w:rPr>
          <w:rFonts w:eastAsia="Century Gothic" w:cs="Times New Roman"/>
          <w:bCs/>
          <w:kern w:val="0"/>
          <w:szCs w:val="20"/>
          <w:lang w:bidi="en-US"/>
          <w14:ligatures w14:val="none"/>
        </w:rPr>
        <w:t>obszar</w:t>
      </w:r>
      <w:r w:rsidR="00323E95" w:rsidRPr="000726B2">
        <w:rPr>
          <w:rFonts w:eastAsia="Century Gothic" w:cs="Times New Roman"/>
          <w:bCs/>
          <w:kern w:val="0"/>
          <w:szCs w:val="20"/>
          <w:lang w:bidi="en-US"/>
          <w14:ligatures w14:val="none"/>
        </w:rPr>
        <w:t xml:space="preserve">ów </w:t>
      </w:r>
      <w:r w:rsidR="001D0DB1" w:rsidRPr="000726B2">
        <w:rPr>
          <w:rFonts w:eastAsia="Century Gothic" w:cs="Times New Roman"/>
          <w:bCs/>
          <w:kern w:val="0"/>
          <w:szCs w:val="20"/>
          <w:lang w:bidi="en-US"/>
          <w14:ligatures w14:val="none"/>
        </w:rPr>
        <w:t xml:space="preserve">zurbanizowanych miasta i </w:t>
      </w:r>
      <w:r w:rsidR="00323E95" w:rsidRPr="000726B2">
        <w:rPr>
          <w:rFonts w:eastAsia="Century Gothic" w:cs="Times New Roman"/>
          <w:bCs/>
          <w:kern w:val="0"/>
          <w:szCs w:val="20"/>
          <w:lang w:bidi="en-US"/>
          <w14:ligatures w14:val="none"/>
        </w:rPr>
        <w:t xml:space="preserve">będących w zasięgu jego </w:t>
      </w:r>
      <w:r w:rsidR="00106631" w:rsidRPr="000726B2">
        <w:rPr>
          <w:rFonts w:eastAsia="Century Gothic" w:cs="Times New Roman"/>
          <w:bCs/>
          <w:kern w:val="0"/>
          <w:szCs w:val="20"/>
          <w:lang w:bidi="en-US"/>
          <w14:ligatures w14:val="none"/>
        </w:rPr>
        <w:t>oddziaływania</w:t>
      </w:r>
      <w:r w:rsidR="002B4D88" w:rsidRPr="000726B2">
        <w:rPr>
          <w:rFonts w:eastAsia="Century Gothic" w:cs="Times New Roman"/>
          <w:bCs/>
          <w:kern w:val="0"/>
          <w:szCs w:val="20"/>
          <w:lang w:bidi="en-US"/>
          <w14:ligatures w14:val="none"/>
        </w:rPr>
        <w:t xml:space="preserve">, a także </w:t>
      </w:r>
      <w:r w:rsidR="00323E95" w:rsidRPr="000726B2">
        <w:rPr>
          <w:rFonts w:eastAsia="Century Gothic" w:cs="Times New Roman"/>
          <w:bCs/>
          <w:kern w:val="0"/>
          <w:szCs w:val="20"/>
          <w:lang w:bidi="en-US"/>
          <w14:ligatures w14:val="none"/>
        </w:rPr>
        <w:t>zachowanie naturalnych wartości zasobów rolniczej przestrzeni produkcyjnej oraz zrównoważony rozwój gospodarki rolnej i funkcji towarzyszących</w:t>
      </w:r>
      <w:r w:rsidR="002B4D88" w:rsidRPr="000726B2">
        <w:rPr>
          <w:rFonts w:eastAsia="Century Gothic" w:cs="Times New Roman"/>
          <w:bCs/>
          <w:kern w:val="0"/>
          <w:szCs w:val="20"/>
          <w:lang w:bidi="en-US"/>
          <w14:ligatures w14:val="none"/>
        </w:rPr>
        <w:t xml:space="preserve"> – w </w:t>
      </w:r>
      <w:r w:rsidR="00FF7F4D" w:rsidRPr="000726B2">
        <w:rPr>
          <w:rFonts w:eastAsia="Century Gothic" w:cs="Times New Roman"/>
          <w:bCs/>
          <w:kern w:val="0"/>
          <w:szCs w:val="20"/>
          <w:lang w:bidi="en-US"/>
          <w14:ligatures w14:val="none"/>
        </w:rPr>
        <w:t>obszarach rolniczych</w:t>
      </w:r>
      <w:r w:rsidR="002B4D88" w:rsidRPr="000726B2">
        <w:rPr>
          <w:rFonts w:eastAsia="Century Gothic" w:cs="Times New Roman"/>
          <w:bCs/>
          <w:kern w:val="0"/>
          <w:szCs w:val="20"/>
          <w:lang w:bidi="en-US"/>
          <w14:ligatures w14:val="none"/>
        </w:rPr>
        <w:t>.</w:t>
      </w:r>
      <w:r w:rsidR="000726B2">
        <w:rPr>
          <w:rFonts w:eastAsia="Century Gothic" w:cs="Times New Roman"/>
          <w:bCs/>
          <w:kern w:val="0"/>
          <w:szCs w:val="20"/>
          <w:lang w:bidi="en-US"/>
          <w14:ligatures w14:val="none"/>
        </w:rPr>
        <w:t xml:space="preserve"> </w:t>
      </w:r>
      <w:r w:rsidR="00FF7F4D" w:rsidRPr="000726B2">
        <w:rPr>
          <w:rFonts w:eastAsia="Century Gothic" w:cs="Times New Roman"/>
          <w:bCs/>
          <w:kern w:val="0"/>
          <w:szCs w:val="20"/>
          <w:lang w:bidi="en-US"/>
          <w14:ligatures w14:val="none"/>
        </w:rPr>
        <w:t>Obszary te dzieli się na strefy</w:t>
      </w:r>
      <w:r w:rsidR="00D9054B" w:rsidRPr="000726B2">
        <w:rPr>
          <w:rFonts w:eastAsia="Century Gothic" w:cs="Times New Roman"/>
          <w:bCs/>
          <w:kern w:val="0"/>
          <w:szCs w:val="20"/>
          <w:lang w:bidi="en-US"/>
          <w14:ligatures w14:val="none"/>
        </w:rPr>
        <w:t>:</w:t>
      </w:r>
    </w:p>
    <w:p w14:paraId="0D08DB6E" w14:textId="3953BAED" w:rsidR="000A3C96" w:rsidRPr="000A3C96" w:rsidRDefault="000A3C96">
      <w:pPr>
        <w:numPr>
          <w:ilvl w:val="0"/>
          <w:numId w:val="83"/>
        </w:numPr>
        <w:spacing w:before="120" w:after="200" w:line="276" w:lineRule="auto"/>
        <w:ind w:left="714" w:hanging="357"/>
        <w:jc w:val="left"/>
        <w:rPr>
          <w:rFonts w:eastAsia="Century Gothic" w:cs="Times New Roman"/>
          <w:bCs/>
          <w:kern w:val="0"/>
          <w:szCs w:val="20"/>
          <w:lang w:bidi="en-US"/>
          <w14:ligatures w14:val="none"/>
        </w:rPr>
      </w:pPr>
      <w:r w:rsidRPr="000726B2">
        <w:rPr>
          <w:rFonts w:eastAsia="Century Gothic" w:cs="Times New Roman"/>
          <w:b/>
          <w:kern w:val="0"/>
          <w:szCs w:val="20"/>
          <w:lang w:bidi="en-US"/>
          <w14:ligatures w14:val="none"/>
        </w:rPr>
        <w:t>zainwestowania miejskiego</w:t>
      </w:r>
      <w:r w:rsidRPr="000A3C96">
        <w:rPr>
          <w:rFonts w:eastAsia="Century Gothic" w:cs="Times New Roman"/>
          <w:bCs/>
          <w:kern w:val="0"/>
          <w:szCs w:val="20"/>
          <w:lang w:bidi="en-US"/>
          <w14:ligatures w14:val="none"/>
        </w:rPr>
        <w:t xml:space="preserve"> – strefa koncentracji zabudowy mieszkaniowej jedno- i wielorodzinnej z usługami towarzyszącymi oraz rozwoju usług opartych na lokalnych zasobach i mających wpływ na rozwój społeczno-gospodarczy miasta i gminy, w tym </w:t>
      </w:r>
      <w:r w:rsidRPr="000A3C96">
        <w:rPr>
          <w:rFonts w:eastAsia="Century Gothic" w:cs="Times New Roman"/>
          <w:bCs/>
          <w:kern w:val="0"/>
          <w:szCs w:val="20"/>
          <w:lang w:bidi="en-US"/>
          <w14:ligatures w14:val="none"/>
        </w:rPr>
        <w:lastRenderedPageBreak/>
        <w:t>tereny: lokalizacji obiektów i działalności związanej z obsługą ruchu turystycznego (handel, gastronomia, informacja turystyczna, noclegi, itp.), aktywności fizycznej, rekreacji i wypoczynku (boiska, parki, korty tenisowe, wypożyczalnie sprzętu sportowego, itp.), kultu religijnego i usług kultury;</w:t>
      </w:r>
    </w:p>
    <w:p w14:paraId="27D6BA78" w14:textId="5C36F63B" w:rsidR="000A3C96" w:rsidRPr="00976AB8" w:rsidRDefault="000A3C96">
      <w:pPr>
        <w:numPr>
          <w:ilvl w:val="0"/>
          <w:numId w:val="83"/>
        </w:numPr>
        <w:spacing w:before="120" w:after="200" w:line="276" w:lineRule="auto"/>
        <w:ind w:left="714" w:hanging="357"/>
        <w:jc w:val="left"/>
        <w:rPr>
          <w:rFonts w:eastAsia="Century Gothic" w:cs="Times New Roman"/>
          <w:bCs/>
          <w:kern w:val="0"/>
          <w:szCs w:val="20"/>
          <w:lang w:bidi="en-US"/>
          <w14:ligatures w14:val="none"/>
        </w:rPr>
      </w:pPr>
      <w:r w:rsidRPr="000726B2">
        <w:rPr>
          <w:rFonts w:eastAsia="Century Gothic" w:cs="Times New Roman"/>
          <w:b/>
          <w:kern w:val="0"/>
          <w:szCs w:val="20"/>
          <w:lang w:bidi="en-US"/>
          <w14:ligatures w14:val="none"/>
        </w:rPr>
        <w:t>aktywności gospodarczej</w:t>
      </w:r>
      <w:r w:rsidRPr="000A3C96">
        <w:rPr>
          <w:rFonts w:eastAsia="Century Gothic" w:cs="Times New Roman"/>
          <w:bCs/>
          <w:kern w:val="0"/>
          <w:szCs w:val="20"/>
          <w:lang w:bidi="en-US"/>
          <w14:ligatures w14:val="none"/>
        </w:rPr>
        <w:t xml:space="preserve"> – strefa koncentracji i rozwoju funkcji przedsiębiorczości pozarolniczej i przemysłowych, w tym głównie przemysłu spożywczego, przetwórstwa owocowo-warzywnego, jako </w:t>
      </w:r>
      <w:r w:rsidRPr="000A3C96">
        <w:rPr>
          <w:rFonts w:eastAsia="Century Gothic" w:cs="Times New Roman"/>
          <w:kern w:val="0"/>
          <w:szCs w:val="20"/>
          <w:lang w:bidi="en-US"/>
          <w14:ligatures w14:val="none"/>
        </w:rPr>
        <w:t xml:space="preserve">ogniwa organizacji przestrzeni gospodarczej stanowiące zorganizowane strefy przedsiębiorczości, tereny inwestycyjne dla lokalizacji przemysłu i usług, w ramach których zakłada się realizację działań służących wzmocnieniu i wzbogaceniu funkcjonalnemu obszaru, </w:t>
      </w:r>
      <w:r w:rsidRPr="000A3C96">
        <w:rPr>
          <w:rFonts w:eastAsia="Century Gothic" w:cs="Times New Roman"/>
          <w:bCs/>
          <w:iCs/>
          <w:kern w:val="0"/>
          <w:szCs w:val="20"/>
          <w:lang w:bidi="en-US"/>
          <w14:ligatures w14:val="none"/>
        </w:rPr>
        <w:t>zwiększenie potencjału instytucji otoczenia biznesu,</w:t>
      </w:r>
      <w:r w:rsidRPr="000A3C96">
        <w:rPr>
          <w:rFonts w:eastAsia="Century Gothic" w:cs="Times New Roman"/>
          <w:kern w:val="0"/>
          <w:szCs w:val="20"/>
          <w:lang w:bidi="en-US"/>
          <w14:ligatures w14:val="none"/>
        </w:rPr>
        <w:t xml:space="preserve"> poprawę efektywności zagospodarowania i racjonalne wykorzystanie terenów częściowo zainwestowanych i </w:t>
      </w:r>
      <w:r w:rsidRPr="000A3C96">
        <w:rPr>
          <w:rFonts w:eastAsia="Century Gothic" w:cs="Times New Roman"/>
          <w:i/>
          <w:kern w:val="0"/>
          <w:szCs w:val="20"/>
          <w:lang w:bidi="en-US"/>
          <w14:ligatures w14:val="none"/>
        </w:rPr>
        <w:t>brownfield</w:t>
      </w:r>
      <w:r w:rsidRPr="000A3C96">
        <w:rPr>
          <w:rFonts w:eastAsia="Century Gothic" w:cs="Times New Roman"/>
          <w:kern w:val="0"/>
          <w:szCs w:val="20"/>
          <w:lang w:bidi="en-US"/>
          <w14:ligatures w14:val="none"/>
        </w:rPr>
        <w:t>, przekształcanie mało atrakcyjnych stref w nowoczesne strefy aktywności gospodarczej;</w:t>
      </w:r>
    </w:p>
    <w:p w14:paraId="73BC4736" w14:textId="439110FF" w:rsidR="000A3C96" w:rsidRPr="000A3C96" w:rsidRDefault="000A3C96">
      <w:pPr>
        <w:numPr>
          <w:ilvl w:val="0"/>
          <w:numId w:val="83"/>
        </w:numPr>
        <w:spacing w:before="120" w:after="200" w:line="276" w:lineRule="auto"/>
        <w:ind w:left="714" w:hanging="357"/>
        <w:jc w:val="left"/>
        <w:rPr>
          <w:rFonts w:eastAsia="Century Gothic" w:cs="Times New Roman"/>
          <w:kern w:val="0"/>
          <w:szCs w:val="20"/>
          <w:lang w:bidi="en-US"/>
          <w14:ligatures w14:val="none"/>
        </w:rPr>
      </w:pPr>
      <w:r w:rsidRPr="000726B2">
        <w:rPr>
          <w:rFonts w:eastAsia="Century Gothic" w:cs="Times New Roman"/>
          <w:b/>
          <w:bCs/>
          <w:kern w:val="0"/>
          <w:szCs w:val="20"/>
          <w:lang w:bidi="en-US"/>
          <w14:ligatures w14:val="none"/>
        </w:rPr>
        <w:t>upraw sadowniczych</w:t>
      </w:r>
      <w:r w:rsidRPr="000A3C96">
        <w:rPr>
          <w:rFonts w:eastAsia="Century Gothic" w:cs="Times New Roman"/>
          <w:kern w:val="0"/>
          <w:szCs w:val="20"/>
          <w:lang w:bidi="en-US"/>
          <w14:ligatures w14:val="none"/>
        </w:rPr>
        <w:t xml:space="preserve"> – strefa intensywnej gospodarki rolnej o najlepszych warunkach środowiskowych dla rozwoju produkcji rolnej, charakteryzująca się dobrej jakości glebami, dobrą organizacją gospodarstw i wysoką kulturą rolną, w której rolnictwo jest funkcją aktywizującą rozwój gospodarczy. Rozwój obszarów ukierunkowany na ochronę zasobów gleb oraz wspieranie produkcji rolnej, w tym zwłaszcza sadowniczej i plantacyjnej, uzupełnianej różnymi formami usługowo-produkcyjnych działalności gospodarczych powiązanych z rolnictwem (np. przetwórstwo rolno-spożywcze, obsługa rolnictwa). Ze względu na położenie w znacznej mierze w granicach Wrzelowieckiego Parku Krajobrazowego i jego otuliny, polityka przestrzenna winna być ukierunkowana na ograniczanie nadmiernej urbanizacji, zapewnienie warunków harmonijnego rozwoju rolnictwa i rozwijanie agroturystyki, w przypadku wystąpienia konfliktu pomiędzy nowoprojektowaną zabudową mieszkaniową, a uciążliwą zabudową rolno-produkcyjną priorytet powinna posiadać funkcja produkcyjna;</w:t>
      </w:r>
    </w:p>
    <w:p w14:paraId="1904D69C" w14:textId="2F45DF21" w:rsidR="000A3C96" w:rsidRPr="000A3C96" w:rsidRDefault="000A3C96">
      <w:pPr>
        <w:numPr>
          <w:ilvl w:val="0"/>
          <w:numId w:val="83"/>
        </w:numPr>
        <w:spacing w:before="120" w:after="200" w:line="276" w:lineRule="auto"/>
        <w:ind w:left="714" w:hanging="357"/>
        <w:jc w:val="left"/>
        <w:rPr>
          <w:rFonts w:eastAsia="Century Gothic" w:cs="Times New Roman"/>
          <w:bCs/>
          <w:kern w:val="0"/>
          <w:szCs w:val="20"/>
          <w:lang w:bidi="en-US"/>
          <w14:ligatures w14:val="none"/>
        </w:rPr>
      </w:pPr>
      <w:r w:rsidRPr="000726B2">
        <w:rPr>
          <w:rFonts w:eastAsia="Century Gothic" w:cs="Times New Roman"/>
          <w:b/>
          <w:kern w:val="0"/>
          <w:szCs w:val="20"/>
          <w:lang w:bidi="en-US"/>
          <w14:ligatures w14:val="none"/>
        </w:rPr>
        <w:t>upraw polowych</w:t>
      </w:r>
      <w:r w:rsidRPr="000A3C96">
        <w:rPr>
          <w:rFonts w:eastAsia="Century Gothic" w:cs="Times New Roman"/>
          <w:bCs/>
          <w:kern w:val="0"/>
          <w:szCs w:val="20"/>
          <w:lang w:bidi="en-US"/>
          <w14:ligatures w14:val="none"/>
        </w:rPr>
        <w:t xml:space="preserve"> – strefa gospodarki rolnej o średnio dobrych warunkach rozwoju, z przewagą gruntów IV klasy bonitacyjnej, co umożliwia głównie uprawę zbóż. Rozwój  obszaru ukierunkowany na ochronę użytków rolnych przed zmniejszaniem ich areałów i powiększanie areałów gospodarstw, a także  wspieranie rozwoju produkcji rolnej różnymi formami usługowo-produkcyjnych działalności gospodarczych powiązanych z rolnictwem. W zagospodarowaniu przestrzennym funkcje rolno-produkcyjne powinny mieć priorytet w stosunku do funkcji mieszkaniowej;</w:t>
      </w:r>
    </w:p>
    <w:p w14:paraId="69A9D90A" w14:textId="254F013F" w:rsidR="000A3C96" w:rsidRPr="000A3C96" w:rsidRDefault="000A3C96">
      <w:pPr>
        <w:numPr>
          <w:ilvl w:val="0"/>
          <w:numId w:val="83"/>
        </w:numPr>
        <w:spacing w:before="120" w:after="200" w:line="276" w:lineRule="auto"/>
        <w:ind w:left="714" w:hanging="357"/>
        <w:jc w:val="left"/>
        <w:rPr>
          <w:rFonts w:eastAsia="Century Gothic" w:cs="Times New Roman"/>
          <w:bCs/>
          <w:kern w:val="0"/>
          <w:szCs w:val="20"/>
          <w:lang w:bidi="en-US"/>
          <w14:ligatures w14:val="none"/>
        </w:rPr>
        <w:sectPr w:rsidR="000A3C96" w:rsidRPr="000A3C96" w:rsidSect="00CA76EC">
          <w:headerReference w:type="default" r:id="rId80"/>
          <w:footerReference w:type="default" r:id="rId81"/>
          <w:pgSz w:w="11906" w:h="16838"/>
          <w:pgMar w:top="1417" w:right="1417" w:bottom="1417" w:left="1417" w:header="708" w:footer="708" w:gutter="0"/>
          <w:cols w:space="708"/>
          <w:titlePg/>
          <w:docGrid w:linePitch="360"/>
        </w:sectPr>
      </w:pPr>
      <w:r w:rsidRPr="005A2CF8">
        <w:rPr>
          <w:rFonts w:eastAsia="Century Gothic" w:cs="Times New Roman"/>
          <w:b/>
          <w:kern w:val="0"/>
          <w:szCs w:val="20"/>
          <w:lang w:bidi="en-US"/>
          <w14:ligatures w14:val="none"/>
        </w:rPr>
        <w:t>dolinn</w:t>
      </w:r>
      <w:r w:rsidR="005A2CF8" w:rsidRPr="005A2CF8">
        <w:rPr>
          <w:rFonts w:eastAsia="Century Gothic" w:cs="Times New Roman"/>
          <w:b/>
          <w:kern w:val="0"/>
          <w:szCs w:val="20"/>
          <w:lang w:bidi="en-US"/>
          <w14:ligatures w14:val="none"/>
        </w:rPr>
        <w:t>e</w:t>
      </w:r>
      <w:r w:rsidRPr="000A3C96">
        <w:rPr>
          <w:rFonts w:eastAsia="Century Gothic" w:cs="Times New Roman"/>
          <w:bCs/>
          <w:kern w:val="0"/>
          <w:szCs w:val="20"/>
          <w:lang w:bidi="en-US"/>
          <w14:ligatures w14:val="none"/>
        </w:rPr>
        <w:t xml:space="preserve"> – stref</w:t>
      </w:r>
      <w:r w:rsidR="005A2CF8">
        <w:rPr>
          <w:rFonts w:eastAsia="Century Gothic" w:cs="Times New Roman"/>
          <w:bCs/>
          <w:kern w:val="0"/>
          <w:szCs w:val="20"/>
          <w:lang w:bidi="en-US"/>
          <w14:ligatures w14:val="none"/>
        </w:rPr>
        <w:t>y</w:t>
      </w:r>
      <w:r w:rsidRPr="000A3C96">
        <w:rPr>
          <w:rFonts w:eastAsia="Century Gothic" w:cs="Times New Roman"/>
          <w:bCs/>
          <w:kern w:val="0"/>
          <w:szCs w:val="20"/>
          <w:lang w:bidi="en-US"/>
          <w14:ligatures w14:val="none"/>
        </w:rPr>
        <w:t xml:space="preserve"> rozciągając</w:t>
      </w:r>
      <w:r w:rsidR="005A2CF8">
        <w:rPr>
          <w:rFonts w:eastAsia="Century Gothic" w:cs="Times New Roman"/>
          <w:bCs/>
          <w:kern w:val="0"/>
          <w:szCs w:val="20"/>
          <w:lang w:bidi="en-US"/>
          <w14:ligatures w14:val="none"/>
        </w:rPr>
        <w:t>e</w:t>
      </w:r>
      <w:r w:rsidRPr="000A3C96">
        <w:rPr>
          <w:rFonts w:eastAsia="Century Gothic" w:cs="Times New Roman"/>
          <w:bCs/>
          <w:kern w:val="0"/>
          <w:szCs w:val="20"/>
          <w:lang w:bidi="en-US"/>
          <w14:ligatures w14:val="none"/>
        </w:rPr>
        <w:t xml:space="preserve"> się wzdłuż dolin Chodelki i Leonki o sprzyjających warunkach dla rozwoju gospodarki rybackiej oraz słabych lub bardzo słabych warunkach rozwoju rolnictwa uwarunkowanych znacznymi areałami słabych gleb (V i VI klasy bonitacyjnej) i ugorowanych użytków rolnych oraz rozdrobnieniem gospodarstw rolnych. Wielofunkcyjny rozwój obszarów oparty na wspieraniu rozwoju funkcji gospodarki rybackiej i turystyki oraz uzupełniających funkcji usługowo-gospodarczych tj. drobne rzemiosło, usługi produkcyjne, usługi związane z obsługą turystyki, rekreacji, agroturystyki, handel.</w:t>
      </w:r>
    </w:p>
    <w:p w14:paraId="69E590C8" w14:textId="77777777" w:rsidR="000A3C96" w:rsidRDefault="000A3C96" w:rsidP="00FB13A1">
      <w:pPr>
        <w:spacing w:after="0"/>
        <w:ind w:left="720"/>
        <w:rPr>
          <w:rFonts w:eastAsia="Century Gothic" w:cs="Times New Roman"/>
          <w:bCs/>
          <w:kern w:val="0"/>
          <w:szCs w:val="20"/>
          <w:lang w:bidi="en-US"/>
          <w14:ligatures w14:val="none"/>
        </w:rPr>
      </w:pPr>
      <w:r w:rsidRPr="000A3C96">
        <w:rPr>
          <w:rFonts w:eastAsia="Century Gothic" w:cs="Times New Roman"/>
          <w:bCs/>
          <w:noProof/>
          <w:kern w:val="0"/>
          <w:szCs w:val="20"/>
          <w:lang w:eastAsia="pl-PL"/>
          <w14:ligatures w14:val="none"/>
        </w:rPr>
        <w:lastRenderedPageBreak/>
        <w:drawing>
          <wp:inline distT="0" distB="0" distL="0" distR="0" wp14:anchorId="13995742" wp14:editId="3724791C">
            <wp:extent cx="12177078" cy="8609882"/>
            <wp:effectExtent l="0" t="0" r="0" b="1270"/>
            <wp:docPr id="14926540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54003" name="Obraz 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177078" cy="8609882"/>
                    </a:xfrm>
                    <a:prstGeom prst="rect">
                      <a:avLst/>
                    </a:prstGeom>
                  </pic:spPr>
                </pic:pic>
              </a:graphicData>
            </a:graphic>
          </wp:inline>
        </w:drawing>
      </w:r>
    </w:p>
    <w:p w14:paraId="129CACD8" w14:textId="093DC457" w:rsidR="00D35C4D" w:rsidRPr="00D35C4D" w:rsidRDefault="00D35C4D" w:rsidP="00FB13A1">
      <w:pPr>
        <w:spacing w:after="0" w:line="240" w:lineRule="auto"/>
        <w:rPr>
          <w:rFonts w:eastAsia="Calibri" w:cs="Times New Roman"/>
          <w:b/>
          <w:bCs/>
          <w:color w:val="7B230B"/>
          <w:kern w:val="0"/>
          <w:sz w:val="16"/>
          <w:szCs w:val="19"/>
          <w14:ligatures w14:val="none"/>
        </w:rPr>
      </w:pPr>
      <w:bookmarkStart w:id="195" w:name="_Toc189166411"/>
      <w:r w:rsidRPr="003F2001">
        <w:rPr>
          <w:rFonts w:eastAsia="Calibri" w:cs="Times New Roman"/>
          <w:b/>
          <w:bCs/>
          <w:color w:val="7B230B"/>
          <w:kern w:val="0"/>
          <w:sz w:val="16"/>
          <w:szCs w:val="19"/>
          <w14:ligatures w14:val="none"/>
        </w:rPr>
        <w:t xml:space="preserve">Ryc.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Ryc.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7</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xml:space="preserve">. </w:t>
      </w:r>
      <w:r>
        <w:rPr>
          <w:rFonts w:eastAsia="Calibri" w:cs="Times New Roman"/>
          <w:b/>
          <w:bCs/>
          <w:color w:val="7B230B"/>
          <w:kern w:val="0"/>
          <w:sz w:val="16"/>
          <w:szCs w:val="19"/>
          <w14:ligatures w14:val="none"/>
        </w:rPr>
        <w:t>Model struktury funkcjonalno</w:t>
      </w:r>
      <w:r w:rsidR="0049381C">
        <w:rPr>
          <w:rFonts w:eastAsia="Calibri" w:cs="Times New Roman"/>
          <w:b/>
          <w:bCs/>
          <w:color w:val="7B230B"/>
          <w:kern w:val="0"/>
          <w:sz w:val="16"/>
          <w:szCs w:val="19"/>
          <w14:ligatures w14:val="none"/>
        </w:rPr>
        <w:t>-</w:t>
      </w:r>
      <w:r>
        <w:rPr>
          <w:rFonts w:eastAsia="Calibri" w:cs="Times New Roman"/>
          <w:b/>
          <w:bCs/>
          <w:color w:val="7B230B"/>
          <w:kern w:val="0"/>
          <w:sz w:val="16"/>
          <w:szCs w:val="19"/>
          <w14:ligatures w14:val="none"/>
        </w:rPr>
        <w:t>przestrzennej Gminy Opole Lubelskie</w:t>
      </w:r>
      <w:bookmarkEnd w:id="195"/>
    </w:p>
    <w:p w14:paraId="33F84194" w14:textId="77777777" w:rsidR="00D35C4D" w:rsidRPr="000A3C96" w:rsidRDefault="00D35C4D" w:rsidP="000A3C96">
      <w:pPr>
        <w:spacing w:before="200" w:after="200"/>
        <w:ind w:left="720"/>
        <w:rPr>
          <w:rFonts w:eastAsia="Century Gothic" w:cs="Times New Roman"/>
          <w:bCs/>
          <w:kern w:val="0"/>
          <w:szCs w:val="20"/>
          <w:lang w:bidi="en-US"/>
          <w14:ligatures w14:val="none"/>
        </w:rPr>
        <w:sectPr w:rsidR="00D35C4D" w:rsidRPr="000A3C96" w:rsidSect="000A3C96">
          <w:pgSz w:w="23811" w:h="16838" w:orient="landscape" w:code="8"/>
          <w:pgMar w:top="1417" w:right="1417" w:bottom="1417" w:left="1417" w:header="708" w:footer="708" w:gutter="0"/>
          <w:cols w:space="708"/>
          <w:docGrid w:linePitch="360"/>
        </w:sectPr>
      </w:pPr>
    </w:p>
    <w:p w14:paraId="55F8A8A6" w14:textId="3C5BD882" w:rsidR="000A3C96" w:rsidRPr="000A3C96" w:rsidRDefault="000A3C96" w:rsidP="00A40B22">
      <w:pPr>
        <w:pStyle w:val="Nagwek1"/>
        <w:jc w:val="left"/>
        <w:rPr>
          <w:lang w:bidi="en-US"/>
        </w:rPr>
      </w:pPr>
      <w:bookmarkStart w:id="196" w:name="_Toc191908800"/>
      <w:r>
        <w:rPr>
          <w:lang w:bidi="en-US"/>
        </w:rPr>
        <w:lastRenderedPageBreak/>
        <w:t xml:space="preserve">9 B. </w:t>
      </w:r>
      <w:r w:rsidR="00A40B22" w:rsidRPr="00A40B22">
        <w:t>Ustalenia i rekomendacje do lokalnych dokumentów planistycznych</w:t>
      </w:r>
      <w:bookmarkEnd w:id="196"/>
    </w:p>
    <w:p w14:paraId="1AD9C0BB" w14:textId="6504C702" w:rsidR="000118E8" w:rsidRDefault="001D691F" w:rsidP="00E73482">
      <w:pPr>
        <w:spacing w:before="120"/>
        <w:rPr>
          <w:rFonts w:eastAsia="Century Gothic" w:cs="Times New Roman"/>
          <w:bCs/>
          <w:kern w:val="0"/>
          <w:szCs w:val="20"/>
          <w:lang w:bidi="en-US"/>
          <w14:ligatures w14:val="none"/>
        </w:rPr>
      </w:pPr>
      <w:r>
        <w:rPr>
          <w:rFonts w:eastAsia="Century Gothic" w:cs="Times New Roman"/>
          <w:bCs/>
          <w:kern w:val="0"/>
          <w:szCs w:val="20"/>
          <w:lang w:bidi="en-US"/>
          <w14:ligatures w14:val="none"/>
        </w:rPr>
        <w:t>Ustalenia i rekomendacje do lokalnych dokumentów planistycznych</w:t>
      </w:r>
      <w:r w:rsidR="00CC70E1">
        <w:rPr>
          <w:rFonts w:eastAsia="Century Gothic" w:cs="Times New Roman"/>
          <w:bCs/>
          <w:kern w:val="0"/>
          <w:szCs w:val="20"/>
          <w:lang w:bidi="en-US"/>
          <w14:ligatures w14:val="none"/>
        </w:rPr>
        <w:t xml:space="preserve"> służyć mają realizacji polityki przestrzennej</w:t>
      </w:r>
      <w:r w:rsidR="00DA4C81">
        <w:rPr>
          <w:rFonts w:eastAsia="Century Gothic" w:cs="Times New Roman"/>
          <w:bCs/>
          <w:kern w:val="0"/>
          <w:szCs w:val="20"/>
          <w:lang w:bidi="en-US"/>
          <w14:ligatures w14:val="none"/>
        </w:rPr>
        <w:t xml:space="preserve"> gminy</w:t>
      </w:r>
      <w:r w:rsidR="00CC70E1">
        <w:rPr>
          <w:rFonts w:eastAsia="Century Gothic" w:cs="Times New Roman"/>
          <w:bCs/>
          <w:kern w:val="0"/>
          <w:szCs w:val="20"/>
          <w:lang w:bidi="en-US"/>
          <w14:ligatures w14:val="none"/>
        </w:rPr>
        <w:t xml:space="preserve"> </w:t>
      </w:r>
      <w:r w:rsidR="003816EC" w:rsidRPr="003816EC">
        <w:rPr>
          <w:rFonts w:eastAsia="Century Gothic" w:cs="Times New Roman"/>
          <w:bCs/>
          <w:kern w:val="0"/>
          <w:szCs w:val="20"/>
          <w:lang w:bidi="en-US"/>
          <w14:ligatures w14:val="none"/>
        </w:rPr>
        <w:t>polegając</w:t>
      </w:r>
      <w:r w:rsidR="0060170A">
        <w:rPr>
          <w:rFonts w:eastAsia="Century Gothic" w:cs="Times New Roman"/>
          <w:bCs/>
          <w:kern w:val="0"/>
          <w:szCs w:val="20"/>
          <w:lang w:bidi="en-US"/>
          <w14:ligatures w14:val="none"/>
        </w:rPr>
        <w:t>ej</w:t>
      </w:r>
      <w:r w:rsidR="003816EC" w:rsidRPr="003816EC">
        <w:rPr>
          <w:rFonts w:eastAsia="Century Gothic" w:cs="Times New Roman"/>
          <w:bCs/>
          <w:kern w:val="0"/>
          <w:szCs w:val="20"/>
          <w:lang w:bidi="en-US"/>
          <w14:ligatures w14:val="none"/>
        </w:rPr>
        <w:t xml:space="preserve"> na racjonalnym kształtowaniu </w:t>
      </w:r>
      <w:r w:rsidR="00DA4C81">
        <w:rPr>
          <w:rFonts w:eastAsia="Century Gothic" w:cs="Times New Roman"/>
          <w:bCs/>
          <w:kern w:val="0"/>
          <w:szCs w:val="20"/>
          <w:lang w:bidi="en-US"/>
          <w14:ligatures w14:val="none"/>
        </w:rPr>
        <w:t xml:space="preserve">jej </w:t>
      </w:r>
      <w:r w:rsidR="002B3E55">
        <w:rPr>
          <w:rFonts w:eastAsia="Century Gothic" w:cs="Times New Roman"/>
          <w:bCs/>
          <w:kern w:val="0"/>
          <w:szCs w:val="20"/>
          <w:lang w:bidi="en-US"/>
          <w14:ligatures w14:val="none"/>
        </w:rPr>
        <w:t>struktury funkcjonalno-przestrzennej</w:t>
      </w:r>
      <w:r w:rsidR="00564987">
        <w:rPr>
          <w:rFonts w:eastAsia="Century Gothic" w:cs="Times New Roman"/>
          <w:bCs/>
          <w:kern w:val="0"/>
          <w:szCs w:val="20"/>
          <w:lang w:bidi="en-US"/>
          <w14:ligatures w14:val="none"/>
        </w:rPr>
        <w:t xml:space="preserve">, </w:t>
      </w:r>
      <w:r w:rsidR="0060066F">
        <w:rPr>
          <w:rFonts w:eastAsia="Century Gothic" w:cs="Times New Roman"/>
          <w:bCs/>
          <w:kern w:val="0"/>
          <w:szCs w:val="20"/>
          <w:lang w:bidi="en-US"/>
          <w14:ligatures w14:val="none"/>
        </w:rPr>
        <w:t>po</w:t>
      </w:r>
      <w:r w:rsidR="0060066F" w:rsidRPr="003816EC">
        <w:rPr>
          <w:rFonts w:eastAsia="Century Gothic" w:cs="Times New Roman"/>
          <w:bCs/>
          <w:kern w:val="0"/>
          <w:szCs w:val="20"/>
          <w:lang w:bidi="en-US"/>
          <w14:ligatures w14:val="none"/>
        </w:rPr>
        <w:t>przez właściwe użytkowanie przestrzeni zapewniające utrzymanie ładu przestrzennego i umożliwienie prawidłowego, efektywnego funkcjonowania systemu społeczno-gospodarczego</w:t>
      </w:r>
      <w:r w:rsidR="0060066F">
        <w:rPr>
          <w:rFonts w:eastAsia="Century Gothic" w:cs="Times New Roman"/>
          <w:bCs/>
          <w:kern w:val="0"/>
          <w:szCs w:val="20"/>
          <w:lang w:bidi="en-US"/>
          <w14:ligatures w14:val="none"/>
        </w:rPr>
        <w:t xml:space="preserve"> gminy</w:t>
      </w:r>
      <w:r w:rsidR="006C6021">
        <w:rPr>
          <w:rFonts w:eastAsia="Century Gothic" w:cs="Times New Roman"/>
          <w:bCs/>
          <w:kern w:val="0"/>
          <w:szCs w:val="20"/>
          <w:lang w:bidi="en-US"/>
          <w14:ligatures w14:val="none"/>
        </w:rPr>
        <w:t>.</w:t>
      </w:r>
      <w:r w:rsidR="006C6021" w:rsidRPr="006C6021">
        <w:rPr>
          <w:rFonts w:eastAsia="Century Gothic" w:cs="Times New Roman"/>
          <w:bCs/>
          <w:kern w:val="0"/>
          <w:szCs w:val="20"/>
          <w:lang w:bidi="en-US"/>
          <w14:ligatures w14:val="none"/>
        </w:rPr>
        <w:t xml:space="preserve"> </w:t>
      </w:r>
      <w:r w:rsidR="006C6021">
        <w:rPr>
          <w:rFonts w:eastAsia="Century Gothic" w:cs="Times New Roman"/>
          <w:bCs/>
          <w:kern w:val="0"/>
          <w:szCs w:val="20"/>
          <w:lang w:bidi="en-US"/>
          <w14:ligatures w14:val="none"/>
        </w:rPr>
        <w:t xml:space="preserve">Na strukturę funkcjonalno-przestrzenną gminy Opole Lubelskie, obok głównych jej elementów określonych w poprzednim rozdziale, składają się </w:t>
      </w:r>
      <w:r w:rsidR="00C8708D">
        <w:rPr>
          <w:rFonts w:eastAsia="Century Gothic" w:cs="Times New Roman"/>
          <w:bCs/>
          <w:kern w:val="0"/>
          <w:szCs w:val="20"/>
          <w:lang w:bidi="en-US"/>
          <w14:ligatures w14:val="none"/>
        </w:rPr>
        <w:t xml:space="preserve">również </w:t>
      </w:r>
      <w:r w:rsidR="006C6021">
        <w:rPr>
          <w:rFonts w:eastAsia="Century Gothic" w:cs="Times New Roman"/>
          <w:bCs/>
          <w:kern w:val="0"/>
          <w:szCs w:val="20"/>
          <w:lang w:bidi="en-US"/>
          <w14:ligatures w14:val="none"/>
        </w:rPr>
        <w:t xml:space="preserve">pozostałe elementy zagospodarowania, dopełniające tę strukturę i stanowiące łącznie </w:t>
      </w:r>
      <w:r w:rsidR="00C37ED5">
        <w:rPr>
          <w:rFonts w:eastAsia="Century Gothic" w:cs="Times New Roman"/>
          <w:bCs/>
          <w:kern w:val="0"/>
          <w:szCs w:val="20"/>
          <w:lang w:bidi="en-US"/>
          <w14:ligatures w14:val="none"/>
        </w:rPr>
        <w:t xml:space="preserve">otwarty </w:t>
      </w:r>
      <w:r w:rsidR="006C6021">
        <w:rPr>
          <w:rFonts w:eastAsia="Century Gothic" w:cs="Times New Roman"/>
          <w:bCs/>
          <w:kern w:val="0"/>
          <w:szCs w:val="20"/>
          <w:lang w:bidi="en-US"/>
          <w14:ligatures w14:val="none"/>
        </w:rPr>
        <w:t>układ współzależnych elementów przestrzeni gminy.</w:t>
      </w:r>
      <w:r w:rsidR="006A6569">
        <w:rPr>
          <w:rFonts w:eastAsia="Century Gothic" w:cs="Times New Roman"/>
          <w:bCs/>
          <w:kern w:val="0"/>
          <w:szCs w:val="20"/>
          <w:lang w:bidi="en-US"/>
          <w14:ligatures w14:val="none"/>
        </w:rPr>
        <w:t xml:space="preserve"> </w:t>
      </w:r>
    </w:p>
    <w:p w14:paraId="3F6AD8FF" w14:textId="480AAD74" w:rsidR="000A3C96" w:rsidRPr="000A3C96" w:rsidRDefault="000A3C96" w:rsidP="00E73482">
      <w:pPr>
        <w:spacing w:before="120"/>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Właściwemu kształtowaniu i harmonizowaniu struktury</w:t>
      </w:r>
      <w:r w:rsidR="00CA5755">
        <w:rPr>
          <w:rFonts w:eastAsia="Century Gothic" w:cs="Times New Roman"/>
          <w:bCs/>
          <w:kern w:val="0"/>
          <w:szCs w:val="20"/>
          <w:lang w:bidi="en-US"/>
          <w14:ligatures w14:val="none"/>
        </w:rPr>
        <w:t xml:space="preserve"> przestrzennej </w:t>
      </w:r>
      <w:r w:rsidRPr="000A3C96">
        <w:rPr>
          <w:rFonts w:eastAsia="Century Gothic" w:cs="Times New Roman"/>
          <w:bCs/>
          <w:kern w:val="0"/>
          <w:szCs w:val="20"/>
          <w:lang w:bidi="en-US"/>
          <w14:ligatures w14:val="none"/>
        </w:rPr>
        <w:t xml:space="preserve">służą </w:t>
      </w:r>
      <w:r w:rsidR="00BB28AC">
        <w:rPr>
          <w:rFonts w:eastAsia="Century Gothic" w:cs="Times New Roman"/>
          <w:bCs/>
          <w:kern w:val="0"/>
          <w:szCs w:val="20"/>
          <w:lang w:bidi="en-US"/>
          <w14:ligatures w14:val="none"/>
        </w:rPr>
        <w:t xml:space="preserve">poniższe </w:t>
      </w:r>
      <w:r w:rsidR="009D0B58">
        <w:rPr>
          <w:rFonts w:eastAsia="Century Gothic" w:cs="Times New Roman"/>
          <w:bCs/>
          <w:kern w:val="0"/>
          <w:szCs w:val="20"/>
          <w:lang w:bidi="en-US"/>
          <w14:ligatures w14:val="none"/>
        </w:rPr>
        <w:t>ustalenia</w:t>
      </w:r>
      <w:r w:rsidRPr="000A3C96">
        <w:rPr>
          <w:rFonts w:eastAsia="Century Gothic" w:cs="Times New Roman"/>
          <w:bCs/>
          <w:kern w:val="0"/>
          <w:szCs w:val="20"/>
          <w:lang w:bidi="en-US"/>
          <w14:ligatures w14:val="none"/>
        </w:rPr>
        <w:t xml:space="preserve"> i rekomendacje w zakresie kształtowania i prowadzenia polityki przestrzennej</w:t>
      </w:r>
      <w:r w:rsidR="00E81DBA">
        <w:rPr>
          <w:rFonts w:eastAsia="Century Gothic" w:cs="Times New Roman"/>
          <w:bCs/>
          <w:kern w:val="0"/>
          <w:szCs w:val="20"/>
          <w:lang w:bidi="en-US"/>
          <w14:ligatures w14:val="none"/>
        </w:rPr>
        <w:t xml:space="preserve">, które odnoszą się zarówno do </w:t>
      </w:r>
      <w:r w:rsidR="00E6583E">
        <w:rPr>
          <w:rFonts w:eastAsia="Century Gothic" w:cs="Times New Roman"/>
          <w:bCs/>
          <w:kern w:val="0"/>
          <w:szCs w:val="20"/>
          <w:lang w:bidi="en-US"/>
          <w14:ligatures w14:val="none"/>
        </w:rPr>
        <w:t>główn</w:t>
      </w:r>
      <w:r w:rsidR="0077512C">
        <w:rPr>
          <w:rFonts w:eastAsia="Century Gothic" w:cs="Times New Roman"/>
          <w:bCs/>
          <w:kern w:val="0"/>
          <w:szCs w:val="20"/>
          <w:lang w:bidi="en-US"/>
          <w14:ligatures w14:val="none"/>
        </w:rPr>
        <w:t>ych</w:t>
      </w:r>
      <w:r w:rsidR="00E6583E">
        <w:rPr>
          <w:rFonts w:eastAsia="Century Gothic" w:cs="Times New Roman"/>
          <w:bCs/>
          <w:kern w:val="0"/>
          <w:szCs w:val="20"/>
          <w:lang w:bidi="en-US"/>
          <w14:ligatures w14:val="none"/>
        </w:rPr>
        <w:t xml:space="preserve"> </w:t>
      </w:r>
      <w:r w:rsidRPr="000A3C96">
        <w:rPr>
          <w:rFonts w:eastAsia="Century Gothic" w:cs="Times New Roman"/>
          <w:bCs/>
          <w:kern w:val="0"/>
          <w:szCs w:val="20"/>
          <w:lang w:bidi="en-US"/>
          <w14:ligatures w14:val="none"/>
        </w:rPr>
        <w:t>element</w:t>
      </w:r>
      <w:r w:rsidR="0077512C">
        <w:rPr>
          <w:rFonts w:eastAsia="Century Gothic" w:cs="Times New Roman"/>
          <w:bCs/>
          <w:kern w:val="0"/>
          <w:szCs w:val="20"/>
          <w:lang w:bidi="en-US"/>
          <w14:ligatures w14:val="none"/>
        </w:rPr>
        <w:t xml:space="preserve">ów </w:t>
      </w:r>
      <w:r w:rsidR="00BB28AC">
        <w:rPr>
          <w:rFonts w:eastAsia="Century Gothic" w:cs="Times New Roman"/>
          <w:bCs/>
          <w:kern w:val="0"/>
          <w:szCs w:val="20"/>
          <w:lang w:bidi="en-US"/>
          <w14:ligatures w14:val="none"/>
        </w:rPr>
        <w:t xml:space="preserve">modelu </w:t>
      </w:r>
      <w:r w:rsidRPr="000A3C96">
        <w:rPr>
          <w:rFonts w:eastAsia="Century Gothic" w:cs="Times New Roman"/>
          <w:bCs/>
          <w:kern w:val="0"/>
          <w:szCs w:val="20"/>
          <w:lang w:bidi="en-US"/>
          <w14:ligatures w14:val="none"/>
        </w:rPr>
        <w:t>struktur</w:t>
      </w:r>
      <w:r w:rsidR="00B775BD">
        <w:rPr>
          <w:rFonts w:eastAsia="Century Gothic" w:cs="Times New Roman"/>
          <w:bCs/>
          <w:kern w:val="0"/>
          <w:szCs w:val="20"/>
          <w:lang w:bidi="en-US"/>
          <w14:ligatures w14:val="none"/>
        </w:rPr>
        <w:t>y</w:t>
      </w:r>
      <w:r w:rsidRPr="000A3C96">
        <w:rPr>
          <w:rFonts w:eastAsia="Century Gothic" w:cs="Times New Roman"/>
          <w:bCs/>
          <w:kern w:val="0"/>
          <w:szCs w:val="20"/>
          <w:lang w:bidi="en-US"/>
          <w14:ligatures w14:val="none"/>
        </w:rPr>
        <w:t xml:space="preserve"> funkcjonalno-przestrzenn</w:t>
      </w:r>
      <w:r w:rsidR="00B775BD">
        <w:rPr>
          <w:rFonts w:eastAsia="Century Gothic" w:cs="Times New Roman"/>
          <w:bCs/>
          <w:kern w:val="0"/>
          <w:szCs w:val="20"/>
          <w:lang w:bidi="en-US"/>
          <w14:ligatures w14:val="none"/>
        </w:rPr>
        <w:t>ej</w:t>
      </w:r>
      <w:r w:rsidR="0077512C">
        <w:rPr>
          <w:rFonts w:eastAsia="Century Gothic" w:cs="Times New Roman"/>
          <w:bCs/>
          <w:kern w:val="0"/>
          <w:szCs w:val="20"/>
          <w:lang w:bidi="en-US"/>
          <w14:ligatures w14:val="none"/>
        </w:rPr>
        <w:t xml:space="preserve">, jak i </w:t>
      </w:r>
      <w:r w:rsidR="00124D3E">
        <w:rPr>
          <w:rFonts w:eastAsia="Century Gothic" w:cs="Times New Roman"/>
          <w:bCs/>
          <w:kern w:val="0"/>
          <w:szCs w:val="20"/>
          <w:lang w:bidi="en-US"/>
          <w14:ligatures w14:val="none"/>
        </w:rPr>
        <w:t xml:space="preserve"> </w:t>
      </w:r>
      <w:r w:rsidR="00243C4C">
        <w:rPr>
          <w:rFonts w:eastAsia="Century Gothic" w:cs="Times New Roman"/>
          <w:bCs/>
          <w:kern w:val="0"/>
          <w:szCs w:val="20"/>
          <w:lang w:bidi="en-US"/>
          <w14:ligatures w14:val="none"/>
        </w:rPr>
        <w:t>pozostałych elementów przestrzeni gminy</w:t>
      </w:r>
      <w:r w:rsidRPr="000A3C96">
        <w:rPr>
          <w:rFonts w:eastAsia="Century Gothic" w:cs="Times New Roman"/>
          <w:bCs/>
          <w:kern w:val="0"/>
          <w:szCs w:val="20"/>
          <w:lang w:bidi="en-US"/>
          <w14:ligatures w14:val="none"/>
        </w:rPr>
        <w:t>.</w:t>
      </w:r>
    </w:p>
    <w:p w14:paraId="01138FAC" w14:textId="086BB131" w:rsidR="000A3C96" w:rsidRPr="000A3C96" w:rsidRDefault="000A3C96" w:rsidP="0060478B">
      <w:pPr>
        <w:spacing w:before="120"/>
        <w:rPr>
          <w:rFonts w:eastAsia="Century Gothic" w:cs="Times New Roman"/>
          <w:bCs/>
          <w:kern w:val="0"/>
          <w:szCs w:val="20"/>
          <w:u w:val="single"/>
          <w:lang w:bidi="en-US"/>
          <w14:ligatures w14:val="none"/>
        </w:rPr>
      </w:pPr>
      <w:r w:rsidRPr="000A3C96">
        <w:rPr>
          <w:rFonts w:eastAsia="Century Gothic" w:cs="Times New Roman"/>
          <w:bCs/>
          <w:kern w:val="0"/>
          <w:szCs w:val="20"/>
          <w:u w:val="single"/>
          <w:lang w:bidi="en-US"/>
          <w14:ligatures w14:val="none"/>
        </w:rPr>
        <w:t>Zasad</w:t>
      </w:r>
      <w:r w:rsidR="00333C85">
        <w:rPr>
          <w:rFonts w:eastAsia="Century Gothic" w:cs="Times New Roman"/>
          <w:bCs/>
          <w:kern w:val="0"/>
          <w:szCs w:val="20"/>
          <w:u w:val="single"/>
          <w:lang w:bidi="en-US"/>
          <w14:ligatures w14:val="none"/>
        </w:rPr>
        <w:t>y</w:t>
      </w:r>
      <w:r w:rsidRPr="000A3C96">
        <w:rPr>
          <w:rFonts w:eastAsia="Century Gothic" w:cs="Times New Roman"/>
          <w:bCs/>
          <w:kern w:val="0"/>
          <w:szCs w:val="20"/>
          <w:u w:val="single"/>
          <w:lang w:bidi="en-US"/>
          <w14:ligatures w14:val="none"/>
        </w:rPr>
        <w:t xml:space="preserve"> ochrony środowiska i jego zasobów, w tym ochrony powietrza, przyrody i krajobrazu</w:t>
      </w:r>
    </w:p>
    <w:p w14:paraId="667B7593" w14:textId="77777777" w:rsidR="000A3C96" w:rsidRPr="000A3C96" w:rsidRDefault="000A3C96">
      <w:pPr>
        <w:numPr>
          <w:ilvl w:val="0"/>
          <w:numId w:val="85"/>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Właściwe funkcjonowanie struktur przyrodniczych uwzględniające ich integrację i harmonizację z obszarami rozwoju społeczno-gospodarczego i elementami infrastruktury wymaga:</w:t>
      </w:r>
    </w:p>
    <w:p w14:paraId="295A7C2B"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iCs/>
          <w:kern w:val="0"/>
          <w:szCs w:val="20"/>
          <w:lang w:bidi="en-US"/>
          <w14:ligatures w14:val="none"/>
        </w:rPr>
        <w:t>zachowania</w:t>
      </w:r>
      <w:r w:rsidRPr="000A3C96">
        <w:rPr>
          <w:rFonts w:eastAsia="Century Gothic" w:cs="Times New Roman"/>
          <w:bCs/>
          <w:kern w:val="0"/>
          <w:szCs w:val="20"/>
          <w:lang w:bidi="en-US"/>
          <w14:ligatures w14:val="none"/>
        </w:rPr>
        <w:t xml:space="preserve"> w dotychczasowym użytkowaniu gruntów niezabudowanych posiadających walory przyrodnicze i kulturowe (np. łąki wewnątrz i na obrzeżach kompleksów leśnych),</w:t>
      </w:r>
    </w:p>
    <w:p w14:paraId="0F5A54EA"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kształtowania pasmowych struktur przyrodniczych (łąk, zadrzewień i zakrzewień śródpolnych) i uwzględnienia zwiększenia ciągłości leśnych korytarzy ekologicznych poprzez zalesienia,</w:t>
      </w:r>
    </w:p>
    <w:p w14:paraId="17785FF0"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uwzględnienia czynnej ochrony ekosystemów służącej podnoszeniu walorów turystycznych przy rozwoju rekreacji wypoczynkowej i turystyki krajoznawczej na obszarach chronionych (park krajobrazowy, zespół przyrodniczo-krajobrazowy).</w:t>
      </w:r>
    </w:p>
    <w:p w14:paraId="0005463E" w14:textId="77777777" w:rsidR="000A3C96" w:rsidRPr="000A3C96" w:rsidRDefault="000A3C96">
      <w:pPr>
        <w:numPr>
          <w:ilvl w:val="0"/>
          <w:numId w:val="85"/>
        </w:numPr>
        <w:spacing w:before="120" w:line="276" w:lineRule="auto"/>
        <w:ind w:left="426"/>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 xml:space="preserve">W kształtowaniu zagospodarowania na kierunkach powiązań przyrodniczych w Systemu Przyrodniczego Gminy uznaje się za </w:t>
      </w:r>
      <w:r w:rsidRPr="000A3C96">
        <w:rPr>
          <w:rFonts w:eastAsia="Century Gothic" w:cs="Times New Roman"/>
          <w:bCs/>
          <w:kern w:val="0"/>
          <w:szCs w:val="20"/>
          <w:lang w:bidi="en-US"/>
          <w14:ligatures w14:val="none"/>
        </w:rPr>
        <w:t>niezbędne</w:t>
      </w:r>
      <w:r w:rsidRPr="000A3C96">
        <w:rPr>
          <w:rFonts w:eastAsia="Century Gothic" w:cs="Times New Roman"/>
          <w:kern w:val="0"/>
          <w:szCs w:val="20"/>
          <w:lang w:bidi="en-US"/>
          <w14:ligatures w14:val="none"/>
        </w:rPr>
        <w:t xml:space="preserve">: </w:t>
      </w:r>
    </w:p>
    <w:p w14:paraId="65647A02"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utrzymywanie przestrzeni wolnej od zabudowy,</w:t>
      </w:r>
    </w:p>
    <w:p w14:paraId="5AA9957D"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kształtowanie pasmowych struktur przyrodniczych (łąk, zadrzewień i zakrzewień śródpolnych),</w:t>
      </w:r>
    </w:p>
    <w:p w14:paraId="36D8C04A"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zwiększanie ciągłości leśnych korytarzy ekologicznych poprzez zalesienia,</w:t>
      </w:r>
    </w:p>
    <w:p w14:paraId="3455B598"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restytucję użytków zielonych kosztem gruntów ornych w korytarzach dolinnych,</w:t>
      </w:r>
    </w:p>
    <w:p w14:paraId="57245279"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ograniczanie rozwoju zabudowy rozproszonej</w:t>
      </w:r>
      <w:r w:rsidRPr="000A3C96">
        <w:rPr>
          <w:rFonts w:eastAsia="Century Gothic" w:cs="Times New Roman"/>
          <w:kern w:val="0"/>
          <w:szCs w:val="20"/>
          <w:lang w:bidi="en-US"/>
          <w14:ligatures w14:val="none"/>
        </w:rPr>
        <w:t>,</w:t>
      </w:r>
    </w:p>
    <w:p w14:paraId="277CC606"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ochronę kompleksów leśnych i podnoszenie ich znaczenia ekologicznego i środowiskowotwórczego,</w:t>
      </w:r>
    </w:p>
    <w:p w14:paraId="78C59464"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ochronę obszarów dolinnych, w tym szczególnie ekosystemów wodnych, torfowiskowych i bagiennych przed zmianami stosunków wodnych: odwadnianiem, </w:t>
      </w:r>
      <w:r w:rsidRPr="000A3C96">
        <w:rPr>
          <w:rFonts w:eastAsia="Century Gothic" w:cs="Times New Roman"/>
          <w:bCs/>
          <w:kern w:val="0"/>
          <w:szCs w:val="20"/>
          <w:lang w:bidi="en-US"/>
          <w14:ligatures w14:val="none"/>
        </w:rPr>
        <w:lastRenderedPageBreak/>
        <w:t>odprowadzaniem nieoczyszczonych ścieków, eksploatacją surowców mineralnych, wylesianiem, składowaniem śmieci i odpadów,</w:t>
      </w:r>
    </w:p>
    <w:p w14:paraId="4EDAB3B8"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podnoszenie bioróżnorodności: stałe stwarzanie możliwości zadrzewień, zakrzaczeń, zalesień, ochrona przed budową barier ekologicznych typu: nasypy, groble, fitomelioracje,</w:t>
      </w:r>
    </w:p>
    <w:p w14:paraId="372D6932"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zwiększanie zasobów wodnych metodami naturalnymi (np. zalesianie wierzchowin, den dolinnych) i hydrotechnicznymi (np. oczka wodne, miniretencja).</w:t>
      </w:r>
    </w:p>
    <w:p w14:paraId="6429645A" w14:textId="77777777" w:rsidR="000A3C96" w:rsidRPr="000A3C96" w:rsidRDefault="000A3C96">
      <w:pPr>
        <w:numPr>
          <w:ilvl w:val="0"/>
          <w:numId w:val="85"/>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 celu ochrony ilościowej i jakościowej zasobów wodnych wskazuje się potrzebę wprowadzenia planistycznej ochrony hydrosfery na terenie zlewni: górnej Chodelki, Potoku Wrzelowieckiego.</w:t>
      </w:r>
    </w:p>
    <w:p w14:paraId="22FBAB96" w14:textId="77777777" w:rsidR="000A3C96" w:rsidRPr="000A3C96" w:rsidRDefault="000A3C96" w:rsidP="0060478B">
      <w:pPr>
        <w:spacing w:before="120"/>
        <w:ind w:left="426"/>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 xml:space="preserve">Gospodarowanie  na terenie zlewni chronionej powinno uwzględniać: </w:t>
      </w:r>
    </w:p>
    <w:p w14:paraId="2BF259A2"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ochronę dolin rzecznych oraz pozadolinnych podmokłości przed odwodnieniem, </w:t>
      </w:r>
    </w:p>
    <w:p w14:paraId="0B6561EA"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ochronę meandrujących odcinków rzek przed regulacją, </w:t>
      </w:r>
    </w:p>
    <w:p w14:paraId="4B69FB1D"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konieczność uporządkowania gospodarki wodno-ściekowej,</w:t>
      </w:r>
    </w:p>
    <w:p w14:paraId="3BD36EB6"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eliminację ognisk zanieczyszczeń wód powierzchniowych i podziemnych, </w:t>
      </w:r>
    </w:p>
    <w:p w14:paraId="394B1A87"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wykluczenie lokalizacji przedsięwzięć mogących zawsze znacząco oddziaływać </w:t>
      </w:r>
      <w:r w:rsidRPr="000A3C96">
        <w:rPr>
          <w:rFonts w:eastAsia="Century Gothic" w:cs="Times New Roman"/>
          <w:bCs/>
          <w:kern w:val="0"/>
          <w:szCs w:val="20"/>
          <w:lang w:bidi="en-US"/>
          <w14:ligatures w14:val="none"/>
        </w:rPr>
        <w:br/>
        <w:t xml:space="preserve">na środowisko i przedsięwzięć mogących potencjalnie znacząco oddziaływać </w:t>
      </w:r>
      <w:r w:rsidRPr="000A3C96">
        <w:rPr>
          <w:rFonts w:eastAsia="Century Gothic" w:cs="Times New Roman"/>
          <w:bCs/>
          <w:kern w:val="0"/>
          <w:szCs w:val="20"/>
          <w:lang w:bidi="en-US"/>
          <w14:ligatures w14:val="none"/>
        </w:rPr>
        <w:br/>
        <w:t>na środowisko, które mogą spowodować nieosiągnięcie celów środowiskowych zawartych w planie gospodarowania wodami na obszarze dorzecza,</w:t>
      </w:r>
    </w:p>
    <w:p w14:paraId="114581CA"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odtwarzanie nadrzecznych zadrzewień i zakrzewień (łęgów) i zakaz usuwania zieleni łęgowej – z wyjątkiem przypadków służących ochronnie przed powodzią,</w:t>
      </w:r>
    </w:p>
    <w:p w14:paraId="3290E692"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obowiązek ochrony wszystkich mokradeł, w tym zwłaszcza torfowisk, ze względu na ich wyjątkowe znaczenie w stabilizowaniu równowagi hydrologicznej,</w:t>
      </w:r>
    </w:p>
    <w:p w14:paraId="7BEA2DC0"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zakaz eksploatacji surowców w korytach rzecznych.</w:t>
      </w:r>
    </w:p>
    <w:p w14:paraId="61EA2039" w14:textId="77777777" w:rsidR="000A3C96" w:rsidRPr="000A3C96" w:rsidRDefault="000A3C96">
      <w:pPr>
        <w:numPr>
          <w:ilvl w:val="0"/>
          <w:numId w:val="85"/>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 celu ochrony walorów przyrodniczych ochroną planistyczną należy objąć projektowane:</w:t>
      </w:r>
    </w:p>
    <w:p w14:paraId="6DE3261D"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rezerwaty przyrody typu krajobrazowo-leśnego, o wybitnych walorach florystycznych, faunistycznych i krajobrazowych, obejmujących duże fragmenty Wzniesień Urzędowskich, tj.:</w:t>
      </w:r>
    </w:p>
    <w:p w14:paraId="3E3A0698" w14:textId="77777777" w:rsidR="000A3C96" w:rsidRPr="000A3C96" w:rsidRDefault="000A3C96">
      <w:pPr>
        <w:numPr>
          <w:ilvl w:val="1"/>
          <w:numId w:val="84"/>
        </w:numPr>
        <w:spacing w:before="120" w:line="276" w:lineRule="auto"/>
        <w:ind w:left="127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„Kluczkowice – Góry” – głębokie, silnie rozczłonkowane wąwozy i suche doliny, porośnięte lasem mieszanym,</w:t>
      </w:r>
    </w:p>
    <w:p w14:paraId="531BC9F6" w14:textId="77777777" w:rsidR="000A3C96" w:rsidRPr="000A3C96" w:rsidRDefault="000A3C96">
      <w:pPr>
        <w:numPr>
          <w:ilvl w:val="1"/>
          <w:numId w:val="84"/>
        </w:numPr>
        <w:spacing w:before="120" w:line="276" w:lineRule="auto"/>
        <w:ind w:left="127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„Ćwiętalka – Niesiołowice” – obejmujący gęstą sieć form erozyjnych w utworach lessowych porośniętych dobrze zachowanymi lasami mieszanymi zespołu grądowego, będącymi w znacznej części lasami ochronnymi o znaczeniu glebochronnym,</w:t>
      </w:r>
    </w:p>
    <w:p w14:paraId="6C1FCCEA" w14:textId="77777777" w:rsidR="000A3C96" w:rsidRPr="000A3C96" w:rsidRDefault="000A3C96">
      <w:pPr>
        <w:numPr>
          <w:ilvl w:val="1"/>
          <w:numId w:val="84"/>
        </w:numPr>
        <w:spacing w:before="120" w:line="276" w:lineRule="auto"/>
        <w:ind w:left="127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„Kluczkowice – Ośrodek” – obejmuje głębokie i rozczłonkowane formy erozyjne w skałach lessowych, porośniętych grądem,</w:t>
      </w:r>
    </w:p>
    <w:p w14:paraId="1B051217" w14:textId="77777777" w:rsidR="000A3C96" w:rsidRPr="000A3C96" w:rsidRDefault="000A3C96">
      <w:pPr>
        <w:numPr>
          <w:ilvl w:val="1"/>
          <w:numId w:val="84"/>
        </w:numPr>
        <w:spacing w:before="120" w:line="276" w:lineRule="auto"/>
        <w:ind w:left="127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„Zadole – Chruślina” – obejmujący rejon występowania rozcięć erozyjnych w utworach lessowych z dobrze zachowanymi naturalnymi lasami liściastymi pełniącymi funkcję lasów ochronnych o znaczeniu glebochronnym,</w:t>
      </w:r>
    </w:p>
    <w:p w14:paraId="2C93B12E" w14:textId="77777777" w:rsidR="000A3C96" w:rsidRPr="000A3C96" w:rsidRDefault="000A3C96">
      <w:pPr>
        <w:numPr>
          <w:ilvl w:val="1"/>
          <w:numId w:val="84"/>
        </w:numPr>
        <w:spacing w:before="120" w:line="276" w:lineRule="auto"/>
        <w:ind w:left="127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lastRenderedPageBreak/>
        <w:t>„Wandalin – Kręciszówka” – zespół wąwozów lessowych uchodzących do suchej doliny Stanisławów – Kluczkowice;</w:t>
      </w:r>
    </w:p>
    <w:p w14:paraId="39010DB9" w14:textId="77777777" w:rsidR="000A3C96" w:rsidRPr="000A3C96" w:rsidRDefault="000A3C96">
      <w:pPr>
        <w:numPr>
          <w:ilvl w:val="0"/>
          <w:numId w:val="84"/>
        </w:numPr>
        <w:spacing w:before="12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zespół przyrodniczo-krajobrazowy „Pustelnia – Jankowa” – kompleksy stawów stanowią miejsce występowania wielu rzadkich gatunków ptaków, a rozległe lasy, zawierają fragmenty starych drzewostanów i stanowią miejsca lęgów gatunków ptaków polujących na zbiornikach wodnych;</w:t>
      </w:r>
    </w:p>
    <w:p w14:paraId="78784E24" w14:textId="77777777" w:rsidR="000A3C96" w:rsidRPr="000A3C96" w:rsidRDefault="000A3C96">
      <w:pPr>
        <w:numPr>
          <w:ilvl w:val="0"/>
          <w:numId w:val="84"/>
        </w:numPr>
        <w:spacing w:before="120" w:line="276" w:lineRule="auto"/>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użytki ekologiczne:</w:t>
      </w:r>
    </w:p>
    <w:p w14:paraId="3A5AB669" w14:textId="77777777" w:rsidR="000A3C96" w:rsidRPr="000A3C96" w:rsidRDefault="000A3C96">
      <w:pPr>
        <w:numPr>
          <w:ilvl w:val="1"/>
          <w:numId w:val="84"/>
        </w:numPr>
        <w:spacing w:before="120" w:line="276" w:lineRule="auto"/>
        <w:ind w:left="1080"/>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„Łąki Skoków – Emilcin” – bogate walory ekosystemów łąkowych, torfowiskowych i bagiennych,</w:t>
      </w:r>
    </w:p>
    <w:p w14:paraId="4514B362" w14:textId="77777777" w:rsidR="000A3C96" w:rsidRPr="000A3C96" w:rsidRDefault="000A3C96">
      <w:pPr>
        <w:numPr>
          <w:ilvl w:val="1"/>
          <w:numId w:val="84"/>
        </w:numPr>
        <w:spacing w:before="120" w:line="276" w:lineRule="auto"/>
        <w:ind w:left="1080"/>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„Stawy w Kluczkowicach” – zbiornik wodny wraz z otaczającymi go łąkami i wykształconymi różnorodnymi zbiorowiskami roślinnymi. </w:t>
      </w:r>
    </w:p>
    <w:p w14:paraId="46329D41" w14:textId="77777777" w:rsidR="000A3C96" w:rsidRPr="000A3C96" w:rsidRDefault="000A3C96" w:rsidP="0060478B">
      <w:pPr>
        <w:spacing w:before="120"/>
        <w:rPr>
          <w:rFonts w:eastAsia="Century Gothic" w:cs="Times New Roman"/>
          <w:bCs/>
          <w:kern w:val="0"/>
          <w:szCs w:val="20"/>
          <w:u w:val="single"/>
          <w:lang w:bidi="en-US"/>
          <w14:ligatures w14:val="none"/>
        </w:rPr>
      </w:pPr>
      <w:r w:rsidRPr="000A3C96">
        <w:rPr>
          <w:rFonts w:eastAsia="Century Gothic" w:cs="Times New Roman"/>
          <w:bCs/>
          <w:kern w:val="0"/>
          <w:szCs w:val="20"/>
          <w:u w:val="single"/>
          <w:lang w:bidi="en-US"/>
          <w14:ligatures w14:val="none"/>
        </w:rPr>
        <w:t>Zasady ochrony dziedzictwa kulturowego i zabytków oraz dóbr kultury współczesnej</w:t>
      </w:r>
    </w:p>
    <w:p w14:paraId="1EC79A9C" w14:textId="77777777" w:rsidR="000A3C96" w:rsidRPr="000A3C96" w:rsidRDefault="000A3C96">
      <w:pPr>
        <w:numPr>
          <w:ilvl w:val="0"/>
          <w:numId w:val="90"/>
        </w:numPr>
        <w:spacing w:before="120" w:line="276" w:lineRule="auto"/>
        <w:ind w:left="426" w:hanging="357"/>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 celu podkreślenia bogactwa kultury lokalnej, utrwalania tożsamości kulturowej, kreowania wizerunku obszaru oraz wykorzystania dziedzictwa materialnego i niematerialnego w rozwoju społeczno-gospodarczym rekomenduje się:</w:t>
      </w:r>
    </w:p>
    <w:p w14:paraId="6A831DE6" w14:textId="77777777" w:rsidR="000A3C96" w:rsidRPr="000A3C96" w:rsidRDefault="000A3C96">
      <w:pPr>
        <w:numPr>
          <w:ilvl w:val="0"/>
          <w:numId w:val="84"/>
        </w:numPr>
        <w:spacing w:before="120" w:line="276" w:lineRule="auto"/>
        <w:ind w:left="851" w:hanging="357"/>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eksponowanie w przestrzeni potencjałów kulturowych (obiektów muzealnych, dawnych budowli obronnych, miejsc wydarzeń historycznych, obiektów i zespołów sakralnych, zabytków techniki, budynków użyteczności publicznej, itp.) oraz wykorzystanie ich dla potrzeb turystyki,</w:t>
      </w:r>
    </w:p>
    <w:p w14:paraId="431EE87B" w14:textId="77777777" w:rsidR="000A3C96" w:rsidRPr="000A3C96" w:rsidRDefault="000A3C96">
      <w:pPr>
        <w:numPr>
          <w:ilvl w:val="0"/>
          <w:numId w:val="84"/>
        </w:numPr>
        <w:spacing w:before="120" w:line="276" w:lineRule="auto"/>
        <w:ind w:left="851" w:hanging="357"/>
        <w:jc w:val="left"/>
        <w:rPr>
          <w:rFonts w:eastAsia="Century Gothic" w:cs="Times New Roman"/>
          <w:kern w:val="0"/>
          <w:szCs w:val="20"/>
          <w:lang w:bidi="en-US"/>
          <w14:ligatures w14:val="none"/>
        </w:rPr>
      </w:pPr>
      <w:r w:rsidRPr="000A3C96">
        <w:rPr>
          <w:rFonts w:eastAsia="Century Gothic" w:cs="Times New Roman"/>
          <w:bCs/>
          <w:kern w:val="0"/>
          <w:szCs w:val="20"/>
          <w:lang w:bidi="en-US"/>
          <w14:ligatures w14:val="none"/>
        </w:rPr>
        <w:t>rewaloryzację</w:t>
      </w:r>
      <w:r w:rsidRPr="000A3C96">
        <w:rPr>
          <w:rFonts w:eastAsia="Century Gothic" w:cs="Times New Roman"/>
          <w:kern w:val="0"/>
          <w:szCs w:val="20"/>
          <w:lang w:bidi="en-US"/>
          <w14:ligatures w14:val="none"/>
        </w:rPr>
        <w:t xml:space="preserve"> obiektów i przestrzeni: cmentarze, figury i kapliczki przydrożne,</w:t>
      </w:r>
    </w:p>
    <w:p w14:paraId="13C98E0E" w14:textId="77777777" w:rsidR="000A3C96" w:rsidRPr="000A3C96" w:rsidRDefault="000A3C96">
      <w:pPr>
        <w:numPr>
          <w:ilvl w:val="0"/>
          <w:numId w:val="84"/>
        </w:numPr>
        <w:spacing w:before="120" w:line="276" w:lineRule="auto"/>
        <w:ind w:left="851" w:hanging="357"/>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organizację i zagospodarowanie w formie szlaków turystycznych lub tras rowerowych historycznych szlaków handlowych, kulturowych,</w:t>
      </w:r>
    </w:p>
    <w:p w14:paraId="365B5A9F" w14:textId="77777777" w:rsidR="000A3C96" w:rsidRPr="000A3C96" w:rsidRDefault="000A3C96">
      <w:pPr>
        <w:numPr>
          <w:ilvl w:val="0"/>
          <w:numId w:val="84"/>
        </w:numPr>
        <w:spacing w:before="120" w:line="276" w:lineRule="auto"/>
        <w:ind w:left="851" w:hanging="357"/>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integrację obiektów dziedzictwa kulturowego z infrastrukturą lokalnych i ponadlokalnych szlaków i tras rowerowych,</w:t>
      </w:r>
    </w:p>
    <w:p w14:paraId="69B04DB1" w14:textId="77777777" w:rsidR="000A3C96" w:rsidRPr="000A3C96" w:rsidRDefault="000A3C96">
      <w:pPr>
        <w:numPr>
          <w:ilvl w:val="0"/>
          <w:numId w:val="84"/>
        </w:numPr>
        <w:spacing w:before="120" w:line="276" w:lineRule="auto"/>
        <w:ind w:left="851" w:hanging="357"/>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wykorzystywanie ocalałych obiektów dziedzictwa kulturowego jako wzorników w kształtowaniu lokalnej przestrzeni, a także bazy dla tworzenia instytucji kultury oraz wspieranie rozwoju sieci muzeów i skansenów.</w:t>
      </w:r>
    </w:p>
    <w:p w14:paraId="2BA16787" w14:textId="77777777" w:rsidR="000A3C96" w:rsidRPr="000A3C96" w:rsidRDefault="000A3C96">
      <w:pPr>
        <w:numPr>
          <w:ilvl w:val="0"/>
          <w:numId w:val="90"/>
        </w:numPr>
        <w:spacing w:before="120" w:line="276" w:lineRule="auto"/>
        <w:ind w:left="426" w:hanging="357"/>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W celu zachowania wartości obiektów dziedzictwa kulturowego wskazuje się rewaloryzację oraz rewitalizację układu urbanistycznego Opola Lubelskiego polegającą na:</w:t>
      </w:r>
    </w:p>
    <w:p w14:paraId="6A0D72EB"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zachowaniu i uczytelnianiu historycznych układów i funkcji rynków oraz sieci ulicznej,</w:t>
      </w:r>
    </w:p>
    <w:p w14:paraId="20FE8926"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zachowaniu lub odtwarzaniu historycznego ukształtowania terenów zabytkowych zespołów miejskich i układów komunikacyjnych,</w:t>
      </w:r>
    </w:p>
    <w:p w14:paraId="5FE0403C"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zachowaniu lub odtwarzaniu elementów układów zieleni komponowanej,</w:t>
      </w:r>
    </w:p>
    <w:p w14:paraId="390D17F0"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zachowanie powiązań przestrzenno-funkcjonalnych elementów zespołów urbanistycznych,</w:t>
      </w:r>
    </w:p>
    <w:p w14:paraId="465C195F"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ochronę sylwet miast poprzez prawidłowe zagospodarowanie stref ekspozycji zespołów urbanistycznych,</w:t>
      </w:r>
    </w:p>
    <w:p w14:paraId="56461A6A"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kształtowanie uzupełniającej zabudowy w dostosowaniu do założeń historycznych,</w:t>
      </w:r>
    </w:p>
    <w:p w14:paraId="5A704A98"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bCs/>
          <w:kern w:val="0"/>
          <w:szCs w:val="20"/>
          <w:lang w:bidi="en-US"/>
          <w14:ligatures w14:val="none"/>
        </w:rPr>
        <w:t>uporządkowanie ruchu kołowego uwzględniające potrzeby ograniczania kolizji przestrzennych</w:t>
      </w:r>
      <w:r w:rsidRPr="000A3C96">
        <w:rPr>
          <w:rFonts w:eastAsia="Century Gothic" w:cs="Times New Roman"/>
          <w:kern w:val="0"/>
          <w:szCs w:val="20"/>
          <w:lang w:bidi="en-US"/>
          <w14:ligatures w14:val="none"/>
        </w:rPr>
        <w:t>.</w:t>
      </w:r>
    </w:p>
    <w:p w14:paraId="20EA8D40" w14:textId="77777777" w:rsidR="000A3C96" w:rsidRPr="000A3C96" w:rsidRDefault="000A3C96">
      <w:pPr>
        <w:numPr>
          <w:ilvl w:val="0"/>
          <w:numId w:val="90"/>
        </w:numPr>
        <w:spacing w:before="120" w:line="276" w:lineRule="auto"/>
        <w:ind w:left="426"/>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lastRenderedPageBreak/>
        <w:t>W odniesieniu do obiektów i zespołów zabytkowych przyjmuje się:</w:t>
      </w:r>
    </w:p>
    <w:p w14:paraId="61399688"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zachowanie zabytków z wyeksponowaniem ich wartości wraz z ich najbliższym otoczeniem w celu zachowania tożsamości kulturowej miejsca, </w:t>
      </w:r>
    </w:p>
    <w:p w14:paraId="7950C7C7"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zagwarantowanie ochrony krajobrazowej, historycznych sylwet przestrzennych i osi widokowych, a także ekspozycji oraz obserwacji archeologicznej.</w:t>
      </w:r>
    </w:p>
    <w:p w14:paraId="2B0D1E79" w14:textId="77777777" w:rsidR="000A3C96" w:rsidRPr="000A3C96" w:rsidRDefault="000A3C96">
      <w:pPr>
        <w:numPr>
          <w:ilvl w:val="0"/>
          <w:numId w:val="90"/>
        </w:numPr>
        <w:spacing w:before="120" w:line="276" w:lineRule="auto"/>
        <w:ind w:left="426"/>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 xml:space="preserve">W celu ochrony krajobrazu kulturowego gminy wskazuje się do ochrony planistycznej projektowany Wrzelowiecki Park Kulturowy, polegającej na: </w:t>
      </w:r>
    </w:p>
    <w:p w14:paraId="3156C121"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zachowaniu dziedzictwa kulturowego i krajobrazu historycznego,</w:t>
      </w:r>
    </w:p>
    <w:p w14:paraId="683BD92A"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ochronie zabudowy pod względem funkcjonalnym i kompozycyjnym, w tym historycznej linii zabudowy,</w:t>
      </w:r>
    </w:p>
    <w:p w14:paraId="5B0719B7"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zakazie lokalizacji obiektów budowlanych istotnie oddziaływujących na krajobraz.</w:t>
      </w:r>
    </w:p>
    <w:p w14:paraId="3A726C2E" w14:textId="77777777" w:rsidR="000A3C96" w:rsidRPr="000A3C96" w:rsidRDefault="000A3C96" w:rsidP="0060478B">
      <w:pPr>
        <w:spacing w:before="120"/>
        <w:rPr>
          <w:rFonts w:eastAsia="Century Gothic" w:cs="Times New Roman"/>
          <w:bCs/>
          <w:kern w:val="0"/>
          <w:szCs w:val="20"/>
          <w:u w:val="single"/>
          <w:lang w:bidi="en-US"/>
          <w14:ligatures w14:val="none"/>
        </w:rPr>
      </w:pPr>
      <w:r w:rsidRPr="000A3C96">
        <w:rPr>
          <w:rFonts w:eastAsia="Century Gothic" w:cs="Times New Roman"/>
          <w:bCs/>
          <w:kern w:val="0"/>
          <w:szCs w:val="20"/>
          <w:u w:val="single"/>
          <w:lang w:bidi="en-US"/>
          <w14:ligatures w14:val="none"/>
        </w:rPr>
        <w:t>Kierunki zmian w strukturze zagospodarowania terenów</w:t>
      </w:r>
    </w:p>
    <w:p w14:paraId="52ACED5D" w14:textId="77777777" w:rsidR="000A3C96" w:rsidRPr="000A3C96" w:rsidRDefault="000A3C96">
      <w:pPr>
        <w:numPr>
          <w:ilvl w:val="0"/>
          <w:numId w:val="91"/>
        </w:numPr>
        <w:spacing w:before="120" w:line="276" w:lineRule="auto"/>
        <w:ind w:left="426"/>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Wzmacnianie konkurencyjności oraz krystalizowanie struktury osadniczej, w tym silnych ośrodków lokalnych i wydobycie niewykorzystanych potencjałów obszaru wymaga:</w:t>
      </w:r>
    </w:p>
    <w:p w14:paraId="4F1ADBA8"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rozwoju terenów zabudowy w granicach i bezpośrednim sąsiedztwie terenów zwartej zabudowy, na zasadzie kontynuacji funkcji i uzupełniania zabudowy,</w:t>
      </w:r>
    </w:p>
    <w:p w14:paraId="546991D3" w14:textId="77777777" w:rsidR="000A3C96" w:rsidRPr="000A3C96" w:rsidRDefault="000A3C96">
      <w:pPr>
        <w:numPr>
          <w:ilvl w:val="0"/>
          <w:numId w:val="84"/>
        </w:numPr>
        <w:spacing w:before="120" w:line="276" w:lineRule="auto"/>
        <w:ind w:left="850" w:hanging="357"/>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zwiększanie udziału w strukturze funkcjonalnej ośrodków osadniczych terenów inwestycyjnych o przeznaczeniu zgodnym z określoną w modelu struktury funkcją specjalizacji ośrodka,</w:t>
      </w:r>
    </w:p>
    <w:p w14:paraId="710C24AA"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uwzględniania przestrzeni publicznych jako organicznej części ośrodków osadniczych, stanowiących podstawowy element integrujący układy urbanistyczne lub ruralistyczne i decydujące o atrakcyjności obszaru dla zamieszkania,</w:t>
      </w:r>
    </w:p>
    <w:p w14:paraId="79E785DD"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zapewnienia ochrony ogólnodostępnych miejsc i możliwości tworzenia nowych przestrzeni publicznych (zieleńców, placów zabaw, terenów sportowo-rekreacyjnych itp.) przy zachowaniu historycznych założeń, układów urbanistycznych w planowaniu terenów urbanizacji (mieszkaniowych, usługowych),</w:t>
      </w:r>
    </w:p>
    <w:p w14:paraId="42077615"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planowania terenów urbanizacji warunkowanych równoczesną realizacją sieci wodociągowej i kanalizacyjnej,</w:t>
      </w:r>
    </w:p>
    <w:p w14:paraId="3349D4C7"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wykluczenia z zabudowy terenów położonych w obszarach szczególnego zagrożenia powodzią,</w:t>
      </w:r>
    </w:p>
    <w:p w14:paraId="3274A545"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 xml:space="preserve">przywrócenia i usprawnienia powiązań komunikacyjnych miejscowości sołeckich z ośrodkami skupiającymi lokalne i ponadlokalne funkcje usługowe, </w:t>
      </w:r>
    </w:p>
    <w:p w14:paraId="3FF50CC7"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przeznaczania, w procesie restrukturyzacji funkcjonalnej terenów zainwestowanych, niewykorzystanych obiektów na usługi ogólnodostępne służące celom publicznym oraz uzupełnianiu bazy infrastruktury społecznej,</w:t>
      </w:r>
    </w:p>
    <w:p w14:paraId="36F7F76D"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zachowania historycznych założeń, układów urbanistycznych, przestrzeni publicznych i dziedzictwa kulturowego z jego wykorzystaniem w rozwoju turystyki,</w:t>
      </w:r>
    </w:p>
    <w:p w14:paraId="61DBCEDD"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 xml:space="preserve">zwiększenia udziału funkcji pozarolniczych (rozwój wielofunkcyjny) w kształtowaniu osadnictwa wiejskiego, </w:t>
      </w:r>
    </w:p>
    <w:p w14:paraId="489BCBF3"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 xml:space="preserve">poprawy </w:t>
      </w:r>
      <w:r w:rsidRPr="000A3C96">
        <w:rPr>
          <w:rFonts w:eastAsia="Century Gothic" w:cs="Times New Roman"/>
          <w:bCs/>
          <w:kern w:val="0"/>
          <w:szCs w:val="20"/>
          <w:lang w:bidi="en-US"/>
          <w14:ligatures w14:val="none"/>
        </w:rPr>
        <w:t>stabilności</w:t>
      </w:r>
      <w:r w:rsidRPr="000A3C96">
        <w:rPr>
          <w:rFonts w:eastAsia="Century Gothic" w:cs="Times New Roman"/>
          <w:kern w:val="0"/>
          <w:szCs w:val="20"/>
          <w:lang w:bidi="en-US"/>
          <w14:ligatures w14:val="none"/>
        </w:rPr>
        <w:t xml:space="preserve"> </w:t>
      </w:r>
      <w:r w:rsidRPr="000A3C96">
        <w:rPr>
          <w:rFonts w:eastAsia="Century Gothic" w:cs="Times New Roman"/>
          <w:bCs/>
          <w:kern w:val="0"/>
          <w:szCs w:val="20"/>
          <w:lang w:bidi="en-US"/>
          <w14:ligatures w14:val="none"/>
        </w:rPr>
        <w:t>zaopatrzenia</w:t>
      </w:r>
      <w:r w:rsidRPr="000A3C96">
        <w:rPr>
          <w:rFonts w:eastAsia="Century Gothic" w:cs="Times New Roman"/>
          <w:kern w:val="0"/>
          <w:szCs w:val="20"/>
          <w:lang w:bidi="en-US"/>
          <w14:ligatures w14:val="none"/>
        </w:rPr>
        <w:t xml:space="preserve"> w energię z wykorzystaniem energii z OZE. </w:t>
      </w:r>
    </w:p>
    <w:p w14:paraId="1BEC170D" w14:textId="77777777" w:rsidR="000A3C96" w:rsidRPr="000A3C96" w:rsidRDefault="000A3C96">
      <w:pPr>
        <w:numPr>
          <w:ilvl w:val="0"/>
          <w:numId w:val="91"/>
        </w:numPr>
        <w:spacing w:before="120" w:line="276" w:lineRule="auto"/>
        <w:ind w:left="426"/>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Kształtowanie funkcjonalnej i estetycznej przestrzeni publicznej w mieście poprzez:</w:t>
      </w:r>
    </w:p>
    <w:p w14:paraId="4B3D052B"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lastRenderedPageBreak/>
        <w:t>realizację projektów mających na celu przywrócenie zdegradowanym obszarom Opola (w tym poprzemysłowym np. cukrownia) funkcji gospodarczych, edukacyjnych, turystycznych, społecznych i kulturalnych,</w:t>
      </w:r>
    </w:p>
    <w:p w14:paraId="7EFC2C57"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uporządkowanie przestrzeni publicznej oraz poprawa stanu tkanki architektonicznourbanistycznej,</w:t>
      </w:r>
    </w:p>
    <w:p w14:paraId="2B3E1120"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wzmocnienie funkcji centrum miasta – koncentracja obiektów usług, gastronomii, kultury, wypoczynku i rekreacji, administracji,</w:t>
      </w:r>
    </w:p>
    <w:p w14:paraId="0723B47F" w14:textId="77777777" w:rsidR="000A3C96" w:rsidRPr="000A3C96" w:rsidRDefault="000A3C96">
      <w:pPr>
        <w:numPr>
          <w:ilvl w:val="0"/>
          <w:numId w:val="84"/>
        </w:numPr>
        <w:spacing w:before="120" w:line="276" w:lineRule="auto"/>
        <w:ind w:left="850" w:hanging="357"/>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porządkowanie istniejącej zabudowy centrum miasta – elementy stref funkcjonalno- przestrzennych,</w:t>
      </w:r>
    </w:p>
    <w:p w14:paraId="7FD024A1"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ochronę cennych przyrodniczo obszarów miasta i wokół miasta (w szczególności lasy),</w:t>
      </w:r>
    </w:p>
    <w:p w14:paraId="6F1A330A"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bCs/>
          <w:kern w:val="0"/>
          <w:szCs w:val="20"/>
          <w:lang w:bidi="en-US"/>
          <w14:ligatures w14:val="none"/>
        </w:rPr>
        <w:t>poprawę</w:t>
      </w:r>
      <w:r w:rsidRPr="000A3C96">
        <w:rPr>
          <w:rFonts w:eastAsia="Century Gothic" w:cs="Times New Roman"/>
          <w:kern w:val="0"/>
          <w:szCs w:val="20"/>
          <w:lang w:bidi="en-US"/>
          <w14:ligatures w14:val="none"/>
        </w:rPr>
        <w:t xml:space="preserve"> stanu środowiska mieszkalnego.</w:t>
      </w:r>
    </w:p>
    <w:p w14:paraId="5B24FEE4" w14:textId="77777777" w:rsidR="000A3C96" w:rsidRPr="000A3C96" w:rsidRDefault="000A3C96">
      <w:pPr>
        <w:numPr>
          <w:ilvl w:val="0"/>
          <w:numId w:val="91"/>
        </w:numPr>
        <w:spacing w:before="120" w:line="276" w:lineRule="auto"/>
        <w:ind w:left="426" w:hanging="357"/>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Zwiększenie konkurencyjności i atrakcyjności gospodarczej, w tym wzmocnienie i wzbogacenie funkcjonalne wymaga:</w:t>
      </w:r>
    </w:p>
    <w:p w14:paraId="35535F33" w14:textId="77777777" w:rsidR="000A3C96" w:rsidRPr="000A3C96" w:rsidRDefault="000A3C96">
      <w:pPr>
        <w:numPr>
          <w:ilvl w:val="0"/>
          <w:numId w:val="84"/>
        </w:numPr>
        <w:spacing w:before="120" w:line="276" w:lineRule="auto"/>
        <w:ind w:left="851" w:hanging="357"/>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 xml:space="preserve">organizacji i rozwoju atrakcyjnych terenów aktywności gospodarczej w obszarach z istniejącym lub zaplanowanym pełnym uzbrojeniem terenów inwestycyjnych umożliwiających osiąganie odpowiednich standardów funkcjonalnych zagospodarowania, </w:t>
      </w:r>
    </w:p>
    <w:p w14:paraId="5A77F05B" w14:textId="77777777" w:rsidR="000A3C96" w:rsidRPr="000A3C96" w:rsidRDefault="000A3C96">
      <w:pPr>
        <w:numPr>
          <w:ilvl w:val="0"/>
          <w:numId w:val="84"/>
        </w:numPr>
        <w:spacing w:before="120" w:line="276" w:lineRule="auto"/>
        <w:ind w:left="851" w:hanging="357"/>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koncentrowania uciążliwej lub wysokospecjalistycznej aktywności usługowej lub gospodarczej w wyodrębnionych, zorganizowanych strefach umożliwiających ograniczenie negatywnego wpływu tych terenów na sąsiadującą zabudowę mieszkaniową i kształtowanie krajobrazu poprzez m.in.:</w:t>
      </w:r>
    </w:p>
    <w:p w14:paraId="464CC22D" w14:textId="77777777" w:rsidR="000A3C96" w:rsidRPr="000A3C96" w:rsidRDefault="000A3C96">
      <w:pPr>
        <w:numPr>
          <w:ilvl w:val="1"/>
          <w:numId w:val="86"/>
        </w:numPr>
        <w:spacing w:before="120" w:line="276" w:lineRule="auto"/>
        <w:ind w:left="1276" w:hanging="357"/>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 xml:space="preserve">strefowanie zabudowy na styku z istniejącymi funkcjami chronionymi, </w:t>
      </w:r>
    </w:p>
    <w:p w14:paraId="09C22080" w14:textId="77777777" w:rsidR="000A3C96" w:rsidRPr="000A3C96" w:rsidRDefault="000A3C96">
      <w:pPr>
        <w:numPr>
          <w:ilvl w:val="1"/>
          <w:numId w:val="86"/>
        </w:numPr>
        <w:spacing w:before="120" w:line="276" w:lineRule="auto"/>
        <w:ind w:left="1276" w:hanging="357"/>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tworzenie pasów ochronnych, w tym zieleni izolacyjnej (w postaci wielopiętrowej zieleni izolacyjnej),</w:t>
      </w:r>
    </w:p>
    <w:p w14:paraId="77659468" w14:textId="77777777" w:rsidR="000A3C96" w:rsidRPr="000A3C96" w:rsidRDefault="000A3C96">
      <w:pPr>
        <w:numPr>
          <w:ilvl w:val="1"/>
          <w:numId w:val="86"/>
        </w:numPr>
        <w:spacing w:before="120" w:line="276" w:lineRule="auto"/>
        <w:ind w:left="1276" w:hanging="357"/>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tworzenie granic przestrzennych (np. droga o odpowiedniej szerokości),</w:t>
      </w:r>
    </w:p>
    <w:p w14:paraId="0EFB45AE" w14:textId="77777777" w:rsidR="000A3C96" w:rsidRPr="000A3C96" w:rsidRDefault="000A3C96">
      <w:pPr>
        <w:numPr>
          <w:ilvl w:val="1"/>
          <w:numId w:val="86"/>
        </w:numPr>
        <w:spacing w:before="120" w:line="276" w:lineRule="auto"/>
        <w:ind w:left="1276" w:hanging="357"/>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organizację obsługi komunikacyjnej w sposób ograniczający potencjalną uciążliwość (w tym zakłócenia w płynności ruchu, hałas, zanieczyszczenie powietrza).</w:t>
      </w:r>
    </w:p>
    <w:p w14:paraId="58ACED44" w14:textId="77777777" w:rsidR="000A3C96" w:rsidRPr="000A3C96" w:rsidRDefault="000A3C96">
      <w:pPr>
        <w:numPr>
          <w:ilvl w:val="0"/>
          <w:numId w:val="91"/>
        </w:numPr>
        <w:spacing w:before="120" w:line="276" w:lineRule="auto"/>
        <w:ind w:left="426"/>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W kształtowaniu zagospodarowania obszarów turystycznych należy:</w:t>
      </w:r>
    </w:p>
    <w:p w14:paraId="7D17275C"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uzależnić rozwój nowych terenów budownictwa rekreacyjnego, letniskowego od pełnego ich wyposażenia w infrastrukturę sozotechniczną,</w:t>
      </w:r>
    </w:p>
    <w:p w14:paraId="7C4DF692"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zapewnić</w:t>
      </w:r>
      <w:r w:rsidRPr="000A3C96">
        <w:rPr>
          <w:rFonts w:eastAsia="PalatinoLinotype" w:cs="Times New Roman"/>
          <w:kern w:val="0"/>
          <w:szCs w:val="20"/>
          <w:lang w:bidi="en-US"/>
          <w14:ligatures w14:val="none"/>
        </w:rPr>
        <w:t xml:space="preserve"> dostępność strefy brzegowej zbiorników wodnych wykorzystywanych turystycznie poprzez traktowanie jej jako przestrzeni publicznej,</w:t>
      </w:r>
    </w:p>
    <w:p w14:paraId="55F92C82"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ograniczać przeznaczanie terenów łąkowych na cele zabudowy rekreacyjnej (letniskowej).</w:t>
      </w:r>
    </w:p>
    <w:p w14:paraId="532D5F9A" w14:textId="77777777" w:rsidR="000A3C96" w:rsidRPr="000A3C96" w:rsidRDefault="000A3C96" w:rsidP="0060478B">
      <w:pPr>
        <w:spacing w:before="120"/>
        <w:rPr>
          <w:rFonts w:eastAsia="Century Gothic" w:cs="Times New Roman"/>
          <w:bCs/>
          <w:kern w:val="0"/>
          <w:szCs w:val="20"/>
          <w:u w:val="single"/>
          <w:lang w:bidi="en-US"/>
          <w14:ligatures w14:val="none"/>
        </w:rPr>
      </w:pPr>
      <w:r w:rsidRPr="000A3C96">
        <w:rPr>
          <w:rFonts w:eastAsia="Century Gothic" w:cs="Times New Roman"/>
          <w:bCs/>
          <w:kern w:val="0"/>
          <w:szCs w:val="20"/>
          <w:u w:val="single"/>
          <w:lang w:bidi="en-US"/>
          <w14:ligatures w14:val="none"/>
        </w:rPr>
        <w:t>Zasady lokalizacji obiektów handlu wielkopowierzchniowego</w:t>
      </w:r>
    </w:p>
    <w:p w14:paraId="0EB971C3" w14:textId="77777777" w:rsidR="000A3C96" w:rsidRPr="000A3C96" w:rsidRDefault="000A3C96">
      <w:pPr>
        <w:numPr>
          <w:ilvl w:val="0"/>
          <w:numId w:val="92"/>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 celu wzbogacania wielofunkcyjności ośrodków obszaru gminy oraz ochrony lokalnego, drobnego handlu i przedsiębiorczości nie przewiduje się możliwości lokalizacji obiektów handlu wielkopowierzchniowego.</w:t>
      </w:r>
    </w:p>
    <w:p w14:paraId="7B4DFF02" w14:textId="77777777" w:rsidR="000A3C96" w:rsidRPr="000A3C96" w:rsidRDefault="000A3C96" w:rsidP="0060478B">
      <w:pPr>
        <w:spacing w:before="120"/>
        <w:rPr>
          <w:rFonts w:eastAsia="Century Gothic" w:cs="Times New Roman"/>
          <w:bCs/>
          <w:kern w:val="0"/>
          <w:szCs w:val="20"/>
          <w:u w:val="single"/>
          <w:lang w:bidi="en-US"/>
          <w14:ligatures w14:val="none"/>
        </w:rPr>
      </w:pPr>
      <w:r w:rsidRPr="000A3C96">
        <w:rPr>
          <w:rFonts w:eastAsia="Century Gothic" w:cs="Times New Roman"/>
          <w:bCs/>
          <w:kern w:val="0"/>
          <w:szCs w:val="20"/>
          <w:u w:val="single"/>
          <w:lang w:bidi="en-US"/>
          <w14:ligatures w14:val="none"/>
        </w:rPr>
        <w:t>Zasady lokalizacji kluczowych inwestycji celu publicznego</w:t>
      </w:r>
    </w:p>
    <w:p w14:paraId="7A3CE044" w14:textId="77777777" w:rsidR="000A3C96" w:rsidRPr="000A3C96" w:rsidRDefault="000A3C96">
      <w:pPr>
        <w:numPr>
          <w:ilvl w:val="0"/>
          <w:numId w:val="93"/>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lastRenderedPageBreak/>
        <w:t>W obszarze gminy przewidziane są do realizacji inwestycje celu publicznego o znaczeniu ponadlokalnym, które obejmują:</w:t>
      </w:r>
    </w:p>
    <w:p w14:paraId="0C748A51" w14:textId="74536EA1" w:rsidR="000A3C96" w:rsidRPr="000A3C96" w:rsidRDefault="00CC2DF8">
      <w:pPr>
        <w:numPr>
          <w:ilvl w:val="0"/>
          <w:numId w:val="84"/>
        </w:numPr>
        <w:spacing w:before="120" w:line="276" w:lineRule="auto"/>
        <w:ind w:left="851"/>
        <w:jc w:val="left"/>
        <w:rPr>
          <w:rFonts w:eastAsia="Century Gothic" w:cs="Times New Roman"/>
          <w:kern w:val="0"/>
          <w:szCs w:val="20"/>
          <w:lang w:bidi="en-US"/>
          <w14:ligatures w14:val="none"/>
        </w:rPr>
      </w:pPr>
      <w:r>
        <w:rPr>
          <w:rFonts w:eastAsia="Century Gothic" w:cs="Times New Roman"/>
          <w:kern w:val="0"/>
          <w:szCs w:val="20"/>
          <w:lang w:bidi="en-US"/>
          <w14:ligatures w14:val="none"/>
        </w:rPr>
        <w:t>budowę wschodniej</w:t>
      </w:r>
      <w:bookmarkStart w:id="197" w:name="_GoBack"/>
      <w:bookmarkEnd w:id="197"/>
      <w:r w:rsidR="000A3C96" w:rsidRPr="000A3C96">
        <w:rPr>
          <w:rFonts w:eastAsia="Century Gothic" w:cs="Times New Roman"/>
          <w:kern w:val="0"/>
          <w:szCs w:val="20"/>
          <w:lang w:bidi="en-US"/>
          <w14:ligatures w14:val="none"/>
        </w:rPr>
        <w:t xml:space="preserve"> obwodnicy miasta w ciągu drogi wojewódzkiej nr 824,</w:t>
      </w:r>
    </w:p>
    <w:p w14:paraId="6DEAF168"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przebudowy i modernizacje dróg wojewódzkich,</w:t>
      </w:r>
    </w:p>
    <w:p w14:paraId="693C1485"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przebudowy i modernizacje powiatowych dróg publicznych,</w:t>
      </w:r>
    </w:p>
    <w:p w14:paraId="40EC2854" w14:textId="77777777" w:rsidR="000A3C96" w:rsidRPr="000A3C96" w:rsidRDefault="000A3C96">
      <w:pPr>
        <w:numPr>
          <w:ilvl w:val="0"/>
          <w:numId w:val="84"/>
        </w:numPr>
        <w:shd w:val="clear" w:color="auto" w:fill="FFFFFF"/>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budowę gazociągu wysokiego ciśnienia ze stacją redukcyjno-pomiarową w Wandalinie.</w:t>
      </w:r>
    </w:p>
    <w:p w14:paraId="3ED3FB94" w14:textId="77777777" w:rsidR="000A3C96" w:rsidRPr="000A3C96" w:rsidRDefault="000A3C96" w:rsidP="0060478B">
      <w:pPr>
        <w:spacing w:before="120"/>
        <w:rPr>
          <w:rFonts w:eastAsia="Century Gothic" w:cs="Times New Roman"/>
          <w:bCs/>
          <w:kern w:val="0"/>
          <w:szCs w:val="20"/>
          <w:u w:val="single"/>
          <w:lang w:bidi="en-US"/>
          <w14:ligatures w14:val="none"/>
        </w:rPr>
      </w:pPr>
      <w:r w:rsidRPr="000A3C96">
        <w:rPr>
          <w:rFonts w:eastAsia="Century Gothic" w:cs="Times New Roman"/>
          <w:bCs/>
          <w:kern w:val="0"/>
          <w:szCs w:val="20"/>
          <w:u w:val="single"/>
          <w:lang w:bidi="en-US"/>
          <w14:ligatures w14:val="none"/>
        </w:rPr>
        <w:t>Kierunki rozwoju systemów komunikacji, infrastruktury technicznej i społecznej</w:t>
      </w:r>
    </w:p>
    <w:p w14:paraId="6567272B" w14:textId="77777777" w:rsidR="000A3C96" w:rsidRPr="000A3C96" w:rsidRDefault="000A3C96">
      <w:pPr>
        <w:numPr>
          <w:ilvl w:val="0"/>
          <w:numId w:val="94"/>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Kształtowanie spójnego systemu zewnętrznych i wewnętrznych powiązań transportowych oraz integrację poszczególnych elementów tego systemu wymaga:</w:t>
      </w:r>
    </w:p>
    <w:p w14:paraId="4156849F"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uwzględnienia przywrócenia i usprawnienia powiązań komunikacyjnych miejscowości sołeckich z ośrodkami gminnymi i ponadlokalnym zmierzających do zwiększenia dostępności ośrodków skupiających funkcje usługowe oraz zwiększenia mobilności mieszkańców,</w:t>
      </w:r>
    </w:p>
    <w:p w14:paraId="2F2AA619"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wykluczenia lokalizacji funkcji wrażliwych na uciążliwości hałasu na terenach położonych w bezpośrednim sąsiedztwie głównych drogowych i kolejowych powiązań transportowych,</w:t>
      </w:r>
    </w:p>
    <w:p w14:paraId="1232DADC"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rozbudowy sieci lokalnych szlaków rowerowych i ich integracji z ponadlokalnymi szlakami rowerowymi.</w:t>
      </w:r>
    </w:p>
    <w:p w14:paraId="4402F23A" w14:textId="77777777" w:rsidR="000A3C96" w:rsidRPr="000A3C96" w:rsidRDefault="000A3C96">
      <w:pPr>
        <w:numPr>
          <w:ilvl w:val="0"/>
          <w:numId w:val="94"/>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Wytyczanie i organizowanie nowych szlaków turystycznych "powinno się odbywać w nawiązaniu do kierunków przebiegu szlaków ponadlokalnych, w sposób umożliwiający stworzenie spójnego systemu różnego rodzaju szlaków turystycznych (drogowych, pieszych, rowerowych, konnych) zapewniającego integrację i sieciowanie obszarów turystycznych gminy.</w:t>
      </w:r>
    </w:p>
    <w:p w14:paraId="40137FC6" w14:textId="77777777" w:rsidR="000A3C96" w:rsidRPr="000A3C96" w:rsidRDefault="000A3C96">
      <w:pPr>
        <w:numPr>
          <w:ilvl w:val="0"/>
          <w:numId w:val="94"/>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Przy lokalizacji infrastruktury elektroenergetycznej należy dążyć do minimalizacji jej oddziaływania na środowisko, a w szczególności: </w:t>
      </w:r>
    </w:p>
    <w:p w14:paraId="4719AD90"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ograniczać jej ingerencję w krajobraz,</w:t>
      </w:r>
    </w:p>
    <w:p w14:paraId="3F2456F6"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nie podejmowania działań mogących w znaczący sposób pogorszyć stan siedlisk przyrodniczych oraz siedlisk gatunków roślin i zwierząt.</w:t>
      </w:r>
    </w:p>
    <w:p w14:paraId="7028F98D" w14:textId="77777777" w:rsidR="000A3C96" w:rsidRPr="000A3C96" w:rsidRDefault="000A3C96" w:rsidP="0060478B">
      <w:pPr>
        <w:spacing w:before="120"/>
        <w:rPr>
          <w:rFonts w:eastAsia="Century Gothic" w:cs="Times New Roman"/>
          <w:bCs/>
          <w:kern w:val="0"/>
          <w:szCs w:val="20"/>
          <w:u w:val="single"/>
          <w:lang w:bidi="en-US"/>
          <w14:ligatures w14:val="none"/>
        </w:rPr>
      </w:pPr>
      <w:r w:rsidRPr="000A3C96">
        <w:rPr>
          <w:rFonts w:eastAsia="Century Gothic" w:cs="Times New Roman"/>
          <w:bCs/>
          <w:kern w:val="0"/>
          <w:szCs w:val="20"/>
          <w:u w:val="single"/>
          <w:lang w:bidi="en-US"/>
          <w14:ligatures w14:val="none"/>
        </w:rPr>
        <w:t>Zasady lokalizacji urządzeń wytwarzających energię o mocy zainstalowanej przekraczającej 500 kW</w:t>
      </w:r>
    </w:p>
    <w:p w14:paraId="6EFA7C6C" w14:textId="77777777" w:rsidR="000A3C96" w:rsidRPr="000A3C96" w:rsidRDefault="000A3C96">
      <w:pPr>
        <w:numPr>
          <w:ilvl w:val="0"/>
          <w:numId w:val="95"/>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 zakresie energetyki wiatrowej należy ograniczyć możliwość lokalizacji na terenie gminy farm wiatrowych.</w:t>
      </w:r>
    </w:p>
    <w:p w14:paraId="1A843226" w14:textId="77777777" w:rsidR="000A3C96" w:rsidRPr="000A3C96" w:rsidRDefault="000A3C96">
      <w:pPr>
        <w:numPr>
          <w:ilvl w:val="0"/>
          <w:numId w:val="95"/>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kern w:val="0"/>
          <w:szCs w:val="20"/>
          <w:lang w:bidi="en-US"/>
          <w14:ligatures w14:val="none"/>
        </w:rPr>
        <w:t xml:space="preserve">W zakresie rozwoju energetyki słonecznej : </w:t>
      </w:r>
    </w:p>
    <w:p w14:paraId="5C849978" w14:textId="77777777" w:rsidR="000A3C96" w:rsidRPr="000A3C96"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kern w:val="0"/>
          <w:szCs w:val="20"/>
          <w:lang w:bidi="en-US"/>
          <w14:ligatures w14:val="none"/>
        </w:rPr>
        <w:t>wyklucza się z lokalizacji elektrowni fotowoltaicznych tereny w granicach dolin rzecznych, obszarów szczególnego zagrożenia powodzią oraz obszary o wysokich walorach krajobrazowych, w tym tereny ekspozycji krajobrazowej, panoram i przedpól punktów widokowych,</w:t>
      </w:r>
    </w:p>
    <w:p w14:paraId="66007D3D" w14:textId="77777777" w:rsidR="000A3C96" w:rsidRPr="00E73482" w:rsidRDefault="000A3C96">
      <w:pPr>
        <w:numPr>
          <w:ilvl w:val="0"/>
          <w:numId w:val="84"/>
        </w:numPr>
        <w:spacing w:before="120" w:line="276" w:lineRule="auto"/>
        <w:ind w:left="851"/>
        <w:jc w:val="left"/>
        <w:rPr>
          <w:rFonts w:eastAsia="Century Gothic" w:cs="Times New Roman"/>
          <w:bCs/>
          <w:kern w:val="0"/>
          <w:szCs w:val="20"/>
          <w:lang w:bidi="en-US"/>
          <w14:ligatures w14:val="none"/>
        </w:rPr>
      </w:pPr>
      <w:r w:rsidRPr="000A3C96">
        <w:rPr>
          <w:rFonts w:eastAsia="Century Gothic" w:cs="Times New Roman"/>
          <w:kern w:val="0"/>
          <w:szCs w:val="20"/>
          <w:lang w:bidi="en-US"/>
          <w14:ligatures w14:val="none"/>
        </w:rPr>
        <w:t>należy ograniczyć możliwość lokalizacji elektrowni fotowoltaicznych obszary systemu przyrodniczego gminy oraz obszary gruntów ornych klas I-III.</w:t>
      </w:r>
    </w:p>
    <w:p w14:paraId="0C6A2654" w14:textId="77777777" w:rsidR="00E73482" w:rsidRPr="000A3C96" w:rsidRDefault="00E73482" w:rsidP="00E73482">
      <w:pPr>
        <w:spacing w:before="120" w:line="276" w:lineRule="auto"/>
        <w:ind w:left="851"/>
        <w:jc w:val="left"/>
        <w:rPr>
          <w:rFonts w:eastAsia="Century Gothic" w:cs="Times New Roman"/>
          <w:bCs/>
          <w:kern w:val="0"/>
          <w:szCs w:val="20"/>
          <w:lang w:bidi="en-US"/>
          <w14:ligatures w14:val="none"/>
        </w:rPr>
      </w:pPr>
    </w:p>
    <w:p w14:paraId="3BD17589" w14:textId="77777777" w:rsidR="000A3C96" w:rsidRPr="000A3C96" w:rsidRDefault="000A3C96" w:rsidP="0060478B">
      <w:pPr>
        <w:spacing w:before="120"/>
        <w:rPr>
          <w:rFonts w:eastAsia="Century Gothic" w:cs="Times New Roman"/>
          <w:bCs/>
          <w:kern w:val="0"/>
          <w:szCs w:val="20"/>
          <w:u w:val="single"/>
          <w:lang w:bidi="en-US"/>
          <w14:ligatures w14:val="none"/>
        </w:rPr>
      </w:pPr>
      <w:r w:rsidRPr="000A3C96">
        <w:rPr>
          <w:rFonts w:eastAsia="Century Gothic" w:cs="Times New Roman"/>
          <w:bCs/>
          <w:kern w:val="0"/>
          <w:szCs w:val="20"/>
          <w:u w:val="single"/>
          <w:lang w:bidi="en-US"/>
          <w14:ligatures w14:val="none"/>
        </w:rPr>
        <w:lastRenderedPageBreak/>
        <w:t>Zasady lokalizacji przedsięwzięć mogących znacząco oddziaływać na środowisko</w:t>
      </w:r>
    </w:p>
    <w:p w14:paraId="6D96E395" w14:textId="77777777" w:rsidR="000A3C96" w:rsidRPr="000A3C96" w:rsidRDefault="000A3C96">
      <w:pPr>
        <w:numPr>
          <w:ilvl w:val="0"/>
          <w:numId w:val="96"/>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 xml:space="preserve">Wyklucza się lokalizację przedsięwzięć mogących zawsze znacząco oddziaływać </w:t>
      </w:r>
      <w:r w:rsidRPr="000A3C96">
        <w:rPr>
          <w:rFonts w:eastAsia="Century Gothic" w:cs="Times New Roman"/>
          <w:bCs/>
          <w:kern w:val="0"/>
          <w:szCs w:val="20"/>
          <w:lang w:bidi="en-US"/>
          <w14:ligatures w14:val="none"/>
        </w:rPr>
        <w:br/>
        <w:t xml:space="preserve">na środowisko i przedsięwzięć mogących potencjalnie znacząco oddziaływać </w:t>
      </w:r>
      <w:r w:rsidRPr="000A3C96">
        <w:rPr>
          <w:rFonts w:eastAsia="Century Gothic" w:cs="Times New Roman"/>
          <w:bCs/>
          <w:kern w:val="0"/>
          <w:szCs w:val="20"/>
          <w:lang w:bidi="en-US"/>
          <w14:ligatures w14:val="none"/>
        </w:rPr>
        <w:br/>
        <w:t>na środowisko, które mogą spowodować nieosiągnięcie celów środowiskowych zawartych w planie gospodarowania wodami na obszarze dorzecza.</w:t>
      </w:r>
    </w:p>
    <w:p w14:paraId="50A5AAA9" w14:textId="77777777" w:rsidR="000A3C96" w:rsidRPr="000A3C96" w:rsidRDefault="000A3C96" w:rsidP="0060478B">
      <w:pPr>
        <w:spacing w:before="120"/>
        <w:rPr>
          <w:rFonts w:eastAsia="Century Gothic" w:cs="Times New Roman"/>
          <w:bCs/>
          <w:kern w:val="0"/>
          <w:szCs w:val="20"/>
          <w:u w:val="single"/>
          <w:lang w:bidi="en-US"/>
          <w14:ligatures w14:val="none"/>
        </w:rPr>
      </w:pPr>
      <w:r w:rsidRPr="000A3C96">
        <w:rPr>
          <w:rFonts w:eastAsia="Century Gothic" w:cs="Times New Roman"/>
          <w:bCs/>
          <w:kern w:val="0"/>
          <w:szCs w:val="20"/>
          <w:u w:val="single"/>
          <w:lang w:bidi="en-US"/>
          <w14:ligatures w14:val="none"/>
        </w:rPr>
        <w:t>Zasady kształtowania rolniczej i leśnej przestrzeni produkcyjnej</w:t>
      </w:r>
    </w:p>
    <w:p w14:paraId="7E910602" w14:textId="77777777" w:rsidR="000A3C96" w:rsidRPr="000A3C96" w:rsidRDefault="000A3C96">
      <w:pPr>
        <w:numPr>
          <w:ilvl w:val="0"/>
          <w:numId w:val="97"/>
        </w:numPr>
        <w:spacing w:before="120" w:line="276" w:lineRule="auto"/>
        <w:ind w:left="426"/>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Wzbogacenie funkcjonalne obszaru z zachowaniem obecnych kierunków rozwoju specjalizacji opartej na lokalnej tradycji i zasobach</w:t>
      </w:r>
      <w:r w:rsidRPr="000A3C96">
        <w:rPr>
          <w:rFonts w:eastAsia="Century Gothic" w:cs="Times New Roman"/>
          <w:kern w:val="0"/>
          <w:szCs w:val="20"/>
          <w:lang w:bidi="en-US"/>
          <w14:ligatures w14:val="none"/>
        </w:rPr>
        <w:t xml:space="preserve"> </w:t>
      </w:r>
      <w:r w:rsidRPr="000A3C96">
        <w:rPr>
          <w:rFonts w:eastAsia="Century Gothic" w:cs="Times New Roman"/>
          <w:bCs/>
          <w:kern w:val="0"/>
          <w:szCs w:val="20"/>
          <w:lang w:bidi="en-US"/>
          <w14:ligatures w14:val="none"/>
        </w:rPr>
        <w:t>przy uwzględnieniu ochrony walorów przestrzeni rolniczej, co wymaga:</w:t>
      </w:r>
    </w:p>
    <w:p w14:paraId="1CA07B28"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zatrzymania procesów urbanizacji i rozlewania zabudowy poprzez ograniczenie wyznaczania nowych terenów zabudowy nie mających kontynuacji w nawiązaniu do istniejących terenów zwartej zabudowy,</w:t>
      </w:r>
    </w:p>
    <w:p w14:paraId="53A16DE5"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wykorzystywania potencjału glebowo-klimatycznego, kulturowego i przyrodniczo-krajobrazowego do intensyfikacji rozwoju lokalnej przedsiębiorczości,</w:t>
      </w:r>
    </w:p>
    <w:p w14:paraId="7301C527" w14:textId="77777777" w:rsidR="000A3C96" w:rsidRPr="000A3C96" w:rsidRDefault="000A3C96">
      <w:pPr>
        <w:numPr>
          <w:ilvl w:val="0"/>
          <w:numId w:val="84"/>
        </w:numPr>
        <w:spacing w:before="120" w:line="276" w:lineRule="auto"/>
        <w:ind w:left="851"/>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łączenia i sieciowania zasobów i obszarów występowania poszczególnych potencjałów kluczowych dla rozwoju produktu turystycznego gminy.</w:t>
      </w:r>
    </w:p>
    <w:p w14:paraId="25F556A4" w14:textId="77777777" w:rsidR="000A3C96" w:rsidRPr="000A3C96" w:rsidRDefault="000A3C96">
      <w:pPr>
        <w:numPr>
          <w:ilvl w:val="0"/>
          <w:numId w:val="97"/>
        </w:numPr>
        <w:spacing w:before="120" w:line="276" w:lineRule="auto"/>
        <w:ind w:left="426"/>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Uwzględniając poziom rozwoju rolnictwa zakłada się rozwoju rolniczej przestrzeni produkcyjnej zgodnie z wykształconymi specjalizacjami w poszczególnych strefach funkcjonalno-przestrzennych, tj.:</w:t>
      </w:r>
    </w:p>
    <w:p w14:paraId="50099397" w14:textId="77777777" w:rsidR="000A3C96" w:rsidRPr="000A3C96" w:rsidRDefault="000A3C96">
      <w:pPr>
        <w:numPr>
          <w:ilvl w:val="0"/>
          <w:numId w:val="84"/>
        </w:numPr>
        <w:spacing w:before="120" w:line="276" w:lineRule="auto"/>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w strefie upraw sadowniczych:</w:t>
      </w:r>
    </w:p>
    <w:p w14:paraId="1A6FE2AC" w14:textId="77777777" w:rsidR="000A3C96" w:rsidRPr="000A3C96" w:rsidRDefault="000A3C96">
      <w:pPr>
        <w:numPr>
          <w:ilvl w:val="1"/>
          <w:numId w:val="84"/>
        </w:numPr>
        <w:spacing w:before="120" w:line="276" w:lineRule="auto"/>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ochrona zasobów gleb najwyższych klas,</w:t>
      </w:r>
    </w:p>
    <w:p w14:paraId="515799A7" w14:textId="77777777" w:rsidR="000A3C96" w:rsidRPr="000A3C96" w:rsidRDefault="000A3C96">
      <w:pPr>
        <w:numPr>
          <w:ilvl w:val="1"/>
          <w:numId w:val="84"/>
        </w:numPr>
        <w:spacing w:before="120" w:line="276" w:lineRule="auto"/>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wspieranie produkcji rolnej, w tym zwłaszcza sadowniczej i plantacyjnej, uzupełnianej różnymi formami usługowo-produkcyjnych działalności gospodarczych powiązanych z rolnictwem (np. przetwórstwo rolno-spożywcze, obsługa rolnictwa),</w:t>
      </w:r>
    </w:p>
    <w:p w14:paraId="28AE8C36" w14:textId="77777777" w:rsidR="000A3C96" w:rsidRPr="000A3C96" w:rsidRDefault="000A3C96">
      <w:pPr>
        <w:numPr>
          <w:ilvl w:val="1"/>
          <w:numId w:val="84"/>
        </w:numPr>
        <w:spacing w:before="120" w:line="276" w:lineRule="auto"/>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 xml:space="preserve">ograniczanie nadmiernej urbanizacji, </w:t>
      </w:r>
    </w:p>
    <w:p w14:paraId="4B45C6B6" w14:textId="77777777" w:rsidR="000A3C96" w:rsidRPr="000A3C96" w:rsidRDefault="000A3C96">
      <w:pPr>
        <w:numPr>
          <w:ilvl w:val="1"/>
          <w:numId w:val="84"/>
        </w:numPr>
        <w:spacing w:before="120" w:line="276" w:lineRule="auto"/>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 xml:space="preserve">zapewnienie warunków harmonijnego rozwoju rolnictwa i rozwijanie agroturystyki, </w:t>
      </w:r>
    </w:p>
    <w:p w14:paraId="4EE51ED1" w14:textId="77777777" w:rsidR="000A3C96" w:rsidRPr="000A3C96" w:rsidRDefault="000A3C96">
      <w:pPr>
        <w:numPr>
          <w:ilvl w:val="1"/>
          <w:numId w:val="84"/>
        </w:numPr>
        <w:spacing w:before="120" w:line="276" w:lineRule="auto"/>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pierwszeństwo zabudowy rolno-produkcyjnej przed zabudową mieszkaniową w przypadkach konfliktowych;</w:t>
      </w:r>
    </w:p>
    <w:p w14:paraId="46DC0494" w14:textId="77777777" w:rsidR="000A3C96" w:rsidRPr="000A3C96" w:rsidRDefault="000A3C96">
      <w:pPr>
        <w:numPr>
          <w:ilvl w:val="0"/>
          <w:numId w:val="84"/>
        </w:numPr>
        <w:spacing w:before="12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 strefie upraw polowych:</w:t>
      </w:r>
    </w:p>
    <w:p w14:paraId="01A874A4" w14:textId="77777777" w:rsidR="000A3C96" w:rsidRPr="000A3C96" w:rsidRDefault="000A3C96">
      <w:pPr>
        <w:numPr>
          <w:ilvl w:val="1"/>
          <w:numId w:val="84"/>
        </w:numPr>
        <w:spacing w:before="12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ochrona użytków rolnych przed zmniejszaniem ich areałów,</w:t>
      </w:r>
    </w:p>
    <w:p w14:paraId="368F6702" w14:textId="77777777" w:rsidR="000A3C96" w:rsidRPr="000A3C96" w:rsidRDefault="000A3C96">
      <w:pPr>
        <w:numPr>
          <w:ilvl w:val="1"/>
          <w:numId w:val="84"/>
        </w:numPr>
        <w:spacing w:before="12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powiększanie areałów gospodarstw,</w:t>
      </w:r>
    </w:p>
    <w:p w14:paraId="366F90BE" w14:textId="77777777" w:rsidR="000A3C96" w:rsidRPr="000A3C96" w:rsidRDefault="000A3C96">
      <w:pPr>
        <w:numPr>
          <w:ilvl w:val="1"/>
          <w:numId w:val="84"/>
        </w:numPr>
        <w:spacing w:before="12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wzbogacanie funkcjonalne obszarów wiejskich formami usługowo-produkcyjnych działalności gospodarczych powiązanych z rolnictwem,</w:t>
      </w:r>
    </w:p>
    <w:p w14:paraId="7110A63B" w14:textId="77777777" w:rsidR="000A3C96" w:rsidRPr="000A3C96" w:rsidRDefault="000A3C96">
      <w:pPr>
        <w:numPr>
          <w:ilvl w:val="1"/>
          <w:numId w:val="84"/>
        </w:numPr>
        <w:spacing w:before="120" w:line="276" w:lineRule="auto"/>
        <w:jc w:val="left"/>
        <w:rPr>
          <w:rFonts w:eastAsia="Century Gothic" w:cs="Times New Roman"/>
          <w:bCs/>
          <w:kern w:val="0"/>
          <w:szCs w:val="20"/>
          <w:lang w:bidi="en-US"/>
          <w14:ligatures w14:val="none"/>
        </w:rPr>
      </w:pPr>
      <w:r w:rsidRPr="000A3C96">
        <w:rPr>
          <w:rFonts w:eastAsia="Century Gothic" w:cs="Times New Roman"/>
          <w:kern w:val="0"/>
          <w:szCs w:val="20"/>
          <w:lang w:bidi="en-US"/>
          <w14:ligatures w14:val="none"/>
        </w:rPr>
        <w:t>pierwszeństwo zabudowy rolno-produkcyjnej przed zabudową mieszkaniową w przypadkach konfliktowych</w:t>
      </w:r>
      <w:r w:rsidRPr="000A3C96">
        <w:rPr>
          <w:rFonts w:eastAsia="Century Gothic" w:cs="Times New Roman"/>
          <w:bCs/>
          <w:kern w:val="0"/>
          <w:szCs w:val="20"/>
          <w:lang w:bidi="en-US"/>
          <w14:ligatures w14:val="none"/>
        </w:rPr>
        <w:t>;</w:t>
      </w:r>
    </w:p>
    <w:p w14:paraId="26C62424" w14:textId="77777777" w:rsidR="000A3C96" w:rsidRPr="000A3C96" w:rsidRDefault="000A3C96">
      <w:pPr>
        <w:numPr>
          <w:ilvl w:val="0"/>
          <w:numId w:val="84"/>
        </w:numPr>
        <w:spacing w:before="120" w:line="276" w:lineRule="auto"/>
        <w:jc w:val="left"/>
        <w:rPr>
          <w:rFonts w:ascii="Tahoma" w:eastAsia="Century Gothic" w:hAnsi="Tahoma" w:cs="Tahoma"/>
          <w:kern w:val="0"/>
          <w:sz w:val="22"/>
          <w14:ligatures w14:val="none"/>
        </w:rPr>
      </w:pPr>
      <w:r w:rsidRPr="000A3C96">
        <w:rPr>
          <w:rFonts w:eastAsia="Century Gothic" w:cs="Times New Roman"/>
          <w:bCs/>
          <w:kern w:val="0"/>
          <w:szCs w:val="20"/>
          <w:lang w:bidi="en-US"/>
          <w14:ligatures w14:val="none"/>
        </w:rPr>
        <w:t>w strefie dolinnej:</w:t>
      </w:r>
    </w:p>
    <w:p w14:paraId="1A65328D" w14:textId="77777777" w:rsidR="000A3C96" w:rsidRPr="000A3C96" w:rsidRDefault="000A3C96">
      <w:pPr>
        <w:numPr>
          <w:ilvl w:val="1"/>
          <w:numId w:val="84"/>
        </w:numPr>
        <w:spacing w:before="120" w:line="276" w:lineRule="auto"/>
        <w:jc w:val="left"/>
        <w:rPr>
          <w:rFonts w:ascii="Tahoma" w:eastAsia="Century Gothic" w:hAnsi="Tahoma" w:cs="Tahoma"/>
          <w:kern w:val="0"/>
          <w:sz w:val="22"/>
          <w14:ligatures w14:val="none"/>
        </w:rPr>
      </w:pPr>
      <w:r w:rsidRPr="000A3C96">
        <w:rPr>
          <w:rFonts w:eastAsia="Century Gothic" w:cs="Times New Roman"/>
          <w:bCs/>
          <w:kern w:val="0"/>
          <w:szCs w:val="20"/>
          <w:lang w:bidi="en-US"/>
          <w14:ligatures w14:val="none"/>
        </w:rPr>
        <w:t>wielofunkcyjny rozwój obszarów oparty na wspieraniu rozwoju funkcji gospodarki rybackiej i turystyki,</w:t>
      </w:r>
    </w:p>
    <w:p w14:paraId="37510AEA" w14:textId="77777777" w:rsidR="000A3C96" w:rsidRPr="000A3C96" w:rsidRDefault="000A3C96">
      <w:pPr>
        <w:numPr>
          <w:ilvl w:val="1"/>
          <w:numId w:val="84"/>
        </w:numPr>
        <w:spacing w:before="120" w:line="276" w:lineRule="auto"/>
        <w:jc w:val="left"/>
        <w:rPr>
          <w:rFonts w:ascii="Tahoma" w:eastAsia="Century Gothic" w:hAnsi="Tahoma" w:cs="Tahoma"/>
          <w:kern w:val="0"/>
          <w:sz w:val="22"/>
          <w14:ligatures w14:val="none"/>
        </w:rPr>
      </w:pPr>
      <w:r w:rsidRPr="000A3C96">
        <w:rPr>
          <w:rFonts w:eastAsia="Century Gothic" w:cs="Times New Roman"/>
          <w:bCs/>
          <w:kern w:val="0"/>
          <w:szCs w:val="20"/>
          <w:lang w:bidi="en-US"/>
          <w14:ligatures w14:val="none"/>
        </w:rPr>
        <w:lastRenderedPageBreak/>
        <w:t>uzupełnianie funkcji usługowo-gospodarczych tj. drobne rzemiosło, usługi produkcyjne, usługi związane z obsługą turystyki, rekreacji, agroturystyki, handel.</w:t>
      </w:r>
    </w:p>
    <w:p w14:paraId="3B1C759F" w14:textId="77777777" w:rsidR="000A3C96" w:rsidRPr="000A3C96" w:rsidRDefault="000A3C96">
      <w:pPr>
        <w:numPr>
          <w:ilvl w:val="0"/>
          <w:numId w:val="97"/>
        </w:numPr>
        <w:spacing w:before="120" w:line="276" w:lineRule="auto"/>
        <w:ind w:left="426"/>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Kierunki i zasady kształtowania leśnej przestrzeni produkcyjnej obejmują:</w:t>
      </w:r>
    </w:p>
    <w:p w14:paraId="4DD91A98" w14:textId="77777777" w:rsidR="000A3C96" w:rsidRPr="000A3C96" w:rsidRDefault="000A3C96">
      <w:pPr>
        <w:numPr>
          <w:ilvl w:val="0"/>
          <w:numId w:val="84"/>
        </w:numPr>
        <w:spacing w:before="12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utrzymanie trwałości lasów i ciągłości wykorzystania ich funkcji (środowiskotwórczych, społecznych, ochronnych i gospodarczych),</w:t>
      </w:r>
    </w:p>
    <w:p w14:paraId="1CDE1E26" w14:textId="77777777" w:rsidR="000A3C96" w:rsidRPr="000A3C96" w:rsidRDefault="000A3C96">
      <w:pPr>
        <w:numPr>
          <w:ilvl w:val="0"/>
          <w:numId w:val="84"/>
        </w:numPr>
        <w:spacing w:before="12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powiększania zasobów leśnych i wzmagania ich korzystnego wpływu na warunki życia człowieka i funkcjonowania przyrody,</w:t>
      </w:r>
    </w:p>
    <w:p w14:paraId="103764FC" w14:textId="77777777" w:rsidR="000A3C96" w:rsidRPr="000A3C96" w:rsidRDefault="000A3C96">
      <w:pPr>
        <w:numPr>
          <w:ilvl w:val="0"/>
          <w:numId w:val="84"/>
        </w:numPr>
        <w:spacing w:before="12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zalesianie nowych terenów z uwzględnieniem uwarunkowań przyrodniczo-krajobrazowych,</w:t>
      </w:r>
    </w:p>
    <w:p w14:paraId="3829CE78" w14:textId="77777777" w:rsidR="000A3C96" w:rsidRPr="000A3C96" w:rsidRDefault="000A3C96">
      <w:pPr>
        <w:numPr>
          <w:ilvl w:val="0"/>
          <w:numId w:val="84"/>
        </w:numPr>
        <w:spacing w:before="120" w:line="276" w:lineRule="auto"/>
        <w:jc w:val="left"/>
        <w:rPr>
          <w:rFonts w:eastAsia="Century Gothic" w:cs="Times New Roman"/>
          <w:bCs/>
          <w:kern w:val="0"/>
          <w:szCs w:val="20"/>
          <w:lang w:bidi="en-US"/>
          <w14:ligatures w14:val="none"/>
        </w:rPr>
      </w:pPr>
      <w:r w:rsidRPr="000A3C96">
        <w:rPr>
          <w:rFonts w:eastAsia="Century Gothic" w:cs="Times New Roman"/>
          <w:bCs/>
          <w:kern w:val="0"/>
          <w:szCs w:val="20"/>
          <w:lang w:bidi="en-US"/>
          <w14:ligatures w14:val="none"/>
        </w:rPr>
        <w:t>tworzenie spójnych kompleksów leśnych, szczególnie w obszarze korytarzy ekologicznych i wododziałów.</w:t>
      </w:r>
    </w:p>
    <w:p w14:paraId="36E2B0E7" w14:textId="77777777" w:rsidR="000A3C96" w:rsidRPr="000A3C96" w:rsidRDefault="000A3C96" w:rsidP="0060478B">
      <w:pPr>
        <w:spacing w:before="120"/>
        <w:rPr>
          <w:rFonts w:eastAsia="Century Gothic" w:cs="Times New Roman"/>
          <w:bCs/>
          <w:kern w:val="0"/>
          <w:szCs w:val="20"/>
          <w:u w:val="single"/>
          <w:lang w:bidi="en-US"/>
          <w14:ligatures w14:val="none"/>
        </w:rPr>
      </w:pPr>
      <w:r w:rsidRPr="000A3C96">
        <w:rPr>
          <w:rFonts w:eastAsia="Century Gothic" w:cs="Times New Roman"/>
          <w:bCs/>
          <w:kern w:val="0"/>
          <w:szCs w:val="20"/>
          <w:u w:val="single"/>
          <w:lang w:bidi="en-US"/>
          <w14:ligatures w14:val="none"/>
        </w:rPr>
        <w:t>Zasady kształtowania zagospodarowania przestrzennego na obszarach zdegradowanych i obszarach rewitalizacji oraz obszarach wymagających przekształceń, rehabilitacji, rekultywacji lub remediacji</w:t>
      </w:r>
    </w:p>
    <w:p w14:paraId="31A9698E" w14:textId="77777777" w:rsidR="000A3C96" w:rsidRPr="000A3C96" w:rsidRDefault="000A3C96">
      <w:pPr>
        <w:numPr>
          <w:ilvl w:val="0"/>
          <w:numId w:val="98"/>
        </w:numPr>
        <w:spacing w:before="120" w:after="200" w:line="276" w:lineRule="auto"/>
        <w:ind w:left="426"/>
        <w:jc w:val="left"/>
        <w:rPr>
          <w:rFonts w:eastAsia="Century Gothic" w:cs="Times New Roman"/>
          <w:kern w:val="0"/>
          <w:szCs w:val="20"/>
          <w:lang w:bidi="en-US"/>
          <w14:ligatures w14:val="none"/>
        </w:rPr>
      </w:pPr>
      <w:r w:rsidRPr="000A3C96">
        <w:rPr>
          <w:rFonts w:eastAsia="Century Gothic" w:cs="Times New Roman"/>
          <w:kern w:val="0"/>
          <w:szCs w:val="20"/>
          <w:lang w:bidi="en-US"/>
          <w14:ligatures w14:val="none"/>
        </w:rPr>
        <w:t>Procesy rewitalizacji i spójną z nimi politykę przestrzenną należy realizować na podstawie gminnego programu rewitalizacji.</w:t>
      </w:r>
    </w:p>
    <w:p w14:paraId="3F3BE132" w14:textId="77777777" w:rsidR="0060478B" w:rsidRDefault="0060478B" w:rsidP="000A3C96">
      <w:pPr>
        <w:spacing w:before="60" w:after="60"/>
        <w:rPr>
          <w:rFonts w:eastAsia="Century Gothic" w:cs="Times New Roman"/>
          <w:i/>
          <w:iCs/>
          <w:kern w:val="0"/>
          <w:szCs w:val="20"/>
          <w:highlight w:val="red"/>
          <w:lang w:bidi="en-US"/>
          <w14:ligatures w14:val="none"/>
        </w:rPr>
      </w:pPr>
    </w:p>
    <w:p w14:paraId="3222C7B5" w14:textId="77777777" w:rsidR="0060478B" w:rsidRDefault="0060478B" w:rsidP="000A3C96">
      <w:pPr>
        <w:spacing w:before="60" w:after="60"/>
        <w:rPr>
          <w:rFonts w:eastAsia="Century Gothic" w:cs="Times New Roman"/>
          <w:i/>
          <w:iCs/>
          <w:kern w:val="0"/>
          <w:szCs w:val="20"/>
          <w:highlight w:val="red"/>
          <w:lang w:bidi="en-US"/>
          <w14:ligatures w14:val="none"/>
        </w:rPr>
      </w:pPr>
    </w:p>
    <w:p w14:paraId="688267CA" w14:textId="77777777" w:rsidR="0060478B" w:rsidRDefault="0060478B" w:rsidP="000A3C96">
      <w:pPr>
        <w:spacing w:before="60" w:after="60"/>
        <w:rPr>
          <w:rFonts w:eastAsia="Century Gothic" w:cs="Times New Roman"/>
          <w:i/>
          <w:iCs/>
          <w:kern w:val="0"/>
          <w:szCs w:val="20"/>
          <w:highlight w:val="red"/>
          <w:lang w:bidi="en-US"/>
          <w14:ligatures w14:val="none"/>
        </w:rPr>
      </w:pPr>
    </w:p>
    <w:p w14:paraId="0FB5E823" w14:textId="77777777" w:rsidR="0060478B" w:rsidRDefault="0060478B" w:rsidP="000A3C96">
      <w:pPr>
        <w:spacing w:before="60" w:after="60"/>
        <w:rPr>
          <w:rFonts w:eastAsia="Century Gothic" w:cs="Times New Roman"/>
          <w:i/>
          <w:iCs/>
          <w:kern w:val="0"/>
          <w:szCs w:val="20"/>
          <w:highlight w:val="red"/>
          <w:lang w:bidi="en-US"/>
          <w14:ligatures w14:val="none"/>
        </w:rPr>
      </w:pPr>
    </w:p>
    <w:p w14:paraId="57971954" w14:textId="77777777" w:rsidR="0060478B" w:rsidRDefault="0060478B" w:rsidP="000A3C96">
      <w:pPr>
        <w:spacing w:before="60" w:after="60"/>
        <w:rPr>
          <w:rFonts w:eastAsia="Century Gothic" w:cs="Times New Roman"/>
          <w:i/>
          <w:iCs/>
          <w:kern w:val="0"/>
          <w:szCs w:val="20"/>
          <w:highlight w:val="red"/>
          <w:lang w:bidi="en-US"/>
          <w14:ligatures w14:val="none"/>
        </w:rPr>
      </w:pPr>
    </w:p>
    <w:p w14:paraId="37AD5C17" w14:textId="77777777" w:rsidR="0060478B" w:rsidRDefault="0060478B" w:rsidP="000A3C96">
      <w:pPr>
        <w:spacing w:before="60" w:after="60"/>
        <w:rPr>
          <w:rFonts w:eastAsia="Century Gothic" w:cs="Times New Roman"/>
          <w:i/>
          <w:iCs/>
          <w:kern w:val="0"/>
          <w:szCs w:val="20"/>
          <w:highlight w:val="red"/>
          <w:lang w:bidi="en-US"/>
          <w14:ligatures w14:val="none"/>
        </w:rPr>
      </w:pPr>
    </w:p>
    <w:p w14:paraId="2FDBCFAB" w14:textId="77777777" w:rsidR="0060478B" w:rsidRDefault="0060478B" w:rsidP="000A3C96">
      <w:pPr>
        <w:spacing w:before="60" w:after="60"/>
        <w:rPr>
          <w:rFonts w:eastAsia="Century Gothic" w:cs="Times New Roman"/>
          <w:i/>
          <w:iCs/>
          <w:kern w:val="0"/>
          <w:szCs w:val="20"/>
          <w:highlight w:val="red"/>
          <w:lang w:bidi="en-US"/>
          <w14:ligatures w14:val="none"/>
        </w:rPr>
      </w:pPr>
    </w:p>
    <w:p w14:paraId="7AF7661F" w14:textId="77777777" w:rsidR="0060478B" w:rsidRDefault="0060478B" w:rsidP="000A3C96">
      <w:pPr>
        <w:spacing w:before="60" w:after="60"/>
        <w:rPr>
          <w:rFonts w:eastAsia="Century Gothic" w:cs="Times New Roman"/>
          <w:i/>
          <w:iCs/>
          <w:kern w:val="0"/>
          <w:szCs w:val="20"/>
          <w:highlight w:val="red"/>
          <w:lang w:bidi="en-US"/>
          <w14:ligatures w14:val="none"/>
        </w:rPr>
      </w:pPr>
    </w:p>
    <w:p w14:paraId="5B08B42F" w14:textId="77777777" w:rsidR="0060478B" w:rsidRDefault="0060478B" w:rsidP="000A3C96">
      <w:pPr>
        <w:spacing w:before="60" w:after="60"/>
        <w:rPr>
          <w:rFonts w:eastAsia="Century Gothic" w:cs="Times New Roman"/>
          <w:i/>
          <w:iCs/>
          <w:kern w:val="0"/>
          <w:szCs w:val="20"/>
          <w:highlight w:val="red"/>
          <w:lang w:bidi="en-US"/>
          <w14:ligatures w14:val="none"/>
        </w:rPr>
      </w:pPr>
    </w:p>
    <w:p w14:paraId="19DB22B9" w14:textId="77777777" w:rsidR="0060478B" w:rsidRDefault="0060478B" w:rsidP="000A3C96">
      <w:pPr>
        <w:spacing w:before="60" w:after="60"/>
        <w:rPr>
          <w:rFonts w:eastAsia="Century Gothic" w:cs="Times New Roman"/>
          <w:i/>
          <w:iCs/>
          <w:kern w:val="0"/>
          <w:szCs w:val="20"/>
          <w:highlight w:val="red"/>
          <w:lang w:bidi="en-US"/>
          <w14:ligatures w14:val="none"/>
        </w:rPr>
      </w:pPr>
    </w:p>
    <w:p w14:paraId="6CA6F200" w14:textId="77777777" w:rsidR="0060478B" w:rsidRDefault="0060478B" w:rsidP="000A3C96">
      <w:pPr>
        <w:spacing w:before="60" w:after="60"/>
        <w:rPr>
          <w:rFonts w:eastAsia="Century Gothic" w:cs="Times New Roman"/>
          <w:i/>
          <w:iCs/>
          <w:kern w:val="0"/>
          <w:szCs w:val="20"/>
          <w:highlight w:val="red"/>
          <w:lang w:bidi="en-US"/>
          <w14:ligatures w14:val="none"/>
        </w:rPr>
      </w:pPr>
    </w:p>
    <w:p w14:paraId="7A636072" w14:textId="77777777" w:rsidR="0060478B" w:rsidRDefault="0060478B" w:rsidP="000A3C96">
      <w:pPr>
        <w:spacing w:before="60" w:after="60"/>
        <w:rPr>
          <w:rFonts w:eastAsia="Century Gothic" w:cs="Times New Roman"/>
          <w:i/>
          <w:iCs/>
          <w:kern w:val="0"/>
          <w:szCs w:val="20"/>
          <w:highlight w:val="red"/>
          <w:lang w:bidi="en-US"/>
          <w14:ligatures w14:val="none"/>
        </w:rPr>
      </w:pPr>
    </w:p>
    <w:p w14:paraId="003675AC" w14:textId="77777777" w:rsidR="0060478B" w:rsidRDefault="0060478B" w:rsidP="000A3C96">
      <w:pPr>
        <w:spacing w:before="60" w:after="60"/>
        <w:rPr>
          <w:rFonts w:eastAsia="Century Gothic" w:cs="Times New Roman"/>
          <w:i/>
          <w:iCs/>
          <w:kern w:val="0"/>
          <w:szCs w:val="20"/>
          <w:highlight w:val="red"/>
          <w:lang w:bidi="en-US"/>
          <w14:ligatures w14:val="none"/>
        </w:rPr>
      </w:pPr>
    </w:p>
    <w:p w14:paraId="57DA25D3" w14:textId="77777777" w:rsidR="0060478B" w:rsidRDefault="0060478B" w:rsidP="000A3C96">
      <w:pPr>
        <w:spacing w:before="60" w:after="60"/>
        <w:rPr>
          <w:rFonts w:eastAsia="Century Gothic" w:cs="Times New Roman"/>
          <w:i/>
          <w:iCs/>
          <w:kern w:val="0"/>
          <w:szCs w:val="20"/>
          <w:highlight w:val="red"/>
          <w:lang w:bidi="en-US"/>
          <w14:ligatures w14:val="none"/>
        </w:rPr>
      </w:pPr>
    </w:p>
    <w:p w14:paraId="38A0A213" w14:textId="77777777" w:rsidR="0060478B" w:rsidRDefault="0060478B" w:rsidP="000A3C96">
      <w:pPr>
        <w:spacing w:before="60" w:after="60"/>
        <w:rPr>
          <w:rFonts w:eastAsia="Century Gothic" w:cs="Times New Roman"/>
          <w:i/>
          <w:iCs/>
          <w:kern w:val="0"/>
          <w:szCs w:val="20"/>
          <w:highlight w:val="red"/>
          <w:lang w:bidi="en-US"/>
          <w14:ligatures w14:val="none"/>
        </w:rPr>
      </w:pPr>
    </w:p>
    <w:p w14:paraId="2C956E24" w14:textId="77777777" w:rsidR="0060478B" w:rsidRDefault="0060478B" w:rsidP="000A3C96">
      <w:pPr>
        <w:spacing w:before="60" w:after="60"/>
        <w:rPr>
          <w:rFonts w:eastAsia="Century Gothic" w:cs="Times New Roman"/>
          <w:i/>
          <w:iCs/>
          <w:kern w:val="0"/>
          <w:szCs w:val="20"/>
          <w:highlight w:val="red"/>
          <w:lang w:bidi="en-US"/>
          <w14:ligatures w14:val="none"/>
        </w:rPr>
      </w:pPr>
    </w:p>
    <w:p w14:paraId="6474EFF7" w14:textId="77777777" w:rsidR="0060478B" w:rsidRDefault="0060478B" w:rsidP="000A3C96">
      <w:pPr>
        <w:spacing w:before="60" w:after="60"/>
        <w:rPr>
          <w:rFonts w:eastAsia="Century Gothic" w:cs="Times New Roman"/>
          <w:i/>
          <w:iCs/>
          <w:kern w:val="0"/>
          <w:szCs w:val="20"/>
          <w:highlight w:val="red"/>
          <w:lang w:bidi="en-US"/>
          <w14:ligatures w14:val="none"/>
        </w:rPr>
      </w:pPr>
    </w:p>
    <w:p w14:paraId="6CC2EF7F" w14:textId="77777777" w:rsidR="0060478B" w:rsidRDefault="0060478B" w:rsidP="000A3C96">
      <w:pPr>
        <w:spacing w:before="60" w:after="60"/>
        <w:rPr>
          <w:rFonts w:eastAsia="Century Gothic" w:cs="Times New Roman"/>
          <w:i/>
          <w:iCs/>
          <w:kern w:val="0"/>
          <w:szCs w:val="20"/>
          <w:highlight w:val="red"/>
          <w:lang w:bidi="en-US"/>
          <w14:ligatures w14:val="none"/>
        </w:rPr>
      </w:pPr>
    </w:p>
    <w:p w14:paraId="54488E90" w14:textId="77777777" w:rsidR="0060478B" w:rsidRDefault="0060478B" w:rsidP="000A3C96">
      <w:pPr>
        <w:spacing w:before="60" w:after="60"/>
        <w:rPr>
          <w:rFonts w:eastAsia="Century Gothic" w:cs="Times New Roman"/>
          <w:i/>
          <w:iCs/>
          <w:kern w:val="0"/>
          <w:szCs w:val="20"/>
          <w:highlight w:val="red"/>
          <w:lang w:bidi="en-US"/>
          <w14:ligatures w14:val="none"/>
        </w:rPr>
      </w:pPr>
    </w:p>
    <w:p w14:paraId="44232D6A" w14:textId="77777777" w:rsidR="0060478B" w:rsidRDefault="0060478B" w:rsidP="000A3C96">
      <w:pPr>
        <w:spacing w:before="60" w:after="60"/>
        <w:rPr>
          <w:rFonts w:eastAsia="Century Gothic" w:cs="Times New Roman"/>
          <w:i/>
          <w:iCs/>
          <w:kern w:val="0"/>
          <w:szCs w:val="20"/>
          <w:highlight w:val="red"/>
          <w:lang w:bidi="en-US"/>
          <w14:ligatures w14:val="none"/>
        </w:rPr>
      </w:pPr>
    </w:p>
    <w:p w14:paraId="454971FC" w14:textId="77777777" w:rsidR="0060478B" w:rsidRDefault="0060478B" w:rsidP="000A3C96">
      <w:pPr>
        <w:spacing w:before="60" w:after="60"/>
        <w:rPr>
          <w:rFonts w:eastAsia="Century Gothic" w:cs="Times New Roman"/>
          <w:i/>
          <w:iCs/>
          <w:kern w:val="0"/>
          <w:szCs w:val="20"/>
          <w:highlight w:val="red"/>
          <w:lang w:bidi="en-US"/>
          <w14:ligatures w14:val="none"/>
        </w:rPr>
      </w:pPr>
    </w:p>
    <w:p w14:paraId="54809D52" w14:textId="4C259207" w:rsidR="00D35C4D" w:rsidRPr="00D35C4D" w:rsidRDefault="00D35C4D" w:rsidP="00D35C4D">
      <w:pPr>
        <w:spacing w:before="120" w:line="240" w:lineRule="auto"/>
        <w:rPr>
          <w:rFonts w:eastAsia="Calibri" w:cs="Times New Roman"/>
          <w:b/>
          <w:bCs/>
          <w:color w:val="7B230B"/>
          <w:kern w:val="0"/>
          <w:sz w:val="16"/>
          <w:szCs w:val="19"/>
          <w14:ligatures w14:val="none"/>
        </w:rPr>
      </w:pPr>
      <w:bookmarkStart w:id="198" w:name="_Toc189166412"/>
      <w:r w:rsidRPr="003F2001">
        <w:rPr>
          <w:rFonts w:eastAsia="Calibri" w:cs="Times New Roman"/>
          <w:b/>
          <w:bCs/>
          <w:color w:val="7B230B"/>
          <w:kern w:val="0"/>
          <w:sz w:val="16"/>
          <w:szCs w:val="19"/>
          <w14:ligatures w14:val="none"/>
        </w:rPr>
        <w:lastRenderedPageBreak/>
        <w:t xml:space="preserve">Ryc.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Ryc.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8</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xml:space="preserve">. </w:t>
      </w:r>
      <w:r w:rsidRPr="00D35C4D">
        <w:rPr>
          <w:rFonts w:eastAsia="Calibri" w:cs="Times New Roman"/>
          <w:b/>
          <w:bCs/>
          <w:color w:val="7B230B"/>
          <w:kern w:val="0"/>
          <w:sz w:val="16"/>
          <w:szCs w:val="19"/>
          <w14:ligatures w14:val="none"/>
        </w:rPr>
        <w:t>Zasoby i potencjały przyrodniczo-kulturowe gminy</w:t>
      </w:r>
      <w:bookmarkEnd w:id="198"/>
    </w:p>
    <w:p w14:paraId="6FC92B91" w14:textId="77777777" w:rsidR="000A3C96" w:rsidRPr="000A3C96" w:rsidRDefault="000A3C96" w:rsidP="000A3C96">
      <w:pPr>
        <w:spacing w:before="60" w:after="60"/>
        <w:rPr>
          <w:rFonts w:eastAsia="Century Gothic" w:cs="Times New Roman"/>
          <w:color w:val="FF0000"/>
          <w:kern w:val="0"/>
          <w:szCs w:val="20"/>
          <w:lang w:bidi="en-US"/>
          <w14:ligatures w14:val="none"/>
        </w:rPr>
      </w:pPr>
      <w:r w:rsidRPr="000A3C96">
        <w:rPr>
          <w:rFonts w:eastAsia="Century Gothic" w:cs="Times New Roman"/>
          <w:noProof/>
          <w:color w:val="FF0000"/>
          <w:kern w:val="0"/>
          <w:szCs w:val="20"/>
          <w:lang w:eastAsia="pl-PL"/>
          <w14:ligatures w14:val="none"/>
        </w:rPr>
        <w:drawing>
          <wp:inline distT="0" distB="0" distL="0" distR="0" wp14:anchorId="50D5C15C" wp14:editId="6A49253C">
            <wp:extent cx="5719864" cy="7868786"/>
            <wp:effectExtent l="0" t="0" r="0" b="0"/>
            <wp:docPr id="1054866895"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66895" name="Obraz 1" descr="Obraz zawierający tekst, mapa, atlas, diagram&#10;&#10;Opis wygenerowany automatycznie"/>
                    <pic:cNvPicPr/>
                  </pic:nvPicPr>
                  <pic:blipFill>
                    <a:blip r:embed="rId83">
                      <a:extLst>
                        <a:ext uri="{28A0092B-C50C-407E-A947-70E740481C1C}">
                          <a14:useLocalDpi xmlns:a14="http://schemas.microsoft.com/office/drawing/2010/main" val="0"/>
                        </a:ext>
                      </a:extLst>
                    </a:blip>
                    <a:stretch>
                      <a:fillRect/>
                    </a:stretch>
                  </pic:blipFill>
                  <pic:spPr>
                    <a:xfrm>
                      <a:off x="0" y="0"/>
                      <a:ext cx="5758358" cy="7921742"/>
                    </a:xfrm>
                    <a:prstGeom prst="rect">
                      <a:avLst/>
                    </a:prstGeom>
                  </pic:spPr>
                </pic:pic>
              </a:graphicData>
            </a:graphic>
          </wp:inline>
        </w:drawing>
      </w:r>
    </w:p>
    <w:p w14:paraId="1F0761E8" w14:textId="2BA87DE9" w:rsidR="00FC15E9" w:rsidRDefault="00FC15E9" w:rsidP="00FC15E9"/>
    <w:p w14:paraId="71B0D835" w14:textId="77777777" w:rsidR="0060478B" w:rsidRPr="009024FC" w:rsidRDefault="0060478B" w:rsidP="00FC15E9"/>
    <w:p w14:paraId="6518C9EF" w14:textId="612935CE" w:rsidR="00261698" w:rsidRDefault="00261698" w:rsidP="005A5258">
      <w:pPr>
        <w:pStyle w:val="Nagwek1"/>
        <w:jc w:val="left"/>
        <w:rPr>
          <w:lang w:bidi="en-US"/>
        </w:rPr>
      </w:pPr>
      <w:bookmarkStart w:id="199" w:name="_Toc191908801"/>
      <w:r>
        <w:rPr>
          <w:lang w:bidi="en-US"/>
        </w:rPr>
        <w:lastRenderedPageBreak/>
        <w:t>1</w:t>
      </w:r>
      <w:r w:rsidR="000A3C96">
        <w:rPr>
          <w:lang w:bidi="en-US"/>
        </w:rPr>
        <w:t>0</w:t>
      </w:r>
      <w:r>
        <w:rPr>
          <w:lang w:bidi="en-US"/>
        </w:rPr>
        <w:t>. Terytorialny wymiar wsparcia, obszary strategicznej interwencji</w:t>
      </w:r>
      <w:bookmarkEnd w:id="199"/>
    </w:p>
    <w:p w14:paraId="0B07776F" w14:textId="22343233" w:rsidR="00261698" w:rsidRDefault="007B56A4" w:rsidP="00261698">
      <w:pPr>
        <w:rPr>
          <w:lang w:bidi="en-US"/>
        </w:rPr>
      </w:pPr>
      <w:r>
        <w:rPr>
          <w:lang w:bidi="en-US"/>
        </w:rPr>
        <w:t xml:space="preserve">Priorytetowym zadaniem dla prowadzenia polityki rozwoju w ujęciu terytorialnym jest rozpoznanie barier i potencjałów jakie posiada Gmina Opole Lubelskie oraz ich odniesień przestrzennych. Odpowiednia ich identyfikacja pozwala na wyznaczenie </w:t>
      </w:r>
      <w:r w:rsidR="000547F3">
        <w:rPr>
          <w:lang w:bidi="en-US"/>
        </w:rPr>
        <w:t xml:space="preserve">powiązanych ze sobą funkcjonalnie </w:t>
      </w:r>
      <w:r>
        <w:rPr>
          <w:lang w:bidi="en-US"/>
        </w:rPr>
        <w:t xml:space="preserve">interwencji publicznych </w:t>
      </w:r>
      <w:r w:rsidR="000547F3">
        <w:rPr>
          <w:lang w:bidi="en-US"/>
        </w:rPr>
        <w:t>w wielu obszarach</w:t>
      </w:r>
      <w:r>
        <w:rPr>
          <w:lang w:bidi="en-US"/>
        </w:rPr>
        <w:t xml:space="preserve">. Podejście terytorialne to narzędzie umożliwiające wzmocnienie procesów rozwojowych na terenie </w:t>
      </w:r>
      <w:r w:rsidR="000547F3">
        <w:rPr>
          <w:lang w:bidi="en-US"/>
        </w:rPr>
        <w:t>g</w:t>
      </w:r>
      <w:r>
        <w:rPr>
          <w:lang w:bidi="en-US"/>
        </w:rPr>
        <w:t>miny Opole Lubelskie, a co za tym idzie zwiększenie szans na osiągnięcie celów strategicznych wyznaczonych w Strategii.</w:t>
      </w:r>
      <w:r w:rsidR="000547F3">
        <w:rPr>
          <w:lang w:bidi="en-US"/>
        </w:rPr>
        <w:t xml:space="preserve"> </w:t>
      </w:r>
    </w:p>
    <w:p w14:paraId="750B5BC0" w14:textId="477686CC" w:rsidR="007B56A4" w:rsidRDefault="007B56A4" w:rsidP="00261698">
      <w:pPr>
        <w:rPr>
          <w:lang w:bidi="en-US"/>
        </w:rPr>
      </w:pPr>
      <w:r w:rsidRPr="007B56A4">
        <w:rPr>
          <w:lang w:bidi="en-US"/>
        </w:rPr>
        <w:t>Wymiar terytorialny w Strategii został określony na podstawie wzorca polityki rozwoju, wyznaczonego w krajowych dokumentach strategicznych tj. Strategii na rzecz Odpowiedzialnego Rozwoju i Krajowej Strategii Rozwoju Regionalnego 2030 (KSRR 2030). Paradygmat ten podkreśla zmniejszenie dysproporcji w poziomie rozwoju społeczno-gospodarczego regionów, a także zapewnienie spójności rozwojowej kraju przez wsparcie obszarów słabszych gospodarczo.</w:t>
      </w:r>
    </w:p>
    <w:p w14:paraId="4D62BEDA" w14:textId="46CE9FF2" w:rsidR="007B56A4" w:rsidRDefault="007B56A4" w:rsidP="00261698">
      <w:pPr>
        <w:rPr>
          <w:lang w:bidi="en-US"/>
        </w:rPr>
      </w:pPr>
      <w:r w:rsidRPr="00872EB1">
        <w:rPr>
          <w:lang w:bidi="en-US"/>
        </w:rPr>
        <w:t xml:space="preserve">Odejście od założenia wspierania całego kraju w jednolity sposób na rzecz zróżnicowania interwencji w zależności od problemów i potencjałów danego obszaru jest przyczyną wyznaczenia </w:t>
      </w:r>
      <w:r w:rsidRPr="00304C9A">
        <w:rPr>
          <w:b/>
          <w:bCs/>
          <w:lang w:bidi="en-US"/>
        </w:rPr>
        <w:t>Obszarów Strategicznej Interwencji (OSI)</w:t>
      </w:r>
      <w:r w:rsidRPr="00872EB1">
        <w:rPr>
          <w:lang w:bidi="en-US"/>
        </w:rPr>
        <w:t xml:space="preserve">. </w:t>
      </w:r>
      <w:r w:rsidR="00872EB1" w:rsidRPr="00872EB1">
        <w:rPr>
          <w:lang w:bidi="en-US"/>
        </w:rPr>
        <w:t xml:space="preserve">W kontekście tzw. wymiaru terytorialnego, </w:t>
      </w:r>
      <w:r w:rsidRPr="00872EB1">
        <w:rPr>
          <w:lang w:bidi="en-US"/>
        </w:rPr>
        <w:t>interwencj</w:t>
      </w:r>
      <w:r w:rsidR="00872EB1" w:rsidRPr="00872EB1">
        <w:rPr>
          <w:lang w:bidi="en-US"/>
        </w:rPr>
        <w:t>a</w:t>
      </w:r>
      <w:r w:rsidRPr="00872EB1">
        <w:rPr>
          <w:lang w:bidi="en-US"/>
        </w:rPr>
        <w:t xml:space="preserve"> </w:t>
      </w:r>
      <w:r w:rsidR="00872EB1" w:rsidRPr="00872EB1">
        <w:rPr>
          <w:lang w:bidi="en-US"/>
        </w:rPr>
        <w:t>w danym OSI oparta jest o</w:t>
      </w:r>
      <w:r w:rsidRPr="00872EB1">
        <w:rPr>
          <w:lang w:bidi="en-US"/>
        </w:rPr>
        <w:t xml:space="preserve"> instrumenty terytorialne </w:t>
      </w:r>
      <w:r w:rsidR="00872EB1" w:rsidRPr="00872EB1">
        <w:rPr>
          <w:lang w:bidi="en-US"/>
        </w:rPr>
        <w:t>– Zintegrowane Inwestycje Terytorialne, Inne Instrumenty Terytorialna oraz Gminne Programy Rewitalizacji, dostosowane</w:t>
      </w:r>
      <w:r w:rsidRPr="00872EB1">
        <w:rPr>
          <w:lang w:bidi="en-US"/>
        </w:rPr>
        <w:t xml:space="preserve"> do specyficznych cech rozwojowych </w:t>
      </w:r>
      <w:r w:rsidR="00872EB1" w:rsidRPr="00872EB1">
        <w:rPr>
          <w:lang w:bidi="en-US"/>
        </w:rPr>
        <w:t xml:space="preserve">danego </w:t>
      </w:r>
      <w:r w:rsidRPr="00872EB1">
        <w:rPr>
          <w:lang w:bidi="en-US"/>
        </w:rPr>
        <w:t>OSI.</w:t>
      </w:r>
    </w:p>
    <w:p w14:paraId="46761FA2" w14:textId="189C6BA4" w:rsidR="00261698" w:rsidRPr="00AA7531" w:rsidRDefault="00261698" w:rsidP="00280E13">
      <w:pPr>
        <w:pStyle w:val="Nagwek2"/>
        <w:spacing w:before="240"/>
      </w:pPr>
      <w:bookmarkStart w:id="200" w:name="_Toc191908802"/>
      <w:r w:rsidRPr="00AA7531">
        <w:t xml:space="preserve">10.1 </w:t>
      </w:r>
      <w:r w:rsidRPr="00280E13">
        <w:t>Podejście</w:t>
      </w:r>
      <w:r w:rsidRPr="00AA7531">
        <w:t xml:space="preserve"> terytorialne – uwarunkowania krajowe i regionalne</w:t>
      </w:r>
      <w:bookmarkEnd w:id="200"/>
    </w:p>
    <w:p w14:paraId="2711A94C" w14:textId="47E7F8D8" w:rsidR="00261698" w:rsidRDefault="0076000B" w:rsidP="00261698">
      <w:pPr>
        <w:rPr>
          <w:lang w:bidi="en-US"/>
        </w:rPr>
      </w:pPr>
      <w:r>
        <w:rPr>
          <w:lang w:bidi="en-US"/>
        </w:rPr>
        <w:t>Podejście terytorialne zawiera kierunki i założenia polityki regionalnej jakie zostały nakreślone w</w:t>
      </w:r>
      <w:r w:rsidR="005A22F2">
        <w:rPr>
          <w:lang w:bidi="en-US"/>
        </w:rPr>
        <w:t> </w:t>
      </w:r>
      <w:r w:rsidRPr="00D07DF8">
        <w:rPr>
          <w:b/>
          <w:bCs/>
          <w:lang w:bidi="en-US"/>
        </w:rPr>
        <w:t>Strategii Rozwoju Województwa Lubelskiego 2030 (SRWL 2030)</w:t>
      </w:r>
      <w:r>
        <w:rPr>
          <w:lang w:bidi="en-US"/>
        </w:rPr>
        <w:t>. SRWL 203</w:t>
      </w:r>
      <w:r w:rsidR="008A071F">
        <w:rPr>
          <w:lang w:bidi="en-US"/>
        </w:rPr>
        <w:t xml:space="preserve"> wyznacza Obszary Strategicznej Interwencji (OSI), które są odpowiedzią na potrzebę szczególnego wsparcia realizacji kierunków działań SRWL 2030 na poszczególnych obszarach województwa lubelskiego. Wyznaczone OSI obejmują </w:t>
      </w:r>
      <w:r w:rsidR="008A071F" w:rsidRPr="008A071F">
        <w:rPr>
          <w:lang w:bidi="en-US"/>
        </w:rPr>
        <w:t>regionalne strefy funkcjonalne, charakteryzujące się wspólnymi uwarunkowaniami i celami rozwojowymi</w:t>
      </w:r>
      <w:r w:rsidR="00D07DF8">
        <w:rPr>
          <w:lang w:bidi="en-US"/>
        </w:rPr>
        <w:t>.</w:t>
      </w:r>
    </w:p>
    <w:p w14:paraId="318E74F5" w14:textId="01BB28FB" w:rsidR="00EA7FAC" w:rsidRDefault="00EA7FAC" w:rsidP="00EA7FAC">
      <w:pPr>
        <w:rPr>
          <w:lang w:bidi="en-US"/>
        </w:rPr>
      </w:pPr>
      <w:r>
        <w:rPr>
          <w:lang w:bidi="en-US"/>
        </w:rPr>
        <w:t>W wymiarze strategicznym oznacza to wskazanie</w:t>
      </w:r>
      <w:r w:rsidR="00D07DF8">
        <w:rPr>
          <w:rStyle w:val="Odwoanieprzypisudolnego"/>
          <w:lang w:bidi="en-US"/>
        </w:rPr>
        <w:footnoteReference w:id="10"/>
      </w:r>
      <w:r>
        <w:rPr>
          <w:lang w:bidi="en-US"/>
        </w:rPr>
        <w:t>:</w:t>
      </w:r>
    </w:p>
    <w:p w14:paraId="4129A45C" w14:textId="252B2A59" w:rsidR="00EA7FAC" w:rsidRDefault="00EA7FAC">
      <w:pPr>
        <w:pStyle w:val="Akapitzlist"/>
        <w:numPr>
          <w:ilvl w:val="1"/>
          <w:numId w:val="2"/>
        </w:numPr>
        <w:ind w:left="426" w:hanging="426"/>
        <w:rPr>
          <w:lang w:bidi="en-US"/>
        </w:rPr>
      </w:pPr>
      <w:r>
        <w:rPr>
          <w:lang w:bidi="en-US"/>
        </w:rPr>
        <w:t>obszarów, dla których zdefiniowany indywidualny priorytet rozwojowy determinuje zakres planowanego wsparcia w ramach instrumentów terytorialnych,</w:t>
      </w:r>
    </w:p>
    <w:p w14:paraId="75933097" w14:textId="57478D7C" w:rsidR="00EA7FAC" w:rsidRDefault="00EA7FAC">
      <w:pPr>
        <w:pStyle w:val="Akapitzlist"/>
        <w:numPr>
          <w:ilvl w:val="1"/>
          <w:numId w:val="2"/>
        </w:numPr>
        <w:ind w:left="426" w:hanging="426"/>
        <w:rPr>
          <w:lang w:bidi="en-US"/>
        </w:rPr>
      </w:pPr>
      <w:r>
        <w:rPr>
          <w:lang w:bidi="en-US"/>
        </w:rPr>
        <w:t>kierunków działań (wybranych spośród wszystkich kierunków działań SRWL 2030), których realizacja ma szczególne znaczenie dla priorytetów rozwojowych poszczególnych subregionów funkcjonalnych,</w:t>
      </w:r>
    </w:p>
    <w:p w14:paraId="59ED05DB" w14:textId="55C204E9" w:rsidR="00EA7FAC" w:rsidRDefault="00EA7FAC">
      <w:pPr>
        <w:pStyle w:val="Akapitzlist"/>
        <w:numPr>
          <w:ilvl w:val="1"/>
          <w:numId w:val="2"/>
        </w:numPr>
        <w:ind w:left="426" w:hanging="426"/>
        <w:rPr>
          <w:lang w:bidi="en-US"/>
        </w:rPr>
      </w:pPr>
      <w:r>
        <w:rPr>
          <w:lang w:bidi="en-US"/>
        </w:rPr>
        <w:t>przedsięwzięć, których realizacja ma szczególne znaczenie dla rozwoju określonych subregionów funkcjonalnych, w tym przede wszystkim służących poprawie ich dostępności w układzie wewnętrznym i zewnętrznym.</w:t>
      </w:r>
    </w:p>
    <w:p w14:paraId="778C818F" w14:textId="3C221496" w:rsidR="00EA7FAC" w:rsidRDefault="00EA7FAC" w:rsidP="00EA7FAC">
      <w:pPr>
        <w:rPr>
          <w:lang w:bidi="en-US"/>
        </w:rPr>
      </w:pPr>
      <w:r>
        <w:rPr>
          <w:lang w:bidi="en-US"/>
        </w:rPr>
        <w:lastRenderedPageBreak/>
        <w:t>Wszyscy interesariusze Strategii Rozwoju Województwa Lubelskiego 2030 mogą korzystać</w:t>
      </w:r>
      <w:r w:rsidRPr="00EA7FAC">
        <w:rPr>
          <w:lang w:bidi="en-US"/>
        </w:rPr>
        <w:t xml:space="preserve"> ze wsparcia regionalnego na zasadach ogólnych, wynikających z kierunków działań o</w:t>
      </w:r>
      <w:r w:rsidR="005A22F2">
        <w:rPr>
          <w:lang w:bidi="en-US"/>
        </w:rPr>
        <w:t> </w:t>
      </w:r>
      <w:r w:rsidRPr="00EA7FAC">
        <w:rPr>
          <w:lang w:bidi="en-US"/>
        </w:rPr>
        <w:t>charakterze horyzontalnym, wskazanych w ramach poszczególnych celów strategicznych i</w:t>
      </w:r>
      <w:r w:rsidR="005A22F2">
        <w:rPr>
          <w:lang w:bidi="en-US"/>
        </w:rPr>
        <w:t> </w:t>
      </w:r>
      <w:r w:rsidRPr="00EA7FAC">
        <w:rPr>
          <w:lang w:bidi="en-US"/>
        </w:rPr>
        <w:t>operacyjnych</w:t>
      </w:r>
      <w:r>
        <w:rPr>
          <w:lang w:bidi="en-US"/>
        </w:rPr>
        <w:t>, niezależnie od kierunków działań wskazanych w SRWL 2030 oznaczonych jako szczególnie istotne dla rozwoju OSI.</w:t>
      </w:r>
    </w:p>
    <w:p w14:paraId="42C12938" w14:textId="31E80D3C" w:rsidR="00EA7FAC" w:rsidRDefault="00EA7FAC" w:rsidP="00EA7FAC">
      <w:r>
        <w:rPr>
          <w:lang w:bidi="en-US"/>
        </w:rPr>
        <w:t xml:space="preserve">W ramach delimitacji Obszarów </w:t>
      </w:r>
      <w:r w:rsidR="004B038A">
        <w:rPr>
          <w:lang w:bidi="en-US"/>
        </w:rPr>
        <w:t>Strategicznej</w:t>
      </w:r>
      <w:r>
        <w:rPr>
          <w:lang w:bidi="en-US"/>
        </w:rPr>
        <w:t xml:space="preserve"> Interwencji przeprowadzonej</w:t>
      </w:r>
      <w:r w:rsidR="007E134C">
        <w:rPr>
          <w:lang w:bidi="en-US"/>
        </w:rPr>
        <w:t xml:space="preserve"> w ramach SRWL 2030 wskazano obszary</w:t>
      </w:r>
      <w:r w:rsidR="00D07DF8">
        <w:rPr>
          <w:lang w:bidi="en-US"/>
        </w:rPr>
        <w:t>,</w:t>
      </w:r>
      <w:r w:rsidR="007E134C">
        <w:rPr>
          <w:lang w:bidi="en-US"/>
        </w:rPr>
        <w:t xml:space="preserve"> na których samorząd województwa </w:t>
      </w:r>
      <w:r w:rsidR="007E134C">
        <w:t xml:space="preserve">lubelskiego zakłada zastosowanie mechanizmów terytorialnych - tematycznych kierunków interwencji z uwzględnieniem wsparcia z poziomu krajowego, regionalnego i lokalnego oraz </w:t>
      </w:r>
      <w:r w:rsidR="007E134C" w:rsidRPr="00114F79">
        <w:t>przedsięwzięć priorytetowych dla rozwoju poszczególnych OSI</w:t>
      </w:r>
      <w:r w:rsidR="007E134C">
        <w:t xml:space="preserve">. </w:t>
      </w:r>
    </w:p>
    <w:p w14:paraId="018EB78E" w14:textId="77777777" w:rsidR="007E134C" w:rsidRPr="00114F79" w:rsidRDefault="007E134C" w:rsidP="00D07DF8">
      <w:pPr>
        <w:spacing w:after="0"/>
      </w:pPr>
      <w:r w:rsidRPr="00114F79">
        <w:t xml:space="preserve">Zakres OSI wskazanych w SRWL 2030 obejmuje: </w:t>
      </w:r>
    </w:p>
    <w:p w14:paraId="5B24765C" w14:textId="77777777" w:rsidR="007E134C" w:rsidRDefault="007E134C">
      <w:pPr>
        <w:pStyle w:val="Akapitzlist"/>
        <w:numPr>
          <w:ilvl w:val="0"/>
          <w:numId w:val="4"/>
        </w:numPr>
        <w:ind w:left="284" w:hanging="284"/>
      </w:pPr>
      <w:r w:rsidRPr="00114F79">
        <w:t xml:space="preserve">obszary współpracy w strefach silnego oddziaływania miast (Miejskie Obszary Funkcjonalne ośrodków subregionalnych i lokalnych oraz Lubelski Obszar Metropolitalny) </w:t>
      </w:r>
    </w:p>
    <w:p w14:paraId="35A64E00" w14:textId="097BF236" w:rsidR="00D07DF8" w:rsidRDefault="00D07DF8">
      <w:pPr>
        <w:pStyle w:val="Akapitzlist"/>
        <w:numPr>
          <w:ilvl w:val="0"/>
          <w:numId w:val="4"/>
        </w:numPr>
        <w:spacing w:after="0"/>
        <w:ind w:left="284" w:hanging="284"/>
        <w:contextualSpacing w:val="0"/>
      </w:pPr>
      <w:r>
        <w:t xml:space="preserve">strefy </w:t>
      </w:r>
      <w:r w:rsidRPr="00D07DF8">
        <w:t>funkcjonalne, charakteryzujące się wspólnymi uwarunkowaniami i celami rozwojowymi, na których przewiduje się współpracę w układach ponadlokalnych (OSI Subregionalne: Roztocze, Polesie, Powiśle, Podlaski, Żywicielski).</w:t>
      </w:r>
    </w:p>
    <w:p w14:paraId="10A9246F" w14:textId="7307BBC2" w:rsidR="00D07DF8" w:rsidRDefault="001B17B2" w:rsidP="00D07DF8">
      <w:pPr>
        <w:spacing w:after="0"/>
        <w:jc w:val="center"/>
      </w:pPr>
      <w:r w:rsidRPr="00024E79">
        <w:rPr>
          <w:noProof/>
          <w:lang w:eastAsia="pl-PL"/>
        </w:rPr>
        <w:drawing>
          <wp:inline distT="0" distB="0" distL="0" distR="0" wp14:anchorId="416450BA" wp14:editId="2C0FE915">
            <wp:extent cx="3597601" cy="5122333"/>
            <wp:effectExtent l="0" t="0" r="3175" b="2540"/>
            <wp:docPr id="5940637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3779" name=""/>
                    <pic:cNvPicPr/>
                  </pic:nvPicPr>
                  <pic:blipFill>
                    <a:blip r:embed="rId84">
                      <a:extLst>
                        <a:ext uri="{28A0092B-C50C-407E-A947-70E740481C1C}">
                          <a14:useLocalDpi xmlns:a14="http://schemas.microsoft.com/office/drawing/2010/main" val="0"/>
                        </a:ext>
                      </a:extLst>
                    </a:blip>
                    <a:stretch>
                      <a:fillRect/>
                    </a:stretch>
                  </pic:blipFill>
                  <pic:spPr>
                    <a:xfrm>
                      <a:off x="0" y="0"/>
                      <a:ext cx="3646888" cy="5192509"/>
                    </a:xfrm>
                    <a:prstGeom prst="rect">
                      <a:avLst/>
                    </a:prstGeom>
                  </pic:spPr>
                </pic:pic>
              </a:graphicData>
            </a:graphic>
          </wp:inline>
        </w:drawing>
      </w:r>
    </w:p>
    <w:p w14:paraId="124D3A14" w14:textId="260A6F71" w:rsidR="00D07DF8" w:rsidRPr="00AA7531" w:rsidRDefault="00D07DF8" w:rsidP="00D07DF8">
      <w:pPr>
        <w:spacing w:after="0" w:line="240" w:lineRule="auto"/>
        <w:rPr>
          <w:sz w:val="18"/>
          <w:szCs w:val="18"/>
        </w:rPr>
      </w:pPr>
      <w:r w:rsidRPr="00AA7531">
        <w:rPr>
          <w:sz w:val="18"/>
          <w:szCs w:val="18"/>
        </w:rPr>
        <w:t>Rycina 13</w:t>
      </w:r>
      <w:r w:rsidR="00AA7531">
        <w:rPr>
          <w:sz w:val="18"/>
          <w:szCs w:val="18"/>
        </w:rPr>
        <w:t>.</w:t>
      </w:r>
      <w:r w:rsidRPr="00AA7531">
        <w:rPr>
          <w:sz w:val="18"/>
          <w:szCs w:val="18"/>
        </w:rPr>
        <w:t xml:space="preserve"> Obszary Strategicznej Interwencji o znaczeniu regionalnym</w:t>
      </w:r>
    </w:p>
    <w:p w14:paraId="5F37A385" w14:textId="37B9D6CD" w:rsidR="00D07DF8" w:rsidRPr="00AA7531" w:rsidRDefault="00D07DF8" w:rsidP="001E4749">
      <w:pPr>
        <w:spacing w:line="240" w:lineRule="auto"/>
        <w:rPr>
          <w:sz w:val="18"/>
          <w:szCs w:val="18"/>
        </w:rPr>
      </w:pPr>
      <w:r w:rsidRPr="00AA7531">
        <w:rPr>
          <w:sz w:val="18"/>
          <w:szCs w:val="18"/>
        </w:rPr>
        <w:t>źródło: Strategia Rozwoju Województwa Lubelskiego 2030</w:t>
      </w:r>
    </w:p>
    <w:p w14:paraId="38B507C5" w14:textId="089D2581" w:rsidR="004B038A" w:rsidRDefault="007E134C" w:rsidP="00EA7FAC">
      <w:pPr>
        <w:rPr>
          <w:lang w:bidi="en-US"/>
        </w:rPr>
      </w:pPr>
      <w:r>
        <w:rPr>
          <w:lang w:bidi="en-US"/>
        </w:rPr>
        <w:lastRenderedPageBreak/>
        <w:t xml:space="preserve">Gmina Opole Lubelskie według klasyfikacji OSI SRWL 2030 należy do </w:t>
      </w:r>
      <w:r w:rsidRPr="00297C5F">
        <w:rPr>
          <w:b/>
          <w:bCs/>
          <w:lang w:bidi="en-US"/>
        </w:rPr>
        <w:t>obszaru strategicznej interwencji POWIŚLE</w:t>
      </w:r>
      <w:r>
        <w:rPr>
          <w:lang w:bidi="en-US"/>
        </w:rPr>
        <w:t xml:space="preserve">. </w:t>
      </w:r>
      <w:r w:rsidR="004B038A">
        <w:rPr>
          <w:lang w:bidi="en-US"/>
        </w:rPr>
        <w:t xml:space="preserve">Priorytetem rozwoju OSI POWIŚLE jest </w:t>
      </w:r>
      <w:r w:rsidR="004B038A" w:rsidRPr="004B038A">
        <w:rPr>
          <w:lang w:bidi="en-US"/>
        </w:rPr>
        <w:t>„Społeczno-gospodarcze wykorzystanie zasobów środowiska przyrodniczego i kulturowego obszarów nadwiślańskich”.</w:t>
      </w:r>
      <w:r w:rsidR="004B038A">
        <w:rPr>
          <w:lang w:bidi="en-US"/>
        </w:rPr>
        <w:t xml:space="preserve"> W</w:t>
      </w:r>
      <w:r w:rsidR="005A22F2">
        <w:rPr>
          <w:lang w:bidi="en-US"/>
        </w:rPr>
        <w:t> </w:t>
      </w:r>
      <w:r w:rsidR="004B038A">
        <w:rPr>
          <w:lang w:bidi="en-US"/>
        </w:rPr>
        <w:t xml:space="preserve">SRWL 2030 wyznaczono cechy wiodące będące przesłankami do delimitacji danych obszarów. Jako cechy wiodące dla OSI POWIŚLE wyznaczono </w:t>
      </w:r>
      <w:r w:rsidR="004B038A" w:rsidRPr="004B038A">
        <w:rPr>
          <w:lang w:bidi="en-US"/>
        </w:rPr>
        <w:t>uznany wysoki potencjał turystyczny, w tym wynikający z unikalnego w skali kraju krajobrazu naturalno-kulturowego, bardzo korzystne warunki agroklimatyczne dla uprawy owoców miękkich i sprzyjające rozwojowi gospodarstw sadowniczych, dobrze rozwinięta baza obsługi ruchu turystycznego.</w:t>
      </w:r>
    </w:p>
    <w:p w14:paraId="10FCD82E" w14:textId="7F1DAFDE" w:rsidR="004B038A" w:rsidRPr="00114F79" w:rsidRDefault="004B038A" w:rsidP="004B038A">
      <w:r w:rsidRPr="00114F79">
        <w:t>W kontekście realizacji celów SRWL 2030 zostały wyznaczone Kierunki interwencji/tematyczne obszary wsparcia OSI Powiśle:</w:t>
      </w:r>
    </w:p>
    <w:p w14:paraId="4EFE05FF" w14:textId="0EA0995A" w:rsidR="004B038A" w:rsidRPr="004B038A" w:rsidRDefault="004B038A">
      <w:pPr>
        <w:pStyle w:val="Akapitzlist"/>
        <w:numPr>
          <w:ilvl w:val="0"/>
          <w:numId w:val="3"/>
        </w:numPr>
        <w:ind w:left="284" w:hanging="284"/>
        <w:rPr>
          <w:b/>
          <w:bCs/>
          <w:color w:val="833C0B"/>
        </w:rPr>
      </w:pPr>
      <w:r w:rsidRPr="004B038A">
        <w:rPr>
          <w:b/>
          <w:bCs/>
          <w:color w:val="833C0B"/>
        </w:rPr>
        <w:t>Poprawa konkurencyjności gospodarstw rolnych</w:t>
      </w:r>
    </w:p>
    <w:p w14:paraId="0238E4B4" w14:textId="18B6E379" w:rsidR="004B038A" w:rsidRPr="000E3019" w:rsidRDefault="004B038A">
      <w:pPr>
        <w:pStyle w:val="Akapitzlist"/>
        <w:numPr>
          <w:ilvl w:val="0"/>
          <w:numId w:val="5"/>
        </w:numPr>
        <w:ind w:left="567" w:hanging="283"/>
      </w:pPr>
      <w:r w:rsidRPr="000E3019">
        <w:t>Rozwój lokalnych specjalizacji rolnych m.in. w oparciu o odtworzenie historycznie ukształtowanych lub wykorzystanie nowych, niszowych kierunków produkcji</w:t>
      </w:r>
    </w:p>
    <w:p w14:paraId="5BAA716E" w14:textId="69597E6C" w:rsidR="004B038A" w:rsidRPr="000E3019" w:rsidRDefault="004B038A">
      <w:pPr>
        <w:pStyle w:val="Akapitzlist"/>
        <w:numPr>
          <w:ilvl w:val="0"/>
          <w:numId w:val="5"/>
        </w:numPr>
        <w:ind w:left="567" w:hanging="283"/>
      </w:pPr>
      <w:r w:rsidRPr="000E3019">
        <w:t>Rozwój agroturystyki i turystyki wiejskiej jako istotnego elementu regionalnej oferty turystycznej oraz ważnego czynnika poprawy ekonomicznej gospodarstw rolnych</w:t>
      </w:r>
    </w:p>
    <w:p w14:paraId="34CE70F7" w14:textId="15BCA9B6" w:rsidR="004B038A" w:rsidRPr="004B038A" w:rsidRDefault="004B038A">
      <w:pPr>
        <w:pStyle w:val="Akapitzlist"/>
        <w:numPr>
          <w:ilvl w:val="0"/>
          <w:numId w:val="3"/>
        </w:numPr>
        <w:ind w:left="284" w:hanging="284"/>
        <w:rPr>
          <w:b/>
          <w:bCs/>
          <w:color w:val="833C0B"/>
        </w:rPr>
      </w:pPr>
      <w:r w:rsidRPr="004B038A">
        <w:rPr>
          <w:b/>
          <w:bCs/>
          <w:color w:val="833C0B"/>
        </w:rPr>
        <w:t>Rozwój przedsiębiorczości wykorzystującej surowce rolne</w:t>
      </w:r>
    </w:p>
    <w:p w14:paraId="6ED082B4" w14:textId="376C80A2" w:rsidR="004B038A" w:rsidRPr="000E3019" w:rsidRDefault="004B038A">
      <w:pPr>
        <w:pStyle w:val="Akapitzlist"/>
        <w:numPr>
          <w:ilvl w:val="0"/>
          <w:numId w:val="5"/>
        </w:numPr>
        <w:ind w:left="567" w:hanging="283"/>
      </w:pPr>
      <w:r w:rsidRPr="000E3019">
        <w:t>Rozwój infrastruktury i obiektów przechowalniczych</w:t>
      </w:r>
    </w:p>
    <w:p w14:paraId="50331E76" w14:textId="0FFE8EE8" w:rsidR="004B038A" w:rsidRPr="004B038A" w:rsidRDefault="004B038A">
      <w:pPr>
        <w:pStyle w:val="Akapitzlist"/>
        <w:numPr>
          <w:ilvl w:val="0"/>
          <w:numId w:val="3"/>
        </w:numPr>
        <w:ind w:left="284" w:hanging="284"/>
        <w:rPr>
          <w:b/>
          <w:bCs/>
          <w:color w:val="833C0B"/>
        </w:rPr>
      </w:pPr>
      <w:r w:rsidRPr="004B038A">
        <w:rPr>
          <w:b/>
          <w:bCs/>
          <w:color w:val="833C0B"/>
        </w:rPr>
        <w:t>Zrównoważony rozwój systemów infrastruktury technicznej</w:t>
      </w:r>
    </w:p>
    <w:p w14:paraId="5424846F" w14:textId="496C492D" w:rsidR="004B038A" w:rsidRPr="000E3019" w:rsidRDefault="004B038A">
      <w:pPr>
        <w:pStyle w:val="Akapitzlist"/>
        <w:numPr>
          <w:ilvl w:val="0"/>
          <w:numId w:val="5"/>
        </w:numPr>
        <w:ind w:left="567" w:hanging="283"/>
      </w:pPr>
      <w:r w:rsidRPr="000E3019">
        <w:t>Poprawa regionalnych i międzyregionalnych powiązań komunikacyjnych z</w:t>
      </w:r>
      <w:r w:rsidR="005A22F2">
        <w:t> </w:t>
      </w:r>
      <w:r w:rsidRPr="000E3019">
        <w:t xml:space="preserve">uwzględnieniem szkieletowego układu dróg ekspresowych w tym budowa obwodnic miast, </w:t>
      </w:r>
    </w:p>
    <w:p w14:paraId="17F981ED" w14:textId="0AC8E15B" w:rsidR="004B038A" w:rsidRPr="000E3019" w:rsidRDefault="004B038A">
      <w:pPr>
        <w:pStyle w:val="Akapitzlist"/>
        <w:numPr>
          <w:ilvl w:val="0"/>
          <w:numId w:val="5"/>
        </w:numPr>
        <w:ind w:left="567" w:hanging="283"/>
      </w:pPr>
      <w:r w:rsidRPr="000E3019">
        <w:t>Poprawa regionalnych i międzyregionalnych połączeń kolejowych z</w:t>
      </w:r>
      <w:r w:rsidR="005A22F2">
        <w:t> </w:t>
      </w:r>
      <w:r w:rsidRPr="000E3019">
        <w:t xml:space="preserve">uwzględnieniem Programu Kolejowego CPK Centralny Port Komunikacyjny. </w:t>
      </w:r>
    </w:p>
    <w:p w14:paraId="59FA0E47" w14:textId="77777777" w:rsidR="004B038A" w:rsidRPr="004B038A" w:rsidRDefault="004B038A">
      <w:pPr>
        <w:pStyle w:val="Akapitzlist"/>
        <w:numPr>
          <w:ilvl w:val="0"/>
          <w:numId w:val="3"/>
        </w:numPr>
        <w:ind w:left="284" w:hanging="284"/>
        <w:rPr>
          <w:b/>
          <w:bCs/>
          <w:color w:val="833C0B"/>
        </w:rPr>
      </w:pPr>
      <w:r w:rsidRPr="004B038A">
        <w:rPr>
          <w:b/>
          <w:bCs/>
          <w:color w:val="833C0B"/>
        </w:rPr>
        <w:t xml:space="preserve">Ochrona walorów środowiska </w:t>
      </w:r>
    </w:p>
    <w:p w14:paraId="6902A7EF" w14:textId="77777777" w:rsidR="004B038A" w:rsidRPr="004B038A" w:rsidRDefault="004B038A">
      <w:pPr>
        <w:pStyle w:val="Akapitzlist"/>
        <w:numPr>
          <w:ilvl w:val="0"/>
          <w:numId w:val="5"/>
        </w:numPr>
        <w:ind w:left="567" w:hanging="283"/>
        <w:rPr>
          <w:rFonts w:cs="Calibri"/>
        </w:rPr>
      </w:pPr>
      <w:r w:rsidRPr="004B038A">
        <w:rPr>
          <w:rFonts w:cs="Calibri"/>
        </w:rPr>
        <w:t xml:space="preserve">Ochrona wartości przyrodniczych, w tym krajobrazu, siedlisk i bioróżnorodności. </w:t>
      </w:r>
    </w:p>
    <w:p w14:paraId="25F17C7A" w14:textId="77777777" w:rsidR="004B038A" w:rsidRPr="004B038A" w:rsidRDefault="004B038A">
      <w:pPr>
        <w:pStyle w:val="Akapitzlist"/>
        <w:numPr>
          <w:ilvl w:val="0"/>
          <w:numId w:val="3"/>
        </w:numPr>
        <w:ind w:left="284" w:hanging="284"/>
        <w:rPr>
          <w:b/>
          <w:bCs/>
          <w:color w:val="833C0B"/>
        </w:rPr>
      </w:pPr>
      <w:r w:rsidRPr="004B038A">
        <w:rPr>
          <w:b/>
          <w:bCs/>
          <w:color w:val="833C0B"/>
        </w:rPr>
        <w:t xml:space="preserve">Promocja i rozwój usług prozdrowotnych, uzdrowiskowych oraz gospodarki senioralnej </w:t>
      </w:r>
    </w:p>
    <w:p w14:paraId="3C412970" w14:textId="77777777" w:rsidR="004B038A" w:rsidRPr="000E3019" w:rsidRDefault="004B038A">
      <w:pPr>
        <w:pStyle w:val="Akapitzlist"/>
        <w:numPr>
          <w:ilvl w:val="0"/>
          <w:numId w:val="5"/>
        </w:numPr>
        <w:ind w:left="567" w:hanging="283"/>
      </w:pPr>
      <w:r w:rsidRPr="000E3019">
        <w:t xml:space="preserve">Rozwój funkcji i bazy lecznictwa uzdrowiskowego na obszarach występowania naturalnych warunków i czynników leczniczych. </w:t>
      </w:r>
    </w:p>
    <w:p w14:paraId="2ADF94B7" w14:textId="77777777" w:rsidR="004B038A" w:rsidRPr="004B038A" w:rsidRDefault="004B038A">
      <w:pPr>
        <w:pStyle w:val="Akapitzlist"/>
        <w:numPr>
          <w:ilvl w:val="0"/>
          <w:numId w:val="3"/>
        </w:numPr>
        <w:ind w:left="284" w:hanging="284"/>
        <w:rPr>
          <w:b/>
          <w:bCs/>
          <w:color w:val="833C0B"/>
        </w:rPr>
      </w:pPr>
      <w:r w:rsidRPr="004B038A">
        <w:rPr>
          <w:b/>
          <w:bCs/>
          <w:color w:val="833C0B"/>
        </w:rPr>
        <w:t>Innowacyjne wykorzystanie walorów przyrodniczo-kulturowych, rozwój sportu i usług wolnego czasu</w:t>
      </w:r>
    </w:p>
    <w:p w14:paraId="5E5900F4" w14:textId="24FA9A14" w:rsidR="004B038A" w:rsidRPr="000E3019" w:rsidRDefault="004B038A">
      <w:pPr>
        <w:pStyle w:val="Akapitzlist"/>
        <w:numPr>
          <w:ilvl w:val="0"/>
          <w:numId w:val="5"/>
        </w:numPr>
        <w:ind w:left="567" w:hanging="283"/>
      </w:pPr>
      <w:r w:rsidRPr="000E3019">
        <w:t xml:space="preserve">Wspieranie tworzenia kompleksowej oferty turystycznej w oparciu o marki regionalne i </w:t>
      </w:r>
      <w:r w:rsidR="00297C5F">
        <w:t> </w:t>
      </w:r>
      <w:r w:rsidRPr="000E3019">
        <w:t xml:space="preserve">terytorialne - pakietowanie i sieciowanie (w tym utworzenie Geoparku Małopolski Przełom Wisły oraz rozwój infrastruktury turystycznej Nadwiślańskiej Kolejki Wąskotorowej), </w:t>
      </w:r>
    </w:p>
    <w:p w14:paraId="17866DA1" w14:textId="77777777" w:rsidR="004B038A" w:rsidRPr="000E3019" w:rsidRDefault="004B038A">
      <w:pPr>
        <w:pStyle w:val="Akapitzlist"/>
        <w:numPr>
          <w:ilvl w:val="0"/>
          <w:numId w:val="5"/>
        </w:numPr>
        <w:ind w:left="567" w:hanging="283"/>
      </w:pPr>
      <w:r w:rsidRPr="000E3019">
        <w:t xml:space="preserve">Rozwijanie produktów i oferty wydarzeń wykorzystujących unikalne zasoby lokalne (np. kuchnię, wydarzenia historyczne, tradycje, materialne i niematerialne dziedzictwo kulturowe, walory środowiskowe, wydarzenia związane z przejawami współczesnej twórczości artystycznej, wydarzenia sportowe), </w:t>
      </w:r>
    </w:p>
    <w:p w14:paraId="1B287CED" w14:textId="77777777" w:rsidR="004B038A" w:rsidRPr="004B038A" w:rsidRDefault="004B038A">
      <w:pPr>
        <w:pStyle w:val="Akapitzlist"/>
        <w:numPr>
          <w:ilvl w:val="0"/>
          <w:numId w:val="5"/>
        </w:numPr>
        <w:ind w:left="567" w:hanging="283"/>
        <w:rPr>
          <w:rFonts w:cs="Calibri"/>
        </w:rPr>
      </w:pPr>
      <w:r w:rsidRPr="004B038A">
        <w:rPr>
          <w:rFonts w:cs="Calibri"/>
        </w:rPr>
        <w:t xml:space="preserve">Organizacja punktów usług i obsługi turystycznej dla turystyki zmotoryzowanej, </w:t>
      </w:r>
    </w:p>
    <w:p w14:paraId="7B4D55DA" w14:textId="77777777" w:rsidR="004B038A" w:rsidRPr="000E3019" w:rsidRDefault="004B038A">
      <w:pPr>
        <w:pStyle w:val="Akapitzlist"/>
        <w:numPr>
          <w:ilvl w:val="0"/>
          <w:numId w:val="5"/>
        </w:numPr>
        <w:ind w:left="567" w:hanging="283"/>
      </w:pPr>
      <w:r w:rsidRPr="000E3019">
        <w:t xml:space="preserve">Rozwój infrastruktury sprzyjającej tworzeniu zróżnicowanej oferty opartej o różne formy turystyki (np. kajakową, rowerową, nordic walking, konną, kulturową, historyczną, przyrodniczą, kulinarną itp.), </w:t>
      </w:r>
    </w:p>
    <w:p w14:paraId="60E39084" w14:textId="00C246A7" w:rsidR="004B038A" w:rsidRPr="000E3019" w:rsidRDefault="004B038A">
      <w:pPr>
        <w:pStyle w:val="Akapitzlist"/>
        <w:numPr>
          <w:ilvl w:val="0"/>
          <w:numId w:val="5"/>
        </w:numPr>
        <w:ind w:left="567" w:hanging="283"/>
      </w:pPr>
      <w:r w:rsidRPr="000E3019">
        <w:t>Wspieranie rozwoju przemysłów kreatywnych oraz przemysłów kultury, przedsiębiorczości bazującej na lokalnych zasobach, dziedzictwie kulturowym i</w:t>
      </w:r>
      <w:r w:rsidR="005A22F2">
        <w:t> </w:t>
      </w:r>
      <w:r w:rsidRPr="000E3019">
        <w:t xml:space="preserve">usługach edukacyjnych, </w:t>
      </w:r>
    </w:p>
    <w:p w14:paraId="28B78BA7" w14:textId="70012E2C" w:rsidR="004B038A" w:rsidRDefault="004B038A">
      <w:pPr>
        <w:pStyle w:val="Akapitzlist"/>
        <w:numPr>
          <w:ilvl w:val="0"/>
          <w:numId w:val="5"/>
        </w:numPr>
        <w:ind w:left="567" w:hanging="283"/>
      </w:pPr>
      <w:r w:rsidRPr="004B038A">
        <w:rPr>
          <w:rFonts w:cs="Calibri"/>
        </w:rPr>
        <w:lastRenderedPageBreak/>
        <w:t>O</w:t>
      </w:r>
      <w:r w:rsidRPr="000E3019">
        <w:t xml:space="preserve">chrona zasobów dziedzictwa kulturowego, w tym poprzez rozwijanie funkcji użytkowej obiektów kulturowych. </w:t>
      </w:r>
    </w:p>
    <w:p w14:paraId="4FD10542" w14:textId="7AA1B91D" w:rsidR="00B8464B" w:rsidRDefault="00B8464B" w:rsidP="00232B51">
      <w:pPr>
        <w:rPr>
          <w:lang w:bidi="en-US"/>
        </w:rPr>
      </w:pPr>
      <w:r>
        <w:rPr>
          <w:lang w:bidi="en-US"/>
        </w:rPr>
        <w:t xml:space="preserve">Cele, kierunki działań oraz </w:t>
      </w:r>
      <w:r w:rsidR="00232B51">
        <w:rPr>
          <w:lang w:bidi="en-US"/>
        </w:rPr>
        <w:t>przedsięwzięcia</w:t>
      </w:r>
      <w:r>
        <w:rPr>
          <w:lang w:bidi="en-US"/>
        </w:rPr>
        <w:t xml:space="preserve"> wyznaczone w ramach </w:t>
      </w:r>
      <w:r w:rsidR="00232B51">
        <w:rPr>
          <w:lang w:bidi="en-US"/>
        </w:rPr>
        <w:t>Strategii</w:t>
      </w:r>
      <w:r>
        <w:rPr>
          <w:lang w:bidi="en-US"/>
        </w:rPr>
        <w:t xml:space="preserve"> Rozwoju Gminy Opole Lubelskie w wymiarze terytorialnym są odpowiedzią na politykę regionalną prowadzoną przez Samorząd Województwa Lubelskiego wyrażoną w SRWL 2030, a także są </w:t>
      </w:r>
      <w:r w:rsidR="00232B51">
        <w:rPr>
          <w:lang w:bidi="en-US"/>
        </w:rPr>
        <w:t>rozwinięciem</w:t>
      </w:r>
      <w:r>
        <w:rPr>
          <w:lang w:bidi="en-US"/>
        </w:rPr>
        <w:t xml:space="preserve"> podejścia terytorialnego na poziomie krajowym wyrażonego w Krajowej Strategii Rozwoju Regionalnego 2030. </w:t>
      </w:r>
    </w:p>
    <w:p w14:paraId="4929CE2A" w14:textId="3F014D82" w:rsidR="00B8464B" w:rsidRDefault="00B8464B" w:rsidP="00F71509">
      <w:pPr>
        <w:spacing w:after="240"/>
        <w:rPr>
          <w:lang w:bidi="en-US"/>
        </w:rPr>
      </w:pPr>
      <w:r>
        <w:rPr>
          <w:lang w:bidi="en-US"/>
        </w:rPr>
        <w:t>Podczas wyznaczania celów i kierunków działań Strategii zostało uwzględnione wykorzystanie dostępnych instrumentów rozwoju terytorialnego, co powinno przełożyć się na wzrost efektywności angażowanych środków publicznych, selektywność podejścia, realizację zintegrowanych projektów oraz spójność rozwojową Gminy Opole Lubelskie. Dodatkowo wykorzystane zostały również wnioski z przeprowadzonej diagnozy w sferze społecznej, gospodarczej i przestrzennej oraz wyniki przeprowadzonych działań partycypacyjnych. W</w:t>
      </w:r>
      <w:r w:rsidR="005A22F2">
        <w:rPr>
          <w:lang w:bidi="en-US"/>
        </w:rPr>
        <w:t> </w:t>
      </w:r>
      <w:r>
        <w:rPr>
          <w:lang w:bidi="en-US"/>
        </w:rPr>
        <w:t xml:space="preserve">ramach tych działań wskazano przedsięwzięcia bazujące na rozwinięciu potencjału </w:t>
      </w:r>
      <w:r w:rsidR="001A6C0F">
        <w:rPr>
          <w:lang w:bidi="en-US"/>
        </w:rPr>
        <w:t xml:space="preserve">oraz przewag konkurencyjnych </w:t>
      </w:r>
      <w:r>
        <w:rPr>
          <w:lang w:bidi="en-US"/>
        </w:rPr>
        <w:t>obszaru Gminy Opole Lubelskie</w:t>
      </w:r>
      <w:r w:rsidR="001A6C0F">
        <w:rPr>
          <w:lang w:bidi="en-US"/>
        </w:rPr>
        <w:t>.</w:t>
      </w:r>
    </w:p>
    <w:p w14:paraId="571BE44A" w14:textId="587AD498" w:rsidR="00261698" w:rsidRDefault="00261698" w:rsidP="00F71509">
      <w:pPr>
        <w:pStyle w:val="Nagwek2"/>
      </w:pPr>
      <w:bookmarkStart w:id="201" w:name="_Toc191908803"/>
      <w:r>
        <w:t>10.2 Potencjalne kierunki interwencji w wymiarze terytorialnym</w:t>
      </w:r>
      <w:bookmarkEnd w:id="201"/>
    </w:p>
    <w:p w14:paraId="0E32065E" w14:textId="323CDB9D" w:rsidR="00232B51" w:rsidRDefault="00232B51" w:rsidP="00232B51">
      <w:pPr>
        <w:rPr>
          <w:lang w:bidi="en-US"/>
        </w:rPr>
      </w:pPr>
      <w:r>
        <w:rPr>
          <w:lang w:bidi="en-US"/>
        </w:rPr>
        <w:t xml:space="preserve">Przedstawione poniżej kierunki interwencji </w:t>
      </w:r>
      <w:r w:rsidR="003A2608">
        <w:rPr>
          <w:lang w:bidi="en-US"/>
        </w:rPr>
        <w:t xml:space="preserve">obejmują te </w:t>
      </w:r>
      <w:r>
        <w:rPr>
          <w:lang w:bidi="en-US"/>
        </w:rPr>
        <w:t>obszar</w:t>
      </w:r>
      <w:r w:rsidR="003A2608">
        <w:rPr>
          <w:lang w:bidi="en-US"/>
        </w:rPr>
        <w:t>y tematyczne</w:t>
      </w:r>
      <w:r>
        <w:rPr>
          <w:lang w:bidi="en-US"/>
        </w:rPr>
        <w:t>, w ramach których polityka regionalna skoncentrowana jest na terytorialnym wymiarze wsparcia. Natomiast realizacja działań w obrębie tych obszarów wymaga podjęcia współpracy między gminami oraz innymi partnerami, zarówno publicznymi jak i prywatnymi.</w:t>
      </w:r>
    </w:p>
    <w:p w14:paraId="302AF454" w14:textId="77777777" w:rsidR="00232B51" w:rsidRPr="00232B51" w:rsidRDefault="00232B51">
      <w:pPr>
        <w:pStyle w:val="Akapitzlist"/>
        <w:numPr>
          <w:ilvl w:val="0"/>
          <w:numId w:val="6"/>
        </w:numPr>
        <w:spacing w:after="0"/>
        <w:ind w:left="284" w:hanging="284"/>
        <w:contextualSpacing w:val="0"/>
        <w:rPr>
          <w:b/>
          <w:bCs/>
          <w:color w:val="833C0B"/>
          <w:lang w:bidi="en-US"/>
        </w:rPr>
      </w:pPr>
      <w:r w:rsidRPr="00232B51">
        <w:rPr>
          <w:b/>
          <w:bCs/>
          <w:color w:val="833C0B"/>
          <w:lang w:bidi="en-US"/>
        </w:rPr>
        <w:t>Dostępność komunikacyjna</w:t>
      </w:r>
    </w:p>
    <w:p w14:paraId="4CA7E64F" w14:textId="62444993" w:rsidR="00232B51" w:rsidRDefault="00232B51" w:rsidP="00232B51">
      <w:pPr>
        <w:rPr>
          <w:lang w:bidi="en-US"/>
        </w:rPr>
      </w:pPr>
      <w:r>
        <w:rPr>
          <w:lang w:bidi="en-US"/>
        </w:rPr>
        <w:t xml:space="preserve">Modernizacja i rozbudowa infrastruktury drogowej, </w:t>
      </w:r>
      <w:r w:rsidR="00D02BAE">
        <w:rPr>
          <w:lang w:bidi="en-US"/>
        </w:rPr>
        <w:t>tworzenie i rozwój</w:t>
      </w:r>
      <w:r>
        <w:rPr>
          <w:lang w:bidi="en-US"/>
        </w:rPr>
        <w:t xml:space="preserve"> systemu transportu zbiorowego, rozbudowa szerokopasmowej infrastruktury dostępowej.</w:t>
      </w:r>
    </w:p>
    <w:p w14:paraId="603B48E0" w14:textId="77777777" w:rsidR="00232B51" w:rsidRPr="00232B51" w:rsidRDefault="00232B51">
      <w:pPr>
        <w:pStyle w:val="Akapitzlist"/>
        <w:numPr>
          <w:ilvl w:val="0"/>
          <w:numId w:val="6"/>
        </w:numPr>
        <w:spacing w:after="0"/>
        <w:ind w:left="284" w:hanging="284"/>
        <w:contextualSpacing w:val="0"/>
        <w:rPr>
          <w:b/>
          <w:bCs/>
          <w:color w:val="833C0B"/>
          <w:lang w:bidi="en-US"/>
        </w:rPr>
      </w:pPr>
      <w:r w:rsidRPr="00232B51">
        <w:rPr>
          <w:b/>
          <w:bCs/>
          <w:color w:val="833C0B"/>
          <w:lang w:bidi="en-US"/>
        </w:rPr>
        <w:t>Atrakcyjność inwestycyjna</w:t>
      </w:r>
    </w:p>
    <w:p w14:paraId="6E6F9E22" w14:textId="483EA70D" w:rsidR="00232B51" w:rsidRDefault="00232B51" w:rsidP="00232B51">
      <w:pPr>
        <w:rPr>
          <w:lang w:bidi="en-US"/>
        </w:rPr>
      </w:pPr>
      <w:r>
        <w:rPr>
          <w:lang w:bidi="en-US"/>
        </w:rPr>
        <w:t xml:space="preserve">Rozwój terenów inwestycyjnych oraz infrastruktury i usług wspierających przedsiębiorczość, wspólna oferta i baza ofert inwestycyjnych </w:t>
      </w:r>
      <w:r w:rsidR="00D02BAE">
        <w:rPr>
          <w:lang w:bidi="en-US"/>
        </w:rPr>
        <w:t>MOF</w:t>
      </w:r>
      <w:r>
        <w:rPr>
          <w:lang w:bidi="en-US"/>
        </w:rPr>
        <w:t xml:space="preserve"> Opole Lubelskie, wspólna promocja gospodarcza, profilowane usługi dla przedsiębiorców.</w:t>
      </w:r>
    </w:p>
    <w:p w14:paraId="4B128047" w14:textId="77777777" w:rsidR="00232B51" w:rsidRPr="00232B51" w:rsidRDefault="00232B51">
      <w:pPr>
        <w:pStyle w:val="Akapitzlist"/>
        <w:numPr>
          <w:ilvl w:val="0"/>
          <w:numId w:val="6"/>
        </w:numPr>
        <w:spacing w:after="0"/>
        <w:ind w:left="284" w:hanging="284"/>
        <w:contextualSpacing w:val="0"/>
        <w:rPr>
          <w:b/>
          <w:bCs/>
          <w:color w:val="833C0B"/>
          <w:lang w:bidi="en-US"/>
        </w:rPr>
      </w:pPr>
      <w:r w:rsidRPr="00232B51">
        <w:rPr>
          <w:b/>
          <w:bCs/>
          <w:color w:val="833C0B"/>
          <w:lang w:bidi="en-US"/>
        </w:rPr>
        <w:t>Gospodarka w obiegu zamkniętym</w:t>
      </w:r>
    </w:p>
    <w:p w14:paraId="09140399" w14:textId="27BDEE75" w:rsidR="00232B51" w:rsidRDefault="00232B51" w:rsidP="00232B51">
      <w:pPr>
        <w:rPr>
          <w:lang w:bidi="en-US"/>
        </w:rPr>
      </w:pPr>
      <w:r>
        <w:rPr>
          <w:lang w:bidi="en-US"/>
        </w:rPr>
        <w:t>Wzmacnianie zdolności adaptacyjnych instytucji publicznych i przedsiębiorstw do zmiennych warunków rynkowych i technologicznych, edukacja społeczna, maksymalizacja skali recyklingu odpadów, poprawa jakości powietrza poprzez rozwój gospodarki niskoemisyjnej, budownictwo pasywne.</w:t>
      </w:r>
    </w:p>
    <w:p w14:paraId="5FDAACD1" w14:textId="77777777" w:rsidR="00232B51" w:rsidRPr="00232B51" w:rsidRDefault="00232B51">
      <w:pPr>
        <w:pStyle w:val="Akapitzlist"/>
        <w:numPr>
          <w:ilvl w:val="0"/>
          <w:numId w:val="6"/>
        </w:numPr>
        <w:spacing w:after="0"/>
        <w:ind w:left="284" w:hanging="284"/>
        <w:contextualSpacing w:val="0"/>
        <w:rPr>
          <w:b/>
          <w:bCs/>
          <w:color w:val="833C0B"/>
          <w:lang w:bidi="en-US"/>
        </w:rPr>
      </w:pPr>
      <w:r w:rsidRPr="00232B51">
        <w:rPr>
          <w:b/>
          <w:bCs/>
          <w:color w:val="833C0B"/>
          <w:lang w:bidi="en-US"/>
        </w:rPr>
        <w:t>System promocji produktów lokalnych</w:t>
      </w:r>
    </w:p>
    <w:p w14:paraId="1361180E" w14:textId="38394DA0" w:rsidR="00232B51" w:rsidRDefault="00D02BAE" w:rsidP="00232B51">
      <w:pPr>
        <w:rPr>
          <w:lang w:bidi="en-US"/>
        </w:rPr>
      </w:pPr>
      <w:r>
        <w:rPr>
          <w:lang w:bidi="en-US"/>
        </w:rPr>
        <w:t>R</w:t>
      </w:r>
      <w:r w:rsidR="00232B51">
        <w:rPr>
          <w:lang w:bidi="en-US"/>
        </w:rPr>
        <w:t xml:space="preserve">ozwój marki terytorialnej Gminy Opole Lubelskie </w:t>
      </w:r>
      <w:r>
        <w:rPr>
          <w:lang w:bidi="en-US"/>
        </w:rPr>
        <w:t xml:space="preserve">oraz MOF Opola Lubelskiego </w:t>
      </w:r>
      <w:r w:rsidR="00232B51">
        <w:rPr>
          <w:lang w:bidi="en-US"/>
        </w:rPr>
        <w:t>w oparciu o</w:t>
      </w:r>
      <w:r w:rsidR="00297C5F">
        <w:rPr>
          <w:lang w:bidi="en-US"/>
        </w:rPr>
        <w:t> </w:t>
      </w:r>
      <w:r w:rsidR="00232B51">
        <w:rPr>
          <w:lang w:bidi="en-US"/>
        </w:rPr>
        <w:t>zintegrowany system wsparcia w produkcji, promocji, certyfikacji i sprzedaży wyrobów lokalnych.</w:t>
      </w:r>
    </w:p>
    <w:p w14:paraId="0EE48D7B" w14:textId="77777777" w:rsidR="00232B51" w:rsidRPr="00232B51" w:rsidRDefault="00232B51">
      <w:pPr>
        <w:pStyle w:val="Akapitzlist"/>
        <w:numPr>
          <w:ilvl w:val="0"/>
          <w:numId w:val="6"/>
        </w:numPr>
        <w:spacing w:after="0"/>
        <w:ind w:left="284" w:hanging="284"/>
        <w:contextualSpacing w:val="0"/>
        <w:rPr>
          <w:b/>
          <w:bCs/>
          <w:color w:val="833C0B"/>
          <w:lang w:bidi="en-US"/>
        </w:rPr>
      </w:pPr>
      <w:r w:rsidRPr="00232B51">
        <w:rPr>
          <w:b/>
          <w:bCs/>
          <w:color w:val="833C0B"/>
          <w:lang w:bidi="en-US"/>
        </w:rPr>
        <w:t>Atrakcyjność rekreacyjna i turystyczna</w:t>
      </w:r>
    </w:p>
    <w:p w14:paraId="374A2AED" w14:textId="7415B5B4" w:rsidR="00232B51" w:rsidRDefault="00232B51" w:rsidP="00232B51">
      <w:pPr>
        <w:rPr>
          <w:lang w:bidi="en-US"/>
        </w:rPr>
      </w:pPr>
      <w:r>
        <w:rPr>
          <w:lang w:bidi="en-US"/>
        </w:rPr>
        <w:t xml:space="preserve">Poprawa jakości, kompleksowości i dostępności oferty czasu wolnego (turystyka i rekreacja), sportowej i kulturalnej dla mieszkańców i turystów, modernizacja i budowa infrastruktury obsługi </w:t>
      </w:r>
      <w:r>
        <w:rPr>
          <w:lang w:bidi="en-US"/>
        </w:rPr>
        <w:lastRenderedPageBreak/>
        <w:t>ruchu turystycznego,</w:t>
      </w:r>
      <w:r w:rsidRPr="005D7414">
        <w:t xml:space="preserve"> </w:t>
      </w:r>
      <w:r w:rsidRPr="005D7414">
        <w:rPr>
          <w:lang w:bidi="en-US"/>
        </w:rPr>
        <w:t>poprawa jakości usług świadczonych w dziedzinie turystyki i promocji turystycznej.</w:t>
      </w:r>
    </w:p>
    <w:p w14:paraId="6BCD1CBE" w14:textId="0842443B" w:rsidR="00232B51" w:rsidRPr="00232B51" w:rsidRDefault="002669E1">
      <w:pPr>
        <w:pStyle w:val="Akapitzlist"/>
        <w:numPr>
          <w:ilvl w:val="0"/>
          <w:numId w:val="6"/>
        </w:numPr>
        <w:spacing w:after="0"/>
        <w:ind w:left="284" w:hanging="284"/>
        <w:contextualSpacing w:val="0"/>
        <w:rPr>
          <w:lang w:bidi="en-US"/>
        </w:rPr>
      </w:pPr>
      <w:r>
        <w:rPr>
          <w:b/>
          <w:bCs/>
          <w:color w:val="833C0B"/>
          <w:lang w:bidi="en-US"/>
        </w:rPr>
        <w:t>R</w:t>
      </w:r>
      <w:r w:rsidR="00232B51" w:rsidRPr="00232B51">
        <w:rPr>
          <w:b/>
          <w:bCs/>
          <w:color w:val="833C0B"/>
          <w:lang w:bidi="en-US"/>
        </w:rPr>
        <w:t xml:space="preserve">ozwój marki turystycznej </w:t>
      </w:r>
      <w:r w:rsidR="00232B51">
        <w:rPr>
          <w:b/>
          <w:bCs/>
          <w:color w:val="833C0B"/>
          <w:lang w:bidi="en-US"/>
        </w:rPr>
        <w:t>Gminy Opole Lubelskie</w:t>
      </w:r>
      <w:r w:rsidR="00F1580D">
        <w:rPr>
          <w:b/>
          <w:bCs/>
          <w:color w:val="833C0B"/>
          <w:lang w:bidi="en-US"/>
        </w:rPr>
        <w:t xml:space="preserve"> i MOF Opola Lubelskiego </w:t>
      </w:r>
    </w:p>
    <w:p w14:paraId="28FE952C" w14:textId="4CBE4D59" w:rsidR="00232B51" w:rsidRDefault="00232B51" w:rsidP="00232B51">
      <w:pPr>
        <w:rPr>
          <w:lang w:bidi="en-US"/>
        </w:rPr>
      </w:pPr>
      <w:r>
        <w:rPr>
          <w:lang w:bidi="en-US"/>
        </w:rPr>
        <w:t>Zintegrowana oferta rekreacyjna – turystyczna – kulturalna - kulinarna, współpraca z</w:t>
      </w:r>
      <w:r w:rsidR="005A22F2">
        <w:rPr>
          <w:lang w:bidi="en-US"/>
        </w:rPr>
        <w:t> </w:t>
      </w:r>
      <w:r>
        <w:rPr>
          <w:lang w:bidi="en-US"/>
        </w:rPr>
        <w:t>przedsiębiorcami w tworzeniu i rozwoju marki turystycznej, rozwój „przemysłu czasu wolnego” (kultura, aktywny odpoczynek, rozrywka, rekreacja, sport, turystyka:</w:t>
      </w:r>
      <w:r w:rsidR="00F1580D">
        <w:rPr>
          <w:lang w:bidi="en-US"/>
        </w:rPr>
        <w:t xml:space="preserve"> piesza, </w:t>
      </w:r>
      <w:r>
        <w:rPr>
          <w:lang w:bidi="en-US"/>
        </w:rPr>
        <w:t>rowerowa, konna, kulturowa, historyczna, przyrodnicza, kulinarna, sentymentalna</w:t>
      </w:r>
      <w:r w:rsidR="00F1580D">
        <w:rPr>
          <w:lang w:bidi="en-US"/>
        </w:rPr>
        <w:t>, itp.</w:t>
      </w:r>
      <w:r>
        <w:rPr>
          <w:lang w:bidi="en-US"/>
        </w:rPr>
        <w:t>).</w:t>
      </w:r>
    </w:p>
    <w:p w14:paraId="49AD882F" w14:textId="77777777" w:rsidR="00232B51" w:rsidRPr="00232B51" w:rsidRDefault="00232B51">
      <w:pPr>
        <w:pStyle w:val="Akapitzlist"/>
        <w:numPr>
          <w:ilvl w:val="0"/>
          <w:numId w:val="6"/>
        </w:numPr>
        <w:spacing w:after="0"/>
        <w:ind w:left="284" w:hanging="284"/>
        <w:contextualSpacing w:val="0"/>
        <w:rPr>
          <w:b/>
          <w:bCs/>
          <w:color w:val="833C0B"/>
          <w:lang w:bidi="en-US"/>
        </w:rPr>
      </w:pPr>
      <w:r w:rsidRPr="00232B51">
        <w:rPr>
          <w:b/>
          <w:bCs/>
          <w:color w:val="833C0B"/>
          <w:lang w:bidi="en-US"/>
        </w:rPr>
        <w:t>Adaptacja do zmian klimatu</w:t>
      </w:r>
    </w:p>
    <w:p w14:paraId="214E4CB1" w14:textId="222B0600" w:rsidR="00232B51" w:rsidRDefault="00232B51" w:rsidP="00232B51">
      <w:pPr>
        <w:rPr>
          <w:lang w:bidi="en-US"/>
        </w:rPr>
      </w:pPr>
      <w:r>
        <w:rPr>
          <w:lang w:bidi="en-US"/>
        </w:rPr>
        <w:t>Wprowadzanie technologii OZE w obiektach publicznych i prywatnych, ochrona terenów naturalnej retencji wodnej, zagospodarowanie wód opadowych oraz rozwój błękitno</w:t>
      </w:r>
      <w:r w:rsidR="00AF1EC3">
        <w:rPr>
          <w:lang w:bidi="en-US"/>
        </w:rPr>
        <w:t xml:space="preserve"> </w:t>
      </w:r>
      <w:r>
        <w:rPr>
          <w:lang w:bidi="en-US"/>
        </w:rPr>
        <w:t>-</w:t>
      </w:r>
      <w:r w:rsidR="00AF1EC3">
        <w:rPr>
          <w:lang w:bidi="en-US"/>
        </w:rPr>
        <w:t xml:space="preserve"> </w:t>
      </w:r>
      <w:r>
        <w:rPr>
          <w:lang w:bidi="en-US"/>
        </w:rPr>
        <w:t>zielonej infrastruktury, rozwój i unowocześnianie gospodarki ściekowej, doskonalenie narzędzi monitorowania stanu środowiska i szybkiego reagowania</w:t>
      </w:r>
      <w:r w:rsidR="00AF1EC3">
        <w:rPr>
          <w:lang w:bidi="en-US"/>
        </w:rPr>
        <w:t xml:space="preserve"> na zagrożenia</w:t>
      </w:r>
      <w:r>
        <w:rPr>
          <w:lang w:bidi="en-US"/>
        </w:rPr>
        <w:t>, rozwój gospodarki niskoemisyjnej i</w:t>
      </w:r>
      <w:r w:rsidR="005A22F2">
        <w:rPr>
          <w:lang w:bidi="en-US"/>
        </w:rPr>
        <w:t> </w:t>
      </w:r>
      <w:r>
        <w:rPr>
          <w:lang w:bidi="en-US"/>
        </w:rPr>
        <w:t>zeroemisyjnej w sektorze publicznym, edukacja ekologiczna.</w:t>
      </w:r>
    </w:p>
    <w:p w14:paraId="53E0DF11" w14:textId="77777777" w:rsidR="00232B51" w:rsidRPr="00232B51" w:rsidRDefault="00232B51">
      <w:pPr>
        <w:pStyle w:val="Akapitzlist"/>
        <w:numPr>
          <w:ilvl w:val="0"/>
          <w:numId w:val="6"/>
        </w:numPr>
        <w:spacing w:after="0"/>
        <w:ind w:left="284" w:hanging="284"/>
        <w:contextualSpacing w:val="0"/>
        <w:rPr>
          <w:b/>
          <w:bCs/>
          <w:color w:val="833C0B"/>
          <w:lang w:bidi="en-US"/>
        </w:rPr>
      </w:pPr>
      <w:r w:rsidRPr="00232B51">
        <w:rPr>
          <w:b/>
          <w:bCs/>
          <w:color w:val="833C0B"/>
          <w:lang w:bidi="en-US"/>
        </w:rPr>
        <w:t>Kapitał społeczny</w:t>
      </w:r>
    </w:p>
    <w:p w14:paraId="74DA74ED" w14:textId="77777777" w:rsidR="00232B51" w:rsidRDefault="00232B51" w:rsidP="00232B51">
      <w:pPr>
        <w:rPr>
          <w:lang w:bidi="en-US"/>
        </w:rPr>
      </w:pPr>
      <w:r>
        <w:rPr>
          <w:lang w:bidi="en-US"/>
        </w:rPr>
        <w:t>Wspieranie oddolnych inicjatyw obywatelskich, organizacji pozarządowych, podmiotów ekonomii społecznej, zwiększenie udziału partycypacji społecznej w zarządzaniu samorządami, udział mieszkańców w budowie i rozwoju marki terytorialnej (produkty lokalne, turystyka), zachowanie dziedzictwa kulturowego materialnego i niematerialnego.</w:t>
      </w:r>
    </w:p>
    <w:p w14:paraId="7BC49B8F" w14:textId="77777777" w:rsidR="00232B51" w:rsidRPr="00232B51" w:rsidRDefault="00232B51">
      <w:pPr>
        <w:pStyle w:val="Akapitzlist"/>
        <w:numPr>
          <w:ilvl w:val="0"/>
          <w:numId w:val="6"/>
        </w:numPr>
        <w:spacing w:after="0"/>
        <w:ind w:left="284" w:hanging="284"/>
        <w:contextualSpacing w:val="0"/>
        <w:rPr>
          <w:b/>
          <w:bCs/>
          <w:color w:val="833C0B"/>
          <w:lang w:bidi="en-US"/>
        </w:rPr>
      </w:pPr>
      <w:r w:rsidRPr="00232B51">
        <w:rPr>
          <w:b/>
          <w:bCs/>
          <w:color w:val="833C0B"/>
          <w:lang w:bidi="en-US"/>
        </w:rPr>
        <w:t>System pomocy społecznej</w:t>
      </w:r>
    </w:p>
    <w:p w14:paraId="4090B9B5" w14:textId="7F76756E" w:rsidR="00232B51" w:rsidRDefault="00232B51" w:rsidP="005A22F2">
      <w:pPr>
        <w:rPr>
          <w:lang w:bidi="en-US"/>
        </w:rPr>
      </w:pPr>
      <w:r>
        <w:rPr>
          <w:lang w:bidi="en-US"/>
        </w:rPr>
        <w:t>Podniesienie jakości i dostępności usług społecznych i ochrony zdrowia, dostosowanie usług i</w:t>
      </w:r>
      <w:r w:rsidR="005A22F2">
        <w:rPr>
          <w:lang w:bidi="en-US"/>
        </w:rPr>
        <w:t> </w:t>
      </w:r>
      <w:r>
        <w:rPr>
          <w:lang w:bidi="en-US"/>
        </w:rPr>
        <w:t>infrastruktury do potrzeb osób starszych i niepełnosprawnych (w tym srebrna gospodarka jako odpowiedź na wyzwania demograficzne), zachowanie standardów dostępności w</w:t>
      </w:r>
      <w:r w:rsidR="005A22F2">
        <w:rPr>
          <w:lang w:bidi="en-US"/>
        </w:rPr>
        <w:t> </w:t>
      </w:r>
      <w:r>
        <w:rPr>
          <w:lang w:bidi="en-US"/>
        </w:rPr>
        <w:t>infrastrukturze i usługach publicznych.</w:t>
      </w:r>
    </w:p>
    <w:p w14:paraId="0B3118DE" w14:textId="77777777" w:rsidR="00232B51" w:rsidRPr="00232B51" w:rsidRDefault="00232B51">
      <w:pPr>
        <w:pStyle w:val="Akapitzlist"/>
        <w:numPr>
          <w:ilvl w:val="0"/>
          <w:numId w:val="6"/>
        </w:numPr>
        <w:spacing w:after="0"/>
        <w:ind w:left="284" w:hanging="284"/>
        <w:contextualSpacing w:val="0"/>
        <w:rPr>
          <w:b/>
          <w:bCs/>
          <w:lang w:bidi="en-US"/>
        </w:rPr>
      </w:pPr>
      <w:r w:rsidRPr="00232B51">
        <w:rPr>
          <w:b/>
          <w:bCs/>
          <w:color w:val="833C0B"/>
          <w:lang w:bidi="en-US"/>
        </w:rPr>
        <w:t>Bezpieczeństwo i usługi cyfrowe</w:t>
      </w:r>
    </w:p>
    <w:p w14:paraId="7593B464" w14:textId="7D5FD08B" w:rsidR="00232B51" w:rsidRDefault="00232B51" w:rsidP="00232B51">
      <w:pPr>
        <w:rPr>
          <w:lang w:bidi="en-US"/>
        </w:rPr>
      </w:pPr>
      <w:r>
        <w:rPr>
          <w:lang w:bidi="en-US"/>
        </w:rPr>
        <w:t>Rozbudowa szerokopasmowej infrastruktury dostępowej (szczególnie na obszarach o niskim dostępie do sieci), rozwój narzędzi i infrastruktury niezbędnej do świadczenia bezpiecznych</w:t>
      </w:r>
      <w:r w:rsidR="005A22F2">
        <w:rPr>
          <w:lang w:bidi="en-US"/>
        </w:rPr>
        <w:t xml:space="preserve"> </w:t>
      </w:r>
      <w:r>
        <w:rPr>
          <w:lang w:bidi="en-US"/>
        </w:rPr>
        <w:t>e</w:t>
      </w:r>
      <w:r w:rsidR="00297C5F">
        <w:rPr>
          <w:lang w:bidi="en-US"/>
        </w:rPr>
        <w:t>- </w:t>
      </w:r>
      <w:r>
        <w:rPr>
          <w:lang w:bidi="en-US"/>
        </w:rPr>
        <w:t>usług w administracji publicznej i edukacji, poprawa poziomu cyberbezpieczeństwa, podniesienie kompetencji cyfrowych urzędników i mieszkańców [e-usługi publiczne powinny funkcjonować na co najmniej 3 poziomie dojrzałości (dwustronna interakcja), dążyć należy do wdrożenia poziomu 4 (transakcja) i docelowo 5 (personalizacja)].</w:t>
      </w:r>
    </w:p>
    <w:p w14:paraId="3E7C65ED" w14:textId="77777777" w:rsidR="00232B51" w:rsidRPr="00232B51" w:rsidRDefault="00232B51">
      <w:pPr>
        <w:pStyle w:val="Akapitzlist"/>
        <w:numPr>
          <w:ilvl w:val="0"/>
          <w:numId w:val="6"/>
        </w:numPr>
        <w:spacing w:after="0"/>
        <w:ind w:left="284" w:hanging="284"/>
        <w:contextualSpacing w:val="0"/>
        <w:rPr>
          <w:b/>
          <w:bCs/>
          <w:color w:val="833C0B"/>
          <w:lang w:bidi="en-US"/>
        </w:rPr>
      </w:pPr>
      <w:r w:rsidRPr="00232B51">
        <w:rPr>
          <w:b/>
          <w:bCs/>
          <w:color w:val="833C0B"/>
          <w:lang w:bidi="en-US"/>
        </w:rPr>
        <w:t>Kompetencje instytucji publicznych</w:t>
      </w:r>
    </w:p>
    <w:p w14:paraId="455F09D7" w14:textId="100909FA" w:rsidR="00232B51" w:rsidRDefault="00232B51" w:rsidP="005A52D4">
      <w:pPr>
        <w:spacing w:after="240"/>
        <w:rPr>
          <w:lang w:bidi="en-US"/>
        </w:rPr>
      </w:pPr>
      <w:r>
        <w:rPr>
          <w:lang w:bidi="en-US"/>
        </w:rPr>
        <w:t>W</w:t>
      </w:r>
      <w:r w:rsidRPr="00F258DF">
        <w:rPr>
          <w:lang w:bidi="en-US"/>
        </w:rPr>
        <w:t>zmacnianie mechanizmów zarządzania strategicznego w samorządach</w:t>
      </w:r>
      <w:r>
        <w:rPr>
          <w:lang w:bidi="en-US"/>
        </w:rPr>
        <w:t xml:space="preserve"> MOF </w:t>
      </w:r>
      <w:r w:rsidR="00E73AFC">
        <w:rPr>
          <w:lang w:bidi="en-US"/>
        </w:rPr>
        <w:t>Opola Lubelskiego</w:t>
      </w:r>
      <w:r w:rsidRPr="00F258DF">
        <w:rPr>
          <w:lang w:bidi="en-US"/>
        </w:rPr>
        <w:t xml:space="preserve"> w</w:t>
      </w:r>
      <w:r w:rsidR="005A22F2">
        <w:rPr>
          <w:lang w:bidi="en-US"/>
        </w:rPr>
        <w:t> </w:t>
      </w:r>
      <w:r w:rsidRPr="00F258DF">
        <w:rPr>
          <w:lang w:bidi="en-US"/>
        </w:rPr>
        <w:t xml:space="preserve">zakresie: integracji działań JST z celami gospodarczymi, społecznymi i </w:t>
      </w:r>
      <w:r w:rsidR="00297C5F">
        <w:rPr>
          <w:lang w:bidi="en-US"/>
        </w:rPr>
        <w:t> </w:t>
      </w:r>
      <w:r w:rsidRPr="00F258DF">
        <w:rPr>
          <w:lang w:bidi="en-US"/>
        </w:rPr>
        <w:t>środowiskowymi, nastawienia na innowacyjne rozwiązania i korzystania z dobrych praktyk, planowania strategicznego, racjonalizacji gospodarki budżetowej w oparciu o analizę kosztów i korzyści ekonomiczno-społecznych, kompetencji cyfrowych, współpracy JST oraz wykorzystania narzędzi partycypacji</w:t>
      </w:r>
      <w:r w:rsidR="007C1294">
        <w:rPr>
          <w:lang w:bidi="en-US"/>
        </w:rPr>
        <w:t xml:space="preserve"> </w:t>
      </w:r>
      <w:r w:rsidRPr="00F258DF">
        <w:rPr>
          <w:lang w:bidi="en-US"/>
        </w:rPr>
        <w:t>społecznej.</w:t>
      </w:r>
    </w:p>
    <w:p w14:paraId="61CAC304" w14:textId="7776ECC1" w:rsidR="00261698" w:rsidRDefault="00261698" w:rsidP="00A958C3">
      <w:pPr>
        <w:spacing w:after="160" w:line="259" w:lineRule="auto"/>
        <w:jc w:val="left"/>
        <w:rPr>
          <w:lang w:bidi="en-US"/>
        </w:rPr>
      </w:pPr>
    </w:p>
    <w:p w14:paraId="5F643842" w14:textId="77777777" w:rsidR="005A52D4" w:rsidRDefault="005A52D4" w:rsidP="00A958C3">
      <w:pPr>
        <w:spacing w:after="160" w:line="259" w:lineRule="auto"/>
        <w:jc w:val="left"/>
        <w:rPr>
          <w:lang w:bidi="en-US"/>
        </w:rPr>
      </w:pPr>
    </w:p>
    <w:p w14:paraId="42B20827" w14:textId="77777777" w:rsidR="005A52D4" w:rsidRDefault="005A52D4" w:rsidP="005A52D4">
      <w:pPr>
        <w:pStyle w:val="Nagwek2"/>
      </w:pPr>
    </w:p>
    <w:p w14:paraId="5E996103" w14:textId="04DEC50D" w:rsidR="005A52D4" w:rsidRDefault="005A52D4" w:rsidP="00B10A3E">
      <w:pPr>
        <w:pStyle w:val="Nagwek2"/>
        <w:jc w:val="left"/>
      </w:pPr>
      <w:bookmarkStart w:id="202" w:name="_Toc191908804"/>
      <w:r>
        <w:lastRenderedPageBreak/>
        <w:t xml:space="preserve">10.3 </w:t>
      </w:r>
      <w:r w:rsidR="000F523E">
        <w:t>O</w:t>
      </w:r>
      <w:r>
        <w:t>bszary strategicznej interwencji kluczowe dla gminy</w:t>
      </w:r>
      <w:r w:rsidR="00B10A3E">
        <w:t xml:space="preserve"> </w:t>
      </w:r>
      <w:r w:rsidR="00B10A3E" w:rsidRPr="00B10A3E">
        <w:t>wraz z zakresem planowanych działań</w:t>
      </w:r>
      <w:bookmarkEnd w:id="202"/>
    </w:p>
    <w:p w14:paraId="7A598B98" w14:textId="6468E337" w:rsidR="001A7CBF" w:rsidRPr="001A7CBF" w:rsidRDefault="002435F2" w:rsidP="001A7CBF">
      <w:pPr>
        <w:rPr>
          <w:lang w:bidi="en-US"/>
        </w:rPr>
      </w:pPr>
      <w:r>
        <w:rPr>
          <w:lang w:bidi="en-US"/>
        </w:rPr>
        <w:t>W ramach prac nad częścią diagnostyczną i prospektywną Strategii zidentyfikowano kluczow</w:t>
      </w:r>
      <w:r w:rsidR="00F26AFA">
        <w:rPr>
          <w:lang w:bidi="en-US"/>
        </w:rPr>
        <w:t>y</w:t>
      </w:r>
      <w:r>
        <w:rPr>
          <w:lang w:bidi="en-US"/>
        </w:rPr>
        <w:t xml:space="preserve"> dla gminy Opole Lubelskie obszar strategicznej interwencji.</w:t>
      </w:r>
      <w:r w:rsidR="00D42E0D">
        <w:rPr>
          <w:lang w:bidi="en-US"/>
        </w:rPr>
        <w:t xml:space="preserve"> </w:t>
      </w:r>
      <w:r w:rsidR="001A7CBF">
        <w:rPr>
          <w:lang w:bidi="en-US"/>
        </w:rPr>
        <w:t>Prace dotyczące Strategii powiązano z procesem opracowania i aktualizacji Gminnego Programu Rewitalizacji Gminy Opole Lubelskie</w:t>
      </w:r>
      <w:r w:rsidR="00F26AFA">
        <w:rPr>
          <w:lang w:bidi="en-US"/>
        </w:rPr>
        <w:t>,</w:t>
      </w:r>
      <w:r w:rsidR="001A7CBF">
        <w:rPr>
          <w:lang w:bidi="en-US"/>
        </w:rPr>
        <w:t xml:space="preserve"> uznając GPR za istotny dokument w procesie programowania rozwoju lokalnego oraz </w:t>
      </w:r>
      <w:r w:rsidR="001A7CBF" w:rsidRPr="001A7CBF">
        <w:rPr>
          <w:lang w:bidi="en-US"/>
        </w:rPr>
        <w:t>wyznaczani</w:t>
      </w:r>
      <w:r w:rsidR="001A7CBF">
        <w:rPr>
          <w:lang w:bidi="en-US"/>
        </w:rPr>
        <w:t>a</w:t>
      </w:r>
      <w:r w:rsidR="001A7CBF" w:rsidRPr="001A7CBF">
        <w:rPr>
          <w:lang w:bidi="en-US"/>
        </w:rPr>
        <w:t xml:space="preserve"> obszarów strategicznej interwencji (OSI) </w:t>
      </w:r>
      <w:r w:rsidR="001A7CBF">
        <w:rPr>
          <w:lang w:bidi="en-US"/>
        </w:rPr>
        <w:t>na obszarze gminy</w:t>
      </w:r>
      <w:r w:rsidR="008A48D8">
        <w:rPr>
          <w:lang w:bidi="en-US"/>
        </w:rPr>
        <w:t>.</w:t>
      </w:r>
    </w:p>
    <w:p w14:paraId="0181B8F4" w14:textId="08511DAE" w:rsidR="008A35B5" w:rsidRDefault="001A7CBF" w:rsidP="004B42DB">
      <w:pPr>
        <w:rPr>
          <w:lang w:bidi="en-US"/>
        </w:rPr>
      </w:pPr>
      <w:r w:rsidRPr="001A7CBF">
        <w:rPr>
          <w:lang w:bidi="en-US"/>
        </w:rPr>
        <w:t>GPR opiera się na szczegółowej diagnozie sytuacji społecznej, gospodarczej, przestrzennej i</w:t>
      </w:r>
      <w:r w:rsidR="004B42DB">
        <w:rPr>
          <w:lang w:bidi="en-US"/>
        </w:rPr>
        <w:t> </w:t>
      </w:r>
      <w:r w:rsidRPr="001A7CBF">
        <w:rPr>
          <w:lang w:bidi="en-US"/>
        </w:rPr>
        <w:t>środowiskowej. Dzięki temu pozwala określić, które obszary gminy wymagają pilnych działań rewitalizacyjnych.</w:t>
      </w:r>
      <w:r>
        <w:rPr>
          <w:lang w:bidi="en-US"/>
        </w:rPr>
        <w:t xml:space="preserve"> W </w:t>
      </w:r>
      <w:r w:rsidRPr="001A7CBF">
        <w:rPr>
          <w:lang w:bidi="en-US"/>
        </w:rPr>
        <w:t>ramach określenia celów GPR wskaz</w:t>
      </w:r>
      <w:r>
        <w:rPr>
          <w:lang w:bidi="en-US"/>
        </w:rPr>
        <w:t>ano</w:t>
      </w:r>
      <w:r w:rsidRPr="001A7CBF">
        <w:rPr>
          <w:lang w:bidi="en-US"/>
        </w:rPr>
        <w:t>, które obszary są kluczowe dla rozwoju gminy i jakie działania należy tam podjąć, aby skutecznie przeciwdziałać problemom społecznym, ekonomicznym i przestrzennym.</w:t>
      </w:r>
      <w:r>
        <w:rPr>
          <w:lang w:bidi="en-US"/>
        </w:rPr>
        <w:t xml:space="preserve"> Istotne z punktu widzenia wyznaczania OSI jest zintegrowane podejście do działań rewitalizacyjnych </w:t>
      </w:r>
      <w:r w:rsidRPr="001A7CBF">
        <w:rPr>
          <w:lang w:bidi="en-US"/>
        </w:rPr>
        <w:t>obejmując</w:t>
      </w:r>
      <w:r>
        <w:rPr>
          <w:lang w:bidi="en-US"/>
        </w:rPr>
        <w:t>e</w:t>
      </w:r>
      <w:r w:rsidRPr="001A7CBF">
        <w:rPr>
          <w:lang w:bidi="en-US"/>
        </w:rPr>
        <w:t xml:space="preserve"> różne sektory, </w:t>
      </w:r>
      <w:r w:rsidR="00F26AFA">
        <w:rPr>
          <w:lang w:bidi="en-US"/>
        </w:rPr>
        <w:t>tj</w:t>
      </w:r>
      <w:r w:rsidRPr="001A7CBF">
        <w:rPr>
          <w:lang w:bidi="en-US"/>
        </w:rPr>
        <w:t>. infrastrukturę, gospodarkę, kulturę, edukację i politykę społeczną. GPR łączy te obszary w</w:t>
      </w:r>
      <w:r w:rsidR="004B42DB">
        <w:rPr>
          <w:lang w:bidi="en-US"/>
        </w:rPr>
        <w:t> </w:t>
      </w:r>
      <w:r w:rsidRPr="001A7CBF">
        <w:rPr>
          <w:lang w:bidi="en-US"/>
        </w:rPr>
        <w:t>jeden spójny plan, zapewniając kompleksowe podejście do odnowy obszarów kryzysowych.</w:t>
      </w:r>
      <w:r>
        <w:rPr>
          <w:lang w:bidi="en-US"/>
        </w:rPr>
        <w:t xml:space="preserve"> Co istotne opracowani</w:t>
      </w:r>
      <w:r w:rsidR="008A35B5">
        <w:rPr>
          <w:lang w:bidi="en-US"/>
        </w:rPr>
        <w:t>u</w:t>
      </w:r>
      <w:r>
        <w:rPr>
          <w:lang w:bidi="en-US"/>
        </w:rPr>
        <w:t xml:space="preserve"> GPR</w:t>
      </w:r>
      <w:r w:rsidRPr="008A35B5">
        <w:rPr>
          <w:lang w:bidi="en-US"/>
        </w:rPr>
        <w:t>, a tym samym wyznaczeni</w:t>
      </w:r>
      <w:r w:rsidR="008A35B5" w:rsidRPr="008A35B5">
        <w:rPr>
          <w:lang w:bidi="en-US"/>
        </w:rPr>
        <w:t>u</w:t>
      </w:r>
      <w:r w:rsidRPr="008A35B5">
        <w:rPr>
          <w:lang w:bidi="en-US"/>
        </w:rPr>
        <w:t xml:space="preserve"> OSI</w:t>
      </w:r>
      <w:r w:rsidR="00F26AFA">
        <w:rPr>
          <w:lang w:bidi="en-US"/>
        </w:rPr>
        <w:t>,</w:t>
      </w:r>
      <w:r w:rsidRPr="008A35B5">
        <w:rPr>
          <w:lang w:bidi="en-US"/>
        </w:rPr>
        <w:t xml:space="preserve"> towarzyszy z</w:t>
      </w:r>
      <w:r w:rsidRPr="001A7CBF">
        <w:rPr>
          <w:lang w:bidi="en-US"/>
        </w:rPr>
        <w:t>aangażowanie społeczności lokalnej</w:t>
      </w:r>
      <w:r w:rsidRPr="008A35B5">
        <w:rPr>
          <w:lang w:bidi="en-US"/>
        </w:rPr>
        <w:t>, oparte na</w:t>
      </w:r>
      <w:r>
        <w:rPr>
          <w:lang w:bidi="en-US"/>
        </w:rPr>
        <w:t xml:space="preserve"> partycypacji społecznej i</w:t>
      </w:r>
      <w:r w:rsidRPr="001A7CBF">
        <w:rPr>
          <w:lang w:bidi="en-US"/>
        </w:rPr>
        <w:t xml:space="preserve"> konsultacjach społecznych, co pozwala uwzględnić potrzeby mieszkańców i lokalnych interesariuszy</w:t>
      </w:r>
      <w:r>
        <w:rPr>
          <w:lang w:bidi="en-US"/>
        </w:rPr>
        <w:t xml:space="preserve"> - </w:t>
      </w:r>
      <w:r w:rsidRPr="001A7CBF">
        <w:rPr>
          <w:lang w:bidi="en-US"/>
        </w:rPr>
        <w:t xml:space="preserve">zwiększa </w:t>
      </w:r>
      <w:r>
        <w:rPr>
          <w:lang w:bidi="en-US"/>
        </w:rPr>
        <w:t xml:space="preserve">to </w:t>
      </w:r>
      <w:r w:rsidRPr="001A7CBF">
        <w:rPr>
          <w:lang w:bidi="en-US"/>
        </w:rPr>
        <w:t>skuteczność działań i akceptację planowanych zmian.</w:t>
      </w:r>
      <w:r>
        <w:rPr>
          <w:lang w:bidi="en-US"/>
        </w:rPr>
        <w:t xml:space="preserve"> </w:t>
      </w:r>
    </w:p>
    <w:p w14:paraId="5033666B" w14:textId="6D8EBED2" w:rsidR="001A7CBF" w:rsidRPr="001A7CBF" w:rsidRDefault="001A7CBF" w:rsidP="008A35B5">
      <w:pPr>
        <w:rPr>
          <w:lang w:bidi="en-US"/>
        </w:rPr>
      </w:pPr>
      <w:r>
        <w:rPr>
          <w:lang w:bidi="en-US"/>
        </w:rPr>
        <w:t xml:space="preserve">Jednocześnie poprzez uwzględnienie </w:t>
      </w:r>
      <w:r w:rsidR="008A35B5">
        <w:rPr>
          <w:lang w:bidi="en-US"/>
        </w:rPr>
        <w:t xml:space="preserve">założeń </w:t>
      </w:r>
      <w:r>
        <w:rPr>
          <w:lang w:bidi="en-US"/>
        </w:rPr>
        <w:t xml:space="preserve">GPR w </w:t>
      </w:r>
      <w:r w:rsidR="008A35B5">
        <w:rPr>
          <w:lang w:bidi="en-US"/>
        </w:rPr>
        <w:t xml:space="preserve">toku prac </w:t>
      </w:r>
      <w:r w:rsidR="008A35B5" w:rsidRPr="008A35B5">
        <w:rPr>
          <w:lang w:bidi="en-US"/>
        </w:rPr>
        <w:t xml:space="preserve">nad Strategią </w:t>
      </w:r>
      <w:r w:rsidRPr="008A35B5">
        <w:rPr>
          <w:lang w:bidi="en-US"/>
        </w:rPr>
        <w:t>następuje</w:t>
      </w:r>
      <w:r w:rsidR="008A35B5" w:rsidRPr="008A35B5">
        <w:rPr>
          <w:lang w:bidi="en-US"/>
        </w:rPr>
        <w:t xml:space="preserve"> h</w:t>
      </w:r>
      <w:r w:rsidRPr="001A7CBF">
        <w:rPr>
          <w:lang w:bidi="en-US"/>
        </w:rPr>
        <w:t xml:space="preserve">armonizacja </w:t>
      </w:r>
      <w:r w:rsidR="008A35B5" w:rsidRPr="008A35B5">
        <w:rPr>
          <w:lang w:bidi="en-US"/>
        </w:rPr>
        <w:t>gminnych dokumentów</w:t>
      </w:r>
      <w:r w:rsidRPr="001A7CBF">
        <w:rPr>
          <w:lang w:bidi="en-US"/>
        </w:rPr>
        <w:t xml:space="preserve"> strategiczny</w:t>
      </w:r>
      <w:r w:rsidR="008A35B5" w:rsidRPr="008A35B5">
        <w:rPr>
          <w:lang w:bidi="en-US"/>
        </w:rPr>
        <w:t>ch</w:t>
      </w:r>
      <w:r w:rsidRPr="001A7CBF">
        <w:rPr>
          <w:lang w:bidi="en-US"/>
        </w:rPr>
        <w:t xml:space="preserve"> </w:t>
      </w:r>
      <w:r w:rsidR="008A35B5" w:rsidRPr="008A35B5">
        <w:rPr>
          <w:lang w:bidi="en-US"/>
        </w:rPr>
        <w:t>oraz zapewnienie zgodności</w:t>
      </w:r>
      <w:r w:rsidRPr="001A7CBF">
        <w:rPr>
          <w:lang w:bidi="en-US"/>
        </w:rPr>
        <w:t xml:space="preserve"> </w:t>
      </w:r>
      <w:r w:rsidR="008A35B5" w:rsidRPr="008A35B5">
        <w:rPr>
          <w:lang w:bidi="en-US"/>
        </w:rPr>
        <w:t>pomiędzy</w:t>
      </w:r>
      <w:r w:rsidRPr="001A7CBF">
        <w:rPr>
          <w:lang w:bidi="en-US"/>
        </w:rPr>
        <w:t xml:space="preserve"> dokumentami planistycznymi i rozwojowymi, </w:t>
      </w:r>
      <w:r w:rsidR="008A35B5" w:rsidRPr="008A35B5">
        <w:rPr>
          <w:lang w:bidi="en-US"/>
        </w:rPr>
        <w:t>w tym związanymi z planowaniem i</w:t>
      </w:r>
      <w:r w:rsidR="004B42DB">
        <w:rPr>
          <w:lang w:bidi="en-US"/>
        </w:rPr>
        <w:t> </w:t>
      </w:r>
      <w:r w:rsidR="008A35B5" w:rsidRPr="008A35B5">
        <w:rPr>
          <w:lang w:bidi="en-US"/>
        </w:rPr>
        <w:t>zagospodarowaniem przestrzennym</w:t>
      </w:r>
      <w:r w:rsidRPr="001A7CBF">
        <w:rPr>
          <w:lang w:bidi="en-US"/>
        </w:rPr>
        <w:t>, co zapewnia spójność polityki lokalnej.</w:t>
      </w:r>
      <w:r w:rsidR="008A35B5">
        <w:rPr>
          <w:lang w:bidi="en-US"/>
        </w:rPr>
        <w:t xml:space="preserve"> Dodatkowo gminny p</w:t>
      </w:r>
      <w:r w:rsidRPr="001A7CBF">
        <w:rPr>
          <w:lang w:bidi="en-US"/>
        </w:rPr>
        <w:t xml:space="preserve">rogram rewitalizacji określa mierzalne wskaźniki, które pozwalają na ocenę skuteczności działań i ewentualne korekty </w:t>
      </w:r>
      <w:r w:rsidR="008A35B5">
        <w:rPr>
          <w:lang w:bidi="en-US"/>
        </w:rPr>
        <w:t>S</w:t>
      </w:r>
      <w:r w:rsidRPr="001A7CBF">
        <w:rPr>
          <w:lang w:bidi="en-US"/>
        </w:rPr>
        <w:t>trategii, co zwiększa efektywność podejmowanych działań.</w:t>
      </w:r>
    </w:p>
    <w:p w14:paraId="208128AC" w14:textId="7D14BBEA" w:rsidR="00D42E0D" w:rsidRDefault="0094704E" w:rsidP="00D42E0D">
      <w:pPr>
        <w:rPr>
          <w:lang w:bidi="en-US"/>
        </w:rPr>
      </w:pPr>
      <w:r>
        <w:rPr>
          <w:lang w:bidi="en-US"/>
        </w:rPr>
        <w:t>W związku z powyższym określono kluczow</w:t>
      </w:r>
      <w:r w:rsidR="00F26AFA">
        <w:rPr>
          <w:lang w:bidi="en-US"/>
        </w:rPr>
        <w:t>y</w:t>
      </w:r>
      <w:r>
        <w:rPr>
          <w:lang w:bidi="en-US"/>
        </w:rPr>
        <w:t xml:space="preserve"> dla gminy Opole Lubelskie </w:t>
      </w:r>
      <w:r w:rsidR="00F26AFA">
        <w:rPr>
          <w:b/>
          <w:bCs/>
          <w:lang w:bidi="en-US"/>
        </w:rPr>
        <w:t>o</w:t>
      </w:r>
      <w:r w:rsidRPr="00853B1A">
        <w:rPr>
          <w:b/>
          <w:bCs/>
          <w:lang w:bidi="en-US"/>
        </w:rPr>
        <w:t>bszar strategicznej interwencji</w:t>
      </w:r>
      <w:r w:rsidR="00D42E0D" w:rsidRPr="00853B1A">
        <w:rPr>
          <w:b/>
          <w:bCs/>
          <w:lang w:bidi="en-US"/>
        </w:rPr>
        <w:t xml:space="preserve"> </w:t>
      </w:r>
      <w:r w:rsidR="00F26AFA">
        <w:rPr>
          <w:b/>
          <w:bCs/>
          <w:lang w:bidi="en-US"/>
        </w:rPr>
        <w:t xml:space="preserve">jako </w:t>
      </w:r>
      <w:r w:rsidR="00D42E0D" w:rsidRPr="00853B1A">
        <w:rPr>
          <w:b/>
          <w:bCs/>
          <w:lang w:bidi="en-US"/>
        </w:rPr>
        <w:t xml:space="preserve">tożsamy z </w:t>
      </w:r>
      <w:bookmarkStart w:id="203" w:name="_Hlk189139243"/>
      <w:r w:rsidR="00D42E0D" w:rsidRPr="00853B1A">
        <w:rPr>
          <w:b/>
          <w:bCs/>
          <w:lang w:bidi="en-US"/>
        </w:rPr>
        <w:t xml:space="preserve">obszarem zdegradowanym i obszarem rewitalizacji </w:t>
      </w:r>
      <w:bookmarkEnd w:id="203"/>
      <w:r w:rsidR="00D42E0D" w:rsidRPr="00853B1A">
        <w:rPr>
          <w:b/>
          <w:bCs/>
          <w:lang w:bidi="en-US"/>
        </w:rPr>
        <w:t>określonym w</w:t>
      </w:r>
      <w:r w:rsidR="000B05F3">
        <w:rPr>
          <w:b/>
          <w:bCs/>
          <w:lang w:bidi="en-US"/>
        </w:rPr>
        <w:t> </w:t>
      </w:r>
      <w:r w:rsidR="00D42E0D" w:rsidRPr="00853B1A">
        <w:rPr>
          <w:b/>
          <w:bCs/>
          <w:lang w:bidi="en-US"/>
        </w:rPr>
        <w:t>Gminnym Programie Rewitalizacji Gminy Opole Lubelskie</w:t>
      </w:r>
      <w:r w:rsidR="00D42E0D">
        <w:rPr>
          <w:lang w:bidi="en-US"/>
        </w:rPr>
        <w:t xml:space="preserve">. Jest to obszar, na którym koncentrują się zarówno negatywne zjawiska społeczne jak i </w:t>
      </w:r>
      <w:r w:rsidR="00F26AFA">
        <w:rPr>
          <w:lang w:bidi="en-US"/>
        </w:rPr>
        <w:t>pozostałe</w:t>
      </w:r>
      <w:r w:rsidR="00D42E0D">
        <w:rPr>
          <w:lang w:bidi="en-US"/>
        </w:rPr>
        <w:t xml:space="preserve"> negatywne zjawiska wymienione w ustawie o rewitalizacji. O</w:t>
      </w:r>
      <w:r w:rsidR="00D42E0D" w:rsidRPr="00D42E0D">
        <w:rPr>
          <w:lang w:bidi="en-US"/>
        </w:rPr>
        <w:t>bszarem zdegradowan</w:t>
      </w:r>
      <w:r w:rsidR="00D42E0D">
        <w:rPr>
          <w:lang w:bidi="en-US"/>
        </w:rPr>
        <w:t>y</w:t>
      </w:r>
      <w:r w:rsidR="00D42E0D" w:rsidRPr="00D42E0D">
        <w:rPr>
          <w:lang w:bidi="en-US"/>
        </w:rPr>
        <w:t xml:space="preserve"> i obszar rewitalizacji</w:t>
      </w:r>
      <w:r w:rsidR="00D42E0D">
        <w:rPr>
          <w:lang w:bidi="en-US"/>
        </w:rPr>
        <w:t>, w</w:t>
      </w:r>
      <w:r w:rsidR="004B42DB">
        <w:rPr>
          <w:lang w:bidi="en-US"/>
        </w:rPr>
        <w:t> </w:t>
      </w:r>
      <w:r w:rsidR="00D42E0D">
        <w:rPr>
          <w:lang w:bidi="en-US"/>
        </w:rPr>
        <w:t>obrębie którego znalazły się m.in.: Stary Rynek, Nowy Rynek oraz główna arteria komunikacyjna łącząca z Lublinem, obejmuje swoim zasięgiem centrum miasta Opole Lubelskie, stanowiąc</w:t>
      </w:r>
      <w:r w:rsidR="00F26AFA">
        <w:rPr>
          <w:lang w:bidi="en-US"/>
        </w:rPr>
        <w:t>e</w:t>
      </w:r>
      <w:r w:rsidR="00D42E0D">
        <w:rPr>
          <w:lang w:bidi="en-US"/>
        </w:rPr>
        <w:t xml:space="preserve"> fragment historycznej części miasta.</w:t>
      </w:r>
    </w:p>
    <w:p w14:paraId="3AF11038" w14:textId="374D6AB0" w:rsidR="00853B1A" w:rsidRDefault="00853B1A" w:rsidP="004B42DB">
      <w:pPr>
        <w:spacing w:after="0"/>
        <w:rPr>
          <w:lang w:bidi="en-US"/>
        </w:rPr>
      </w:pPr>
      <w:r>
        <w:rPr>
          <w:lang w:bidi="en-US"/>
        </w:rPr>
        <w:t>Na terenie wyznaczonego OSI zdiagnozowano następujące kluczowe negatywne zjawiska społeczne, gospodarcze, przestrzenne i środowiskowe:</w:t>
      </w:r>
    </w:p>
    <w:p w14:paraId="5EE20901" w14:textId="77777777" w:rsidR="00817EEB" w:rsidRDefault="00817EEB">
      <w:pPr>
        <w:pStyle w:val="Akapitzlist"/>
        <w:numPr>
          <w:ilvl w:val="0"/>
          <w:numId w:val="101"/>
        </w:numPr>
        <w:ind w:left="142" w:hanging="142"/>
        <w:rPr>
          <w:lang w:bidi="en-US"/>
        </w:rPr>
      </w:pPr>
      <w:r>
        <w:rPr>
          <w:lang w:bidi="en-US"/>
        </w:rPr>
        <w:t>r</w:t>
      </w:r>
      <w:r w:rsidR="00853B1A" w:rsidRPr="00853B1A">
        <w:rPr>
          <w:lang w:bidi="en-US"/>
        </w:rPr>
        <w:t>egresywna struktura demograficzna</w:t>
      </w:r>
      <w:r>
        <w:rPr>
          <w:lang w:bidi="en-US"/>
        </w:rPr>
        <w:t>,</w:t>
      </w:r>
    </w:p>
    <w:p w14:paraId="054C8EC6" w14:textId="77777777" w:rsidR="00817EEB" w:rsidRDefault="00817EEB">
      <w:pPr>
        <w:pStyle w:val="Akapitzlist"/>
        <w:numPr>
          <w:ilvl w:val="0"/>
          <w:numId w:val="101"/>
        </w:numPr>
        <w:ind w:left="142" w:hanging="142"/>
        <w:rPr>
          <w:lang w:bidi="en-US"/>
        </w:rPr>
      </w:pPr>
      <w:r>
        <w:rPr>
          <w:lang w:bidi="en-US"/>
        </w:rPr>
        <w:t>duży udział osób pozostających bez pracy, w tym utrzymujący udział osób długotrwale bezrobotnych,</w:t>
      </w:r>
    </w:p>
    <w:p w14:paraId="619350C5" w14:textId="77777777" w:rsidR="00817EEB" w:rsidRDefault="00817EEB">
      <w:pPr>
        <w:pStyle w:val="Akapitzlist"/>
        <w:numPr>
          <w:ilvl w:val="0"/>
          <w:numId w:val="101"/>
        </w:numPr>
        <w:ind w:left="142" w:hanging="142"/>
        <w:rPr>
          <w:lang w:bidi="en-US"/>
        </w:rPr>
      </w:pPr>
      <w:r>
        <w:rPr>
          <w:lang w:bidi="en-US"/>
        </w:rPr>
        <w:t>wysoki i stale wzrastający udział osób objętych pomocą miejskiego ośrodka pomocy społecznej, głównie z powodu ubóstwa i bezrobocia,</w:t>
      </w:r>
    </w:p>
    <w:p w14:paraId="5BC8F992" w14:textId="77777777" w:rsidR="00817EEB" w:rsidRDefault="00817EEB">
      <w:pPr>
        <w:pStyle w:val="Akapitzlist"/>
        <w:numPr>
          <w:ilvl w:val="0"/>
          <w:numId w:val="101"/>
        </w:numPr>
        <w:ind w:left="142" w:hanging="142"/>
        <w:rPr>
          <w:lang w:bidi="en-US"/>
        </w:rPr>
      </w:pPr>
      <w:r>
        <w:rPr>
          <w:lang w:bidi="en-US"/>
        </w:rPr>
        <w:t>w</w:t>
      </w:r>
      <w:r w:rsidRPr="00817EEB">
        <w:rPr>
          <w:lang w:bidi="en-US"/>
        </w:rPr>
        <w:t>ysoki poziom przestępczości</w:t>
      </w:r>
      <w:r>
        <w:rPr>
          <w:lang w:bidi="en-US"/>
        </w:rPr>
        <w:t>,</w:t>
      </w:r>
    </w:p>
    <w:p w14:paraId="74F4EC5D" w14:textId="77777777" w:rsidR="00817EEB" w:rsidRDefault="00817EEB">
      <w:pPr>
        <w:pStyle w:val="Akapitzlist"/>
        <w:numPr>
          <w:ilvl w:val="0"/>
          <w:numId w:val="101"/>
        </w:numPr>
        <w:ind w:left="142" w:hanging="142"/>
        <w:rPr>
          <w:lang w:bidi="en-US"/>
        </w:rPr>
      </w:pPr>
      <w:r>
        <w:rPr>
          <w:lang w:bidi="en-US"/>
        </w:rPr>
        <w:lastRenderedPageBreak/>
        <w:t>koncentracja niskowydajnych palenisk węglowych, przyczyniających się do wysokiego poziomu zanieczyszczeń powietrza (pył zawieszony PM10 i PM2,5),</w:t>
      </w:r>
    </w:p>
    <w:p w14:paraId="6DA1A1CA" w14:textId="77777777" w:rsidR="00A000CA" w:rsidRDefault="00817EEB">
      <w:pPr>
        <w:pStyle w:val="Akapitzlist"/>
        <w:numPr>
          <w:ilvl w:val="0"/>
          <w:numId w:val="101"/>
        </w:numPr>
        <w:ind w:left="142" w:hanging="142"/>
        <w:rPr>
          <w:lang w:bidi="en-US"/>
        </w:rPr>
      </w:pPr>
      <w:r>
        <w:rPr>
          <w:lang w:bidi="en-US"/>
        </w:rPr>
        <w:t>niefunkcjonalne rozwiązania komunikacyjne (przebieg drogi 824 przez środek historycznego centrum), generujące ponadnormatywne zanieczyszczenia komunikacyjne oraz wysoki poziom hałasu komunikacyjnego,</w:t>
      </w:r>
    </w:p>
    <w:p w14:paraId="3A3E07FC" w14:textId="77777777" w:rsidR="00A000CA" w:rsidRDefault="00A000CA">
      <w:pPr>
        <w:pStyle w:val="Akapitzlist"/>
        <w:numPr>
          <w:ilvl w:val="0"/>
          <w:numId w:val="101"/>
        </w:numPr>
        <w:ind w:left="142" w:hanging="142"/>
        <w:rPr>
          <w:lang w:bidi="en-US"/>
        </w:rPr>
      </w:pPr>
      <w:r>
        <w:rPr>
          <w:lang w:bidi="en-US"/>
        </w:rPr>
        <w:t>dekapitalizacja i degradacja kluczowego dla dziedzictwa kulturowego gminy obszaru założenia urbanistycznego miasta Opole Lubelskie oraz historycznych obiektów (w tym zabytkowych),</w:t>
      </w:r>
    </w:p>
    <w:p w14:paraId="4BE68526" w14:textId="77777777" w:rsidR="00A000CA" w:rsidRDefault="00A000CA">
      <w:pPr>
        <w:pStyle w:val="Akapitzlist"/>
        <w:numPr>
          <w:ilvl w:val="0"/>
          <w:numId w:val="101"/>
        </w:numPr>
        <w:ind w:left="142" w:hanging="142"/>
        <w:rPr>
          <w:lang w:bidi="en-US"/>
        </w:rPr>
      </w:pPr>
      <w:r>
        <w:rPr>
          <w:lang w:bidi="en-US"/>
        </w:rPr>
        <w:t>obniżona jakość lokalnych i ponadlokalnych terenów publicznych o rozwiązaniach urbanistycznych niedostosowanych do zmieniających się funkcji obszaru,</w:t>
      </w:r>
    </w:p>
    <w:p w14:paraId="28ECFF07" w14:textId="1BD8E4F5" w:rsidR="00853B1A" w:rsidRDefault="00A000CA">
      <w:pPr>
        <w:pStyle w:val="Akapitzlist"/>
        <w:numPr>
          <w:ilvl w:val="0"/>
          <w:numId w:val="101"/>
        </w:numPr>
        <w:spacing w:after="0"/>
        <w:ind w:left="142" w:hanging="142"/>
        <w:contextualSpacing w:val="0"/>
        <w:rPr>
          <w:lang w:bidi="en-US"/>
        </w:rPr>
      </w:pPr>
      <w:r>
        <w:rPr>
          <w:lang w:bidi="en-US"/>
        </w:rPr>
        <w:t>występowanie dużej liczby obiektów o niefunkcjonalnych rozwiązaniach technicznych uniemożliwiających efektywne korzystanie z obiektów budowlanych, w szczególności w</w:t>
      </w:r>
      <w:r w:rsidR="004B42DB">
        <w:rPr>
          <w:lang w:bidi="en-US"/>
        </w:rPr>
        <w:t> </w:t>
      </w:r>
      <w:r>
        <w:rPr>
          <w:lang w:bidi="en-US"/>
        </w:rPr>
        <w:t>zakresie energooszczędności oraz ochrony środowiska.</w:t>
      </w:r>
      <w:r>
        <w:rPr>
          <w:lang w:bidi="en-US"/>
        </w:rPr>
        <w:cr/>
      </w:r>
    </w:p>
    <w:p w14:paraId="5C186011" w14:textId="6811D8DB" w:rsidR="00D42E0D" w:rsidRDefault="00D42E0D" w:rsidP="00D42E0D">
      <w:pPr>
        <w:jc w:val="center"/>
        <w:rPr>
          <w:lang w:bidi="en-US"/>
        </w:rPr>
      </w:pPr>
      <w:r>
        <w:rPr>
          <w:noProof/>
          <w:lang w:eastAsia="pl-PL"/>
        </w:rPr>
        <w:drawing>
          <wp:inline distT="0" distB="0" distL="0" distR="0" wp14:anchorId="0FB941AC" wp14:editId="0C172D49">
            <wp:extent cx="5645727" cy="3063703"/>
            <wp:effectExtent l="0" t="0" r="0" b="3810"/>
            <wp:docPr id="481164617" name="Obraz 1" descr="Obraz zawierający tekst, mapa, diagram,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64617" name="Obraz 1" descr="Obraz zawierający tekst, mapa, diagram, Plan&#10;&#10;Opis wygenerowany automatycznie"/>
                    <pic:cNvPicPr/>
                  </pic:nvPicPr>
                  <pic:blipFill>
                    <a:blip r:embed="rId85"/>
                    <a:stretch>
                      <a:fillRect/>
                    </a:stretch>
                  </pic:blipFill>
                  <pic:spPr>
                    <a:xfrm>
                      <a:off x="0" y="0"/>
                      <a:ext cx="5672260" cy="3078101"/>
                    </a:xfrm>
                    <a:prstGeom prst="rect">
                      <a:avLst/>
                    </a:prstGeom>
                  </pic:spPr>
                </pic:pic>
              </a:graphicData>
            </a:graphic>
          </wp:inline>
        </w:drawing>
      </w:r>
    </w:p>
    <w:p w14:paraId="0B5F10CD" w14:textId="2A899ED3" w:rsidR="0094704E" w:rsidRDefault="00EF635D" w:rsidP="005A52D4">
      <w:pPr>
        <w:rPr>
          <w:rFonts w:eastAsia="Calibri" w:cs="Times New Roman"/>
          <w:b/>
          <w:bCs/>
          <w:color w:val="7B230B"/>
          <w:kern w:val="0"/>
          <w:sz w:val="16"/>
          <w:szCs w:val="19"/>
          <w14:ligatures w14:val="none"/>
        </w:rPr>
      </w:pPr>
      <w:bookmarkStart w:id="204" w:name="_Toc189166413"/>
      <w:r w:rsidRPr="003F2001">
        <w:rPr>
          <w:rFonts w:eastAsia="Calibri" w:cs="Times New Roman"/>
          <w:b/>
          <w:bCs/>
          <w:color w:val="7B230B"/>
          <w:kern w:val="0"/>
          <w:sz w:val="16"/>
          <w:szCs w:val="19"/>
          <w14:ligatures w14:val="none"/>
        </w:rPr>
        <w:t xml:space="preserve">Ryc. </w:t>
      </w:r>
      <w:r w:rsidRPr="003F2001">
        <w:rPr>
          <w:rFonts w:eastAsia="Calibri" w:cs="Times New Roman"/>
          <w:b/>
          <w:bCs/>
          <w:color w:val="7B230B"/>
          <w:kern w:val="0"/>
          <w:sz w:val="16"/>
          <w:szCs w:val="19"/>
          <w14:ligatures w14:val="none"/>
        </w:rPr>
        <w:fldChar w:fldCharType="begin"/>
      </w:r>
      <w:r w:rsidRPr="003F2001">
        <w:rPr>
          <w:rFonts w:eastAsia="Calibri" w:cs="Times New Roman"/>
          <w:b/>
          <w:bCs/>
          <w:color w:val="7B230B"/>
          <w:kern w:val="0"/>
          <w:sz w:val="16"/>
          <w:szCs w:val="19"/>
          <w14:ligatures w14:val="none"/>
        </w:rPr>
        <w:instrText xml:space="preserve"> SEQ Ryc. \* ARABIC </w:instrText>
      </w:r>
      <w:r w:rsidRPr="003F2001">
        <w:rPr>
          <w:rFonts w:eastAsia="Calibri" w:cs="Times New Roman"/>
          <w:b/>
          <w:bCs/>
          <w:color w:val="7B230B"/>
          <w:kern w:val="0"/>
          <w:sz w:val="16"/>
          <w:szCs w:val="19"/>
          <w14:ligatures w14:val="none"/>
        </w:rPr>
        <w:fldChar w:fldCharType="separate"/>
      </w:r>
      <w:r w:rsidR="008E0CB6">
        <w:rPr>
          <w:rFonts w:eastAsia="Calibri" w:cs="Times New Roman"/>
          <w:b/>
          <w:bCs/>
          <w:noProof/>
          <w:color w:val="7B230B"/>
          <w:kern w:val="0"/>
          <w:sz w:val="16"/>
          <w:szCs w:val="19"/>
          <w14:ligatures w14:val="none"/>
        </w:rPr>
        <w:t>9</w:t>
      </w:r>
      <w:r w:rsidRPr="003F2001">
        <w:rPr>
          <w:rFonts w:eastAsia="Calibri" w:cs="Times New Roman"/>
          <w:b/>
          <w:bCs/>
          <w:color w:val="7B230B"/>
          <w:kern w:val="0"/>
          <w:sz w:val="16"/>
          <w:szCs w:val="19"/>
          <w14:ligatures w14:val="none"/>
        </w:rPr>
        <w:fldChar w:fldCharType="end"/>
      </w:r>
      <w:r w:rsidRPr="003F2001">
        <w:rPr>
          <w:rFonts w:eastAsia="Calibri" w:cs="Times New Roman"/>
          <w:b/>
          <w:bCs/>
          <w:color w:val="7B230B"/>
          <w:kern w:val="0"/>
          <w:sz w:val="16"/>
          <w:szCs w:val="19"/>
          <w14:ligatures w14:val="none"/>
        </w:rPr>
        <w:t xml:space="preserve">. </w:t>
      </w:r>
      <w:r>
        <w:rPr>
          <w:rFonts w:eastAsia="Calibri" w:cs="Times New Roman"/>
          <w:b/>
          <w:bCs/>
          <w:color w:val="7B230B"/>
          <w:kern w:val="0"/>
          <w:sz w:val="16"/>
          <w:szCs w:val="19"/>
          <w14:ligatures w14:val="none"/>
        </w:rPr>
        <w:t xml:space="preserve">Obszar strategicznej interwencji - </w:t>
      </w:r>
      <w:r w:rsidRPr="00EF635D">
        <w:rPr>
          <w:rFonts w:eastAsia="Calibri" w:cs="Times New Roman"/>
          <w:b/>
          <w:bCs/>
          <w:color w:val="7B230B"/>
          <w:kern w:val="0"/>
          <w:sz w:val="16"/>
          <w:szCs w:val="19"/>
          <w14:ligatures w14:val="none"/>
        </w:rPr>
        <w:t>obszar zdegradowany i obszar rewitalizacji</w:t>
      </w:r>
      <w:bookmarkEnd w:id="204"/>
    </w:p>
    <w:p w14:paraId="58F92DD0" w14:textId="77777777" w:rsidR="00C77EC4" w:rsidRDefault="0025593D" w:rsidP="005A52D4">
      <w:pPr>
        <w:rPr>
          <w:lang w:bidi="en-US"/>
        </w:rPr>
      </w:pPr>
      <w:r>
        <w:rPr>
          <w:lang w:bidi="en-US"/>
        </w:rPr>
        <w:t xml:space="preserve">Wyznaczony </w:t>
      </w:r>
      <w:r w:rsidR="00C77EC4">
        <w:rPr>
          <w:lang w:bidi="en-US"/>
        </w:rPr>
        <w:t xml:space="preserve">w Strategii </w:t>
      </w:r>
      <w:r>
        <w:rPr>
          <w:lang w:bidi="en-US"/>
        </w:rPr>
        <w:t>OSI (</w:t>
      </w:r>
      <w:r w:rsidR="00C77EC4">
        <w:rPr>
          <w:lang w:bidi="en-US"/>
        </w:rPr>
        <w:t xml:space="preserve">tj. </w:t>
      </w:r>
      <w:r w:rsidRPr="0025593D">
        <w:rPr>
          <w:lang w:bidi="en-US"/>
        </w:rPr>
        <w:t xml:space="preserve">obszar zdegradowany i obszar rewitalizacji </w:t>
      </w:r>
      <w:r>
        <w:rPr>
          <w:lang w:bidi="en-US"/>
        </w:rPr>
        <w:t xml:space="preserve">określony w GPR) będący </w:t>
      </w:r>
      <w:r w:rsidRPr="0025593D">
        <w:rPr>
          <w:lang w:bidi="en-US"/>
        </w:rPr>
        <w:t>historyczn</w:t>
      </w:r>
      <w:r>
        <w:rPr>
          <w:lang w:bidi="en-US"/>
        </w:rPr>
        <w:t>ym</w:t>
      </w:r>
      <w:r w:rsidRPr="0025593D">
        <w:rPr>
          <w:lang w:bidi="en-US"/>
        </w:rPr>
        <w:t xml:space="preserve"> centrum </w:t>
      </w:r>
      <w:r>
        <w:rPr>
          <w:lang w:bidi="en-US"/>
        </w:rPr>
        <w:t xml:space="preserve">miasta Opole Lubelskie </w:t>
      </w:r>
      <w:r w:rsidRPr="0025593D">
        <w:rPr>
          <w:lang w:bidi="en-US"/>
        </w:rPr>
        <w:t>ma kluczowe znaczenie dla funkcjonowania i</w:t>
      </w:r>
      <w:r w:rsidR="004B42DB">
        <w:rPr>
          <w:lang w:bidi="en-US"/>
        </w:rPr>
        <w:t> </w:t>
      </w:r>
      <w:r>
        <w:rPr>
          <w:lang w:bidi="en-US"/>
        </w:rPr>
        <w:t xml:space="preserve">zachowania </w:t>
      </w:r>
      <w:r w:rsidRPr="0025593D">
        <w:rPr>
          <w:lang w:bidi="en-US"/>
        </w:rPr>
        <w:t xml:space="preserve">tożsamości </w:t>
      </w:r>
      <w:r>
        <w:rPr>
          <w:lang w:bidi="en-US"/>
        </w:rPr>
        <w:t>obszaru objętego Strategią</w:t>
      </w:r>
      <w:r w:rsidRPr="0025593D">
        <w:rPr>
          <w:lang w:bidi="en-US"/>
        </w:rPr>
        <w:t xml:space="preserve">. </w:t>
      </w:r>
      <w:r>
        <w:rPr>
          <w:lang w:bidi="en-US"/>
        </w:rPr>
        <w:t>Z</w:t>
      </w:r>
      <w:r w:rsidRPr="0025593D">
        <w:rPr>
          <w:lang w:bidi="en-US"/>
        </w:rPr>
        <w:t xml:space="preserve">lokalizowanych jest </w:t>
      </w:r>
      <w:r>
        <w:rPr>
          <w:lang w:bidi="en-US"/>
        </w:rPr>
        <w:t xml:space="preserve">tu </w:t>
      </w:r>
      <w:r w:rsidRPr="0025593D">
        <w:rPr>
          <w:lang w:bidi="en-US"/>
        </w:rPr>
        <w:t>najwięcej obiektów zabytkowych, o największej wartości objętych ochroną prawną (wpisy do rejestru i</w:t>
      </w:r>
      <w:r w:rsidR="004B42DB">
        <w:rPr>
          <w:lang w:bidi="en-US"/>
        </w:rPr>
        <w:t> </w:t>
      </w:r>
      <w:r w:rsidRPr="0025593D">
        <w:rPr>
          <w:lang w:bidi="en-US"/>
        </w:rPr>
        <w:t xml:space="preserve">ewidencji zabytków). Atut jakim jest potencjał dziedzictwa kulturowego nie jest jednak w pełni wykorzystany. </w:t>
      </w:r>
      <w:r>
        <w:rPr>
          <w:lang w:bidi="en-US"/>
        </w:rPr>
        <w:t>O</w:t>
      </w:r>
      <w:r w:rsidRPr="0025593D">
        <w:rPr>
          <w:lang w:bidi="en-US"/>
        </w:rPr>
        <w:t xml:space="preserve">bserwuje się negatywne zjawiska ekonomiczne i społeczne, którym zapobiec można jedynie przez aktywne oddziaływanie </w:t>
      </w:r>
      <w:r>
        <w:rPr>
          <w:lang w:bidi="en-US"/>
        </w:rPr>
        <w:t>gminy</w:t>
      </w:r>
      <w:r w:rsidRPr="0025593D">
        <w:rPr>
          <w:lang w:bidi="en-US"/>
        </w:rPr>
        <w:t>, służb konserwatorskich oraz lokalnej społeczności. Konieczne jest dokonanie waloryzacji zasobu dziedzictwa, uwzględniającej wartość zabytkową, stan obiektów oraz możliwości ich adaptacji i</w:t>
      </w:r>
      <w:r w:rsidR="004B42DB">
        <w:rPr>
          <w:lang w:bidi="en-US"/>
        </w:rPr>
        <w:t> </w:t>
      </w:r>
      <w:r w:rsidRPr="0025593D">
        <w:rPr>
          <w:lang w:bidi="en-US"/>
        </w:rPr>
        <w:t>współczesnego wykorzystania. Mimo, iż Opole Lubelskie posiada znaczną ilość terenów usługowych, w tym związanych z realizacją celu publicznego (w tym oświatowych i</w:t>
      </w:r>
      <w:r w:rsidR="004B42DB">
        <w:rPr>
          <w:lang w:bidi="en-US"/>
        </w:rPr>
        <w:t> </w:t>
      </w:r>
      <w:r w:rsidRPr="0025593D">
        <w:rPr>
          <w:lang w:bidi="en-US"/>
        </w:rPr>
        <w:t>kulturalnych), nie posiada przestrzeni publicznych o atrakcyjnym programie funkcjonalnym. Wyz</w:t>
      </w:r>
      <w:r>
        <w:rPr>
          <w:lang w:bidi="en-US"/>
        </w:rPr>
        <w:t>w</w:t>
      </w:r>
      <w:r w:rsidRPr="0025593D">
        <w:rPr>
          <w:lang w:bidi="en-US"/>
        </w:rPr>
        <w:t xml:space="preserve">aniem </w:t>
      </w:r>
      <w:r>
        <w:rPr>
          <w:lang w:bidi="en-US"/>
        </w:rPr>
        <w:t>jest</w:t>
      </w:r>
      <w:r w:rsidRPr="0025593D">
        <w:rPr>
          <w:lang w:bidi="en-US"/>
        </w:rPr>
        <w:t xml:space="preserve"> zatem wykreowanie na bazie historycznych obszarów nowych przestrzeni </w:t>
      </w:r>
      <w:r w:rsidRPr="0025593D">
        <w:rPr>
          <w:lang w:bidi="en-US"/>
        </w:rPr>
        <w:lastRenderedPageBreak/>
        <w:t>publicznych, o atrakcyjnym dla mieszkańców programie</w:t>
      </w:r>
      <w:r>
        <w:rPr>
          <w:lang w:bidi="en-US"/>
        </w:rPr>
        <w:t xml:space="preserve"> i funkcji</w:t>
      </w:r>
      <w:r w:rsidRPr="0025593D">
        <w:rPr>
          <w:lang w:bidi="en-US"/>
        </w:rPr>
        <w:t xml:space="preserve">. Wyzwaniem </w:t>
      </w:r>
      <w:r>
        <w:rPr>
          <w:lang w:bidi="en-US"/>
        </w:rPr>
        <w:t>jest</w:t>
      </w:r>
      <w:r w:rsidRPr="0025593D">
        <w:rPr>
          <w:lang w:bidi="en-US"/>
        </w:rPr>
        <w:t xml:space="preserve"> również powiązanie tych obszarów w spójną sieć przestrzeni publicznych o wysokiej jakości architektoniczno-urbanistycznej. Konieczne jest szukanie rozwiązań, które poprawią jakość istniejących przestrzeni publicznych oraz zieleni miejskiej (w szczególności parków) i łączących te teren</w:t>
      </w:r>
      <w:r>
        <w:rPr>
          <w:lang w:bidi="en-US"/>
        </w:rPr>
        <w:t>y</w:t>
      </w:r>
      <w:r w:rsidRPr="0025593D">
        <w:rPr>
          <w:lang w:bidi="en-US"/>
        </w:rPr>
        <w:t xml:space="preserve"> ciągów pieszych. </w:t>
      </w:r>
    </w:p>
    <w:p w14:paraId="554C5E78" w14:textId="38E01406" w:rsidR="009B5566" w:rsidRDefault="0025593D" w:rsidP="005A52D4">
      <w:pPr>
        <w:rPr>
          <w:lang w:bidi="en-US"/>
        </w:rPr>
      </w:pPr>
      <w:r w:rsidRPr="0025593D">
        <w:rPr>
          <w:lang w:bidi="en-US"/>
        </w:rPr>
        <w:t xml:space="preserve">Obszar centrum </w:t>
      </w:r>
      <w:r w:rsidR="00733262">
        <w:rPr>
          <w:lang w:bidi="en-US"/>
        </w:rPr>
        <w:t>ujęty</w:t>
      </w:r>
      <w:r w:rsidRPr="0025593D">
        <w:rPr>
          <w:lang w:bidi="en-US"/>
        </w:rPr>
        <w:t xml:space="preserve"> </w:t>
      </w:r>
      <w:r>
        <w:rPr>
          <w:lang w:bidi="en-US"/>
        </w:rPr>
        <w:t xml:space="preserve">zarówno </w:t>
      </w:r>
      <w:r w:rsidR="00C77EC4">
        <w:rPr>
          <w:lang w:bidi="en-US"/>
        </w:rPr>
        <w:t xml:space="preserve">w </w:t>
      </w:r>
      <w:r>
        <w:rPr>
          <w:lang w:bidi="en-US"/>
        </w:rPr>
        <w:t xml:space="preserve">GPR </w:t>
      </w:r>
      <w:r w:rsidR="00733262">
        <w:rPr>
          <w:lang w:bidi="en-US"/>
        </w:rPr>
        <w:t xml:space="preserve">(jako obszar </w:t>
      </w:r>
      <w:r w:rsidR="00733262" w:rsidRPr="00733262">
        <w:rPr>
          <w:lang w:bidi="en-US"/>
        </w:rPr>
        <w:t>zdegradowany i</w:t>
      </w:r>
      <w:r w:rsidR="004B42DB">
        <w:rPr>
          <w:lang w:bidi="en-US"/>
        </w:rPr>
        <w:t> </w:t>
      </w:r>
      <w:r w:rsidR="00733262" w:rsidRPr="00733262">
        <w:rPr>
          <w:lang w:bidi="en-US"/>
        </w:rPr>
        <w:t>obszar rewitalizacji</w:t>
      </w:r>
      <w:r w:rsidR="00733262">
        <w:rPr>
          <w:lang w:bidi="en-US"/>
        </w:rPr>
        <w:t xml:space="preserve">) </w:t>
      </w:r>
      <w:r>
        <w:rPr>
          <w:lang w:bidi="en-US"/>
        </w:rPr>
        <w:t xml:space="preserve">jak też </w:t>
      </w:r>
      <w:r w:rsidR="00C77EC4">
        <w:rPr>
          <w:lang w:bidi="en-US"/>
        </w:rPr>
        <w:t xml:space="preserve">w </w:t>
      </w:r>
      <w:r>
        <w:rPr>
          <w:lang w:bidi="en-US"/>
        </w:rPr>
        <w:t>Strategi</w:t>
      </w:r>
      <w:r w:rsidR="00C77EC4">
        <w:rPr>
          <w:lang w:bidi="en-US"/>
        </w:rPr>
        <w:t>i</w:t>
      </w:r>
      <w:r>
        <w:rPr>
          <w:lang w:bidi="en-US"/>
        </w:rPr>
        <w:t xml:space="preserve"> </w:t>
      </w:r>
      <w:r w:rsidR="00733262">
        <w:rPr>
          <w:lang w:bidi="en-US"/>
        </w:rPr>
        <w:t>(jako OSI) objęty będzie</w:t>
      </w:r>
      <w:r w:rsidRPr="0025593D">
        <w:rPr>
          <w:lang w:bidi="en-US"/>
        </w:rPr>
        <w:t xml:space="preserve"> jednolitą strategią działania – planem zarządzania tego obszaru w wymiarze strategicznym i operacyjnym.</w:t>
      </w:r>
      <w:r w:rsidR="009B5566">
        <w:rPr>
          <w:lang w:bidi="en-US"/>
        </w:rPr>
        <w:t xml:space="preserve"> </w:t>
      </w:r>
      <w:r w:rsidR="00733262">
        <w:rPr>
          <w:lang w:bidi="en-US"/>
        </w:rPr>
        <w:t>Tak skonstruowana</w:t>
      </w:r>
      <w:r w:rsidRPr="0025593D">
        <w:rPr>
          <w:lang w:bidi="en-US"/>
        </w:rPr>
        <w:t xml:space="preserve"> </w:t>
      </w:r>
      <w:r w:rsidR="00733262">
        <w:rPr>
          <w:lang w:bidi="en-US"/>
        </w:rPr>
        <w:t xml:space="preserve">logika interwencji działań strategicznych </w:t>
      </w:r>
      <w:r w:rsidRPr="0025593D">
        <w:rPr>
          <w:lang w:bidi="en-US"/>
        </w:rPr>
        <w:t>pozwoli efektywniej zarządzać zasobem dziedzictwa kulturowego i</w:t>
      </w:r>
      <w:r w:rsidR="000B05F3">
        <w:rPr>
          <w:lang w:bidi="en-US"/>
        </w:rPr>
        <w:t> </w:t>
      </w:r>
      <w:r w:rsidRPr="0025593D">
        <w:rPr>
          <w:lang w:bidi="en-US"/>
        </w:rPr>
        <w:t>sk</w:t>
      </w:r>
      <w:r w:rsidRPr="009B5566">
        <w:rPr>
          <w:lang w:bidi="en-US"/>
        </w:rPr>
        <w:t xml:space="preserve">oncentrować się na </w:t>
      </w:r>
      <w:r w:rsidR="009B5566" w:rsidRPr="009B5566">
        <w:rPr>
          <w:lang w:bidi="en-US"/>
        </w:rPr>
        <w:t>zapewnieniu</w:t>
      </w:r>
      <w:r w:rsidRPr="009B5566">
        <w:rPr>
          <w:lang w:bidi="en-US"/>
        </w:rPr>
        <w:t xml:space="preserve"> niezbędnej dla </w:t>
      </w:r>
      <w:r w:rsidR="00733262" w:rsidRPr="009B5566">
        <w:rPr>
          <w:lang w:bidi="en-US"/>
        </w:rPr>
        <w:t>centrum gminy</w:t>
      </w:r>
      <w:r w:rsidRPr="009B5566">
        <w:rPr>
          <w:lang w:bidi="en-US"/>
        </w:rPr>
        <w:t xml:space="preserve"> jakości przestrzeni miejskiej.</w:t>
      </w:r>
      <w:r w:rsidRPr="0025593D">
        <w:rPr>
          <w:lang w:bidi="en-US"/>
        </w:rPr>
        <w:t xml:space="preserve"> Wyzwaniem dla samorządu będzie </w:t>
      </w:r>
      <w:r w:rsidR="009B5566">
        <w:rPr>
          <w:lang w:bidi="en-US"/>
        </w:rPr>
        <w:t xml:space="preserve">również </w:t>
      </w:r>
      <w:r w:rsidRPr="0025593D">
        <w:rPr>
          <w:lang w:bidi="en-US"/>
        </w:rPr>
        <w:t xml:space="preserve">poszukiwanie nowych funkcji dla zachowanego dziedzictwa materialnego, które pozwalałyby w równy sposób korzystać z tego zasobu przez ich właścicieli, mieszkańców miasta oraz turystów przy zachowaniu jego walorów historycznych. </w:t>
      </w:r>
    </w:p>
    <w:p w14:paraId="7601C611" w14:textId="5E317566" w:rsidR="009B5566" w:rsidRDefault="009B5566" w:rsidP="009B5566">
      <w:pPr>
        <w:rPr>
          <w:lang w:bidi="en-US"/>
        </w:rPr>
      </w:pPr>
      <w:r>
        <w:rPr>
          <w:lang w:bidi="en-US"/>
        </w:rPr>
        <w:t>J</w:t>
      </w:r>
      <w:r w:rsidR="0025593D" w:rsidRPr="0025593D">
        <w:rPr>
          <w:lang w:bidi="en-US"/>
        </w:rPr>
        <w:t xml:space="preserve">ednym z </w:t>
      </w:r>
      <w:r>
        <w:rPr>
          <w:lang w:bidi="en-US"/>
        </w:rPr>
        <w:t xml:space="preserve">istotnych </w:t>
      </w:r>
      <w:r w:rsidR="0025593D" w:rsidRPr="0025593D">
        <w:rPr>
          <w:lang w:bidi="en-US"/>
        </w:rPr>
        <w:t xml:space="preserve">wyzwań </w:t>
      </w:r>
      <w:r>
        <w:rPr>
          <w:lang w:bidi="en-US"/>
        </w:rPr>
        <w:t>jest również</w:t>
      </w:r>
      <w:r w:rsidR="0025593D" w:rsidRPr="0025593D">
        <w:rPr>
          <w:lang w:bidi="en-US"/>
        </w:rPr>
        <w:t xml:space="preserve"> rozwiązanie istniejących problemów związanych z</w:t>
      </w:r>
      <w:r w:rsidR="004B42DB">
        <w:rPr>
          <w:lang w:bidi="en-US"/>
        </w:rPr>
        <w:t> </w:t>
      </w:r>
      <w:r w:rsidR="0025593D" w:rsidRPr="0025593D">
        <w:rPr>
          <w:lang w:bidi="en-US"/>
        </w:rPr>
        <w:t xml:space="preserve">zanieczyszczeniem środowiska. Wciąż duża liczba </w:t>
      </w:r>
      <w:r w:rsidR="000B05F3">
        <w:rPr>
          <w:lang w:bidi="en-US"/>
        </w:rPr>
        <w:t>niskoemisyjnych źródeł ciepła</w:t>
      </w:r>
      <w:r w:rsidR="0025593D" w:rsidRPr="0025593D">
        <w:rPr>
          <w:lang w:bidi="en-US"/>
        </w:rPr>
        <w:t xml:space="preserve"> powoduje, że w</w:t>
      </w:r>
      <w:r w:rsidR="004B42DB">
        <w:rPr>
          <w:lang w:bidi="en-US"/>
        </w:rPr>
        <w:t> </w:t>
      </w:r>
      <w:r w:rsidR="0025593D" w:rsidRPr="0025593D">
        <w:rPr>
          <w:lang w:bidi="en-US"/>
        </w:rPr>
        <w:t xml:space="preserve">okresie zimowym, w granicach wyznaczonego </w:t>
      </w:r>
      <w:r>
        <w:rPr>
          <w:lang w:bidi="en-US"/>
        </w:rPr>
        <w:t>OS</w:t>
      </w:r>
      <w:r w:rsidR="000B05F3">
        <w:rPr>
          <w:lang w:bidi="en-US"/>
        </w:rPr>
        <w:t>I</w:t>
      </w:r>
      <w:r w:rsidR="0025593D" w:rsidRPr="0025593D">
        <w:rPr>
          <w:lang w:bidi="en-US"/>
        </w:rPr>
        <w:t>, normy jakości powietrza zbliżają się do wartości granicznych.</w:t>
      </w:r>
      <w:r>
        <w:rPr>
          <w:lang w:bidi="en-US"/>
        </w:rPr>
        <w:t xml:space="preserve"> </w:t>
      </w:r>
      <w:r w:rsidR="0025593D" w:rsidRPr="0025593D">
        <w:rPr>
          <w:lang w:bidi="en-US"/>
        </w:rPr>
        <w:t>Istotne jest zatem aby skutecznie podjąć działania służące w pierwszej kolejności ograniczeniu, a w przyszłości wyeliminowania problemu niskiej emisji z</w:t>
      </w:r>
      <w:r w:rsidR="004B42DB">
        <w:rPr>
          <w:lang w:bidi="en-US"/>
        </w:rPr>
        <w:t> </w:t>
      </w:r>
      <w:r w:rsidR="0025593D" w:rsidRPr="0025593D">
        <w:rPr>
          <w:lang w:bidi="en-US"/>
        </w:rPr>
        <w:t>wyznaczonego obszaru.</w:t>
      </w:r>
    </w:p>
    <w:p w14:paraId="055B624E" w14:textId="31AE5839" w:rsidR="009B5566" w:rsidRDefault="0025593D" w:rsidP="009B5566">
      <w:pPr>
        <w:rPr>
          <w:lang w:bidi="en-US"/>
        </w:rPr>
      </w:pPr>
      <w:r w:rsidRPr="0025593D">
        <w:rPr>
          <w:lang w:bidi="en-US"/>
        </w:rPr>
        <w:t xml:space="preserve">Innym równie istotnym zagadnieniem </w:t>
      </w:r>
      <w:r w:rsidR="009B5566">
        <w:rPr>
          <w:lang w:bidi="en-US"/>
        </w:rPr>
        <w:t>jest</w:t>
      </w:r>
      <w:r w:rsidRPr="0025593D">
        <w:rPr>
          <w:lang w:bidi="en-US"/>
        </w:rPr>
        <w:t xml:space="preserve"> zanieczyszczeni</w:t>
      </w:r>
      <w:r w:rsidR="009B5566">
        <w:rPr>
          <w:lang w:bidi="en-US"/>
        </w:rPr>
        <w:t>e</w:t>
      </w:r>
      <w:r w:rsidRPr="0025593D">
        <w:rPr>
          <w:lang w:bidi="en-US"/>
        </w:rPr>
        <w:t xml:space="preserve"> komunikacyjne, które odczuwalne są głównie w centrum miasta, gdzie krzyżują się szlaki komunikacyjne. Zagadnieniu temu towarzyszy wzmożony hałas, który czyni przestrzeń w sąsiedztwie takiej drogi nieatrakcyjną do zamieszkania i przebywania. </w:t>
      </w:r>
      <w:r w:rsidR="000B05F3">
        <w:rPr>
          <w:lang w:bidi="en-US"/>
        </w:rPr>
        <w:t>J</w:t>
      </w:r>
      <w:r w:rsidRPr="0025593D">
        <w:rPr>
          <w:lang w:bidi="en-US"/>
        </w:rPr>
        <w:t xml:space="preserve">est to kolejne wyzwanie dla miasta, ale i szansa na odzyskanie istotnie części </w:t>
      </w:r>
      <w:r w:rsidR="009B5566">
        <w:rPr>
          <w:lang w:bidi="en-US"/>
        </w:rPr>
        <w:t>obszaru</w:t>
      </w:r>
      <w:r w:rsidRPr="0025593D">
        <w:rPr>
          <w:lang w:bidi="en-US"/>
        </w:rPr>
        <w:t xml:space="preserve"> dla potrzeb rozwoju i wzrostu jakości życia mieszkańców.</w:t>
      </w:r>
    </w:p>
    <w:p w14:paraId="2971A189" w14:textId="77777777" w:rsidR="009B5566" w:rsidRDefault="0025593D" w:rsidP="009B5566">
      <w:pPr>
        <w:rPr>
          <w:lang w:bidi="en-US"/>
        </w:rPr>
      </w:pPr>
      <w:r w:rsidRPr="0025593D">
        <w:rPr>
          <w:lang w:bidi="en-US"/>
        </w:rPr>
        <w:t xml:space="preserve">Istotną kwestią </w:t>
      </w:r>
      <w:r w:rsidR="009B5566">
        <w:rPr>
          <w:lang w:bidi="en-US"/>
        </w:rPr>
        <w:t>pozostaje</w:t>
      </w:r>
      <w:r w:rsidRPr="0025593D">
        <w:rPr>
          <w:lang w:bidi="en-US"/>
        </w:rPr>
        <w:t xml:space="preserve"> pobudzenie środowisk gospodarczych do wykreowania nowych obszarów aktywności, szczególnie w obszarze centrum, tak by możliwy był równomierny rozwój działalności gospodarczej na terenie miasta. </w:t>
      </w:r>
    </w:p>
    <w:p w14:paraId="31BA27B6" w14:textId="77777777" w:rsidR="009B5566" w:rsidRDefault="0025593D" w:rsidP="009B5566">
      <w:pPr>
        <w:rPr>
          <w:lang w:bidi="en-US"/>
        </w:rPr>
      </w:pPr>
      <w:r w:rsidRPr="0025593D">
        <w:rPr>
          <w:lang w:bidi="en-US"/>
        </w:rPr>
        <w:t>W obszarze zagadnień społecznych kluczow</w:t>
      </w:r>
      <w:r w:rsidR="009B5566">
        <w:rPr>
          <w:lang w:bidi="en-US"/>
        </w:rPr>
        <w:t>ą</w:t>
      </w:r>
      <w:r w:rsidRPr="0025593D">
        <w:rPr>
          <w:lang w:bidi="en-US"/>
        </w:rPr>
        <w:t xml:space="preserve"> </w:t>
      </w:r>
      <w:r w:rsidR="009B5566">
        <w:rPr>
          <w:lang w:bidi="en-US"/>
        </w:rPr>
        <w:t>kwestią jest</w:t>
      </w:r>
      <w:r w:rsidRPr="0025593D">
        <w:rPr>
          <w:lang w:bidi="en-US"/>
        </w:rPr>
        <w:t xml:space="preserve"> zatrzymanie spadku liczby mieszkańców zarówno samego miasta jak i jego obszaru centralnego, szczególnie </w:t>
      </w:r>
      <w:r w:rsidR="009B5566">
        <w:rPr>
          <w:lang w:bidi="en-US"/>
        </w:rPr>
        <w:t>na terenie OSI</w:t>
      </w:r>
      <w:r w:rsidRPr="0025593D">
        <w:rPr>
          <w:lang w:bidi="en-US"/>
        </w:rPr>
        <w:t xml:space="preserve">. Za najważniejsze należy uznać </w:t>
      </w:r>
      <w:r w:rsidR="009B5566">
        <w:rPr>
          <w:lang w:bidi="en-US"/>
        </w:rPr>
        <w:t>zintegrowane</w:t>
      </w:r>
      <w:r w:rsidRPr="0025593D">
        <w:rPr>
          <w:lang w:bidi="en-US"/>
        </w:rPr>
        <w:t xml:space="preserve"> zarządzani</w:t>
      </w:r>
      <w:r w:rsidR="009B5566">
        <w:rPr>
          <w:lang w:bidi="en-US"/>
        </w:rPr>
        <w:t>e</w:t>
      </w:r>
      <w:r w:rsidRPr="0025593D">
        <w:rPr>
          <w:lang w:bidi="en-US"/>
        </w:rPr>
        <w:t xml:space="preserve"> obszarem centralnym miasta, prowadzenie aktywnej polityki mieszkaniowej, prowadzenie mikro ulepszeń w obszarach mieszkaniowych, tak by zachęc</w:t>
      </w:r>
      <w:r w:rsidR="009B5566">
        <w:rPr>
          <w:lang w:bidi="en-US"/>
        </w:rPr>
        <w:t>enie</w:t>
      </w:r>
      <w:r w:rsidRPr="0025593D">
        <w:rPr>
          <w:lang w:bidi="en-US"/>
        </w:rPr>
        <w:t xml:space="preserve"> mieszkańców do pozostania w centrum miasta. </w:t>
      </w:r>
    </w:p>
    <w:p w14:paraId="65A7B622" w14:textId="6E762684" w:rsidR="003807D2" w:rsidRDefault="0025593D" w:rsidP="005A52D4">
      <w:pPr>
        <w:rPr>
          <w:lang w:bidi="en-US"/>
        </w:rPr>
      </w:pPr>
      <w:r w:rsidRPr="0025593D">
        <w:rPr>
          <w:lang w:bidi="en-US"/>
        </w:rPr>
        <w:t>Równie niepokojące jak wyludnianie się miasta jest zjawisko starzenia się lokalnej społeczności. Regresywna struktura demograficzna Opola Lubelskiego wskazuje, że miasto staje przed koniecznością zmierzenia się z tym zjawiskiem. Proces ten powoduje zmianę potrzeb mieszkańców, co wymusza konieczność przedefiniowania np. roli obiektów publicznych tj. szk</w:t>
      </w:r>
      <w:r w:rsidR="009B5566">
        <w:rPr>
          <w:lang w:bidi="en-US"/>
        </w:rPr>
        <w:t>ół</w:t>
      </w:r>
      <w:r w:rsidRPr="0025593D">
        <w:rPr>
          <w:lang w:bidi="en-US"/>
        </w:rPr>
        <w:t>, ośrodk</w:t>
      </w:r>
      <w:r w:rsidR="009B5566">
        <w:rPr>
          <w:lang w:bidi="en-US"/>
        </w:rPr>
        <w:t>ów</w:t>
      </w:r>
      <w:r w:rsidRPr="0025593D">
        <w:rPr>
          <w:lang w:bidi="en-US"/>
        </w:rPr>
        <w:t xml:space="preserve"> kultury, tak by wychodziły naprzeciw nowej grupie użytkowników (Uniwersytet III wieku, Kluby seniora itp.). Przeprowadzone analizy wskazują na bardzo silne wewnętrzne zróżnicowanie grup struktury ekonomicznej ludności. </w:t>
      </w:r>
      <w:r w:rsidR="009B5566">
        <w:rPr>
          <w:lang w:bidi="en-US"/>
        </w:rPr>
        <w:t>Na terenie OSI</w:t>
      </w:r>
      <w:r w:rsidRPr="0025593D">
        <w:rPr>
          <w:lang w:bidi="en-US"/>
        </w:rPr>
        <w:t xml:space="preserve"> występują rejony, w</w:t>
      </w:r>
      <w:r w:rsidR="004B42DB">
        <w:rPr>
          <w:lang w:bidi="en-US"/>
        </w:rPr>
        <w:t> </w:t>
      </w:r>
      <w:r w:rsidRPr="0025593D">
        <w:rPr>
          <w:lang w:bidi="en-US"/>
        </w:rPr>
        <w:t xml:space="preserve">obrębie których odnotowano wysoki odsetek ludności w wieku poprodukcyjnym. Należy </w:t>
      </w:r>
      <w:r w:rsidRPr="0025593D">
        <w:rPr>
          <w:lang w:bidi="en-US"/>
        </w:rPr>
        <w:lastRenderedPageBreak/>
        <w:t xml:space="preserve">zatem zastanowić się jak można to zjawisko ograniczyć oraz jaki będzie mieć wpływ na lokalną gospodarkę. Należy mieć </w:t>
      </w:r>
      <w:r w:rsidR="00C1285D">
        <w:rPr>
          <w:lang w:bidi="en-US"/>
        </w:rPr>
        <w:t xml:space="preserve">też </w:t>
      </w:r>
      <w:r w:rsidRPr="0025593D">
        <w:rPr>
          <w:lang w:bidi="en-US"/>
        </w:rPr>
        <w:t>na uwadze, że zmieniająca się struktura demograficzna będzie negatywnie wpływała na zdolność mieszkańców do ponoszenia nakładów na utrzymanie istniejących zasobów</w:t>
      </w:r>
      <w:r>
        <w:rPr>
          <w:lang w:bidi="en-US"/>
        </w:rPr>
        <w:t xml:space="preserve"> </w:t>
      </w:r>
      <w:r w:rsidRPr="0025593D">
        <w:rPr>
          <w:lang w:bidi="en-US"/>
        </w:rPr>
        <w:t xml:space="preserve">mieszkaniowych. Konieczne jest zatem </w:t>
      </w:r>
      <w:r w:rsidR="009F0051">
        <w:rPr>
          <w:lang w:bidi="en-US"/>
        </w:rPr>
        <w:t>wdrożenie</w:t>
      </w:r>
      <w:r w:rsidRPr="0025593D">
        <w:rPr>
          <w:lang w:bidi="en-US"/>
        </w:rPr>
        <w:t xml:space="preserve"> działań osłonowych, tak by nie doszło do dodatkowych migracji oraz zmiany funkcji istniejących lokali z</w:t>
      </w:r>
      <w:r w:rsidR="004B42DB">
        <w:rPr>
          <w:lang w:bidi="en-US"/>
        </w:rPr>
        <w:t> </w:t>
      </w:r>
      <w:r w:rsidRPr="0025593D">
        <w:rPr>
          <w:lang w:bidi="en-US"/>
        </w:rPr>
        <w:t>mieszkaniowych na usługowe lub biurowe. Szczególnie istotne jest to w centrum Opola Lubelskiego</w:t>
      </w:r>
      <w:r w:rsidR="003807D2">
        <w:rPr>
          <w:lang w:bidi="en-US"/>
        </w:rPr>
        <w:t xml:space="preserve"> (teren OSI)</w:t>
      </w:r>
      <w:r w:rsidRPr="0025593D">
        <w:rPr>
          <w:lang w:bidi="en-US"/>
        </w:rPr>
        <w:t xml:space="preserve">. </w:t>
      </w:r>
    </w:p>
    <w:p w14:paraId="32B27001" w14:textId="4475F9AE" w:rsidR="003807D2" w:rsidRDefault="003807D2" w:rsidP="005A52D4">
      <w:pPr>
        <w:rPr>
          <w:lang w:bidi="en-US"/>
        </w:rPr>
      </w:pPr>
      <w:r>
        <w:rPr>
          <w:lang w:bidi="en-US"/>
        </w:rPr>
        <w:t>G</w:t>
      </w:r>
      <w:r w:rsidR="0025593D" w:rsidRPr="0025593D">
        <w:rPr>
          <w:lang w:bidi="en-US"/>
        </w:rPr>
        <w:t xml:space="preserve">łówne problemy </w:t>
      </w:r>
      <w:r>
        <w:rPr>
          <w:lang w:bidi="en-US"/>
        </w:rPr>
        <w:t>OSI</w:t>
      </w:r>
      <w:r w:rsidR="0025593D" w:rsidRPr="0025593D">
        <w:rPr>
          <w:lang w:bidi="en-US"/>
        </w:rPr>
        <w:t xml:space="preserve">, koncentrują się wokół zagadnień społecznych takich jak problem ubóstwa czy też bezrobocia. </w:t>
      </w:r>
      <w:r>
        <w:rPr>
          <w:lang w:bidi="en-US"/>
        </w:rPr>
        <w:t>Istotnym</w:t>
      </w:r>
      <w:r w:rsidR="0025593D" w:rsidRPr="0025593D">
        <w:rPr>
          <w:lang w:bidi="en-US"/>
        </w:rPr>
        <w:t xml:space="preserve"> wyzwaniem w zakresie rynku pracy jest zmiana struktury wykształcenia osób w wieku produkcyjnym. Dostrzegalna jest bowiem silna korelacja miedzy </w:t>
      </w:r>
      <w:r w:rsidR="0025593D" w:rsidRPr="003807D2">
        <w:rPr>
          <w:lang w:bidi="en-US"/>
        </w:rPr>
        <w:t xml:space="preserve">poziomem wykształcenia, a odsetkiem osób bezrobotnych. </w:t>
      </w:r>
      <w:r w:rsidRPr="003807D2">
        <w:rPr>
          <w:lang w:bidi="en-US"/>
        </w:rPr>
        <w:t>W tym kontekście wskazane jest przedefiniowanie kierunków</w:t>
      </w:r>
      <w:r w:rsidR="0025593D" w:rsidRPr="003807D2">
        <w:rPr>
          <w:lang w:bidi="en-US"/>
        </w:rPr>
        <w:t xml:space="preserve"> kształcenia młodzieży.</w:t>
      </w:r>
      <w:r w:rsidR="0025593D" w:rsidRPr="0025593D">
        <w:rPr>
          <w:lang w:bidi="en-US"/>
        </w:rPr>
        <w:t xml:space="preserve"> </w:t>
      </w:r>
    </w:p>
    <w:p w14:paraId="47088136" w14:textId="2D39806E" w:rsidR="003807D2" w:rsidRDefault="003807D2" w:rsidP="005A52D4">
      <w:pPr>
        <w:rPr>
          <w:lang w:bidi="en-US"/>
        </w:rPr>
      </w:pPr>
      <w:r>
        <w:rPr>
          <w:lang w:bidi="en-US"/>
        </w:rPr>
        <w:t>P</w:t>
      </w:r>
      <w:r w:rsidR="0025593D" w:rsidRPr="0025593D">
        <w:rPr>
          <w:lang w:bidi="en-US"/>
        </w:rPr>
        <w:t xml:space="preserve">roblemem </w:t>
      </w:r>
      <w:r>
        <w:rPr>
          <w:lang w:bidi="en-US"/>
        </w:rPr>
        <w:t>OSI</w:t>
      </w:r>
      <w:r w:rsidR="0025593D" w:rsidRPr="0025593D">
        <w:rPr>
          <w:lang w:bidi="en-US"/>
        </w:rPr>
        <w:t xml:space="preserve"> są </w:t>
      </w:r>
      <w:r>
        <w:rPr>
          <w:lang w:bidi="en-US"/>
        </w:rPr>
        <w:t xml:space="preserve">również </w:t>
      </w:r>
      <w:r w:rsidR="0025593D" w:rsidRPr="0025593D">
        <w:rPr>
          <w:lang w:bidi="en-US"/>
        </w:rPr>
        <w:t>wysokie wskaźniki przestępczości. Konieczne jest zatem wypracowanie razem z policją mechanizmów, które znacząco ograniczą liczbę przestępstw i</w:t>
      </w:r>
      <w:r w:rsidR="004B42DB">
        <w:rPr>
          <w:lang w:bidi="en-US"/>
        </w:rPr>
        <w:t> </w:t>
      </w:r>
      <w:r w:rsidR="0025593D" w:rsidRPr="0025593D">
        <w:rPr>
          <w:lang w:bidi="en-US"/>
        </w:rPr>
        <w:t xml:space="preserve">wykroczeń w tej części miasta. Kwestie te powinny stać się przedmiotem dyskusji w trakcie </w:t>
      </w:r>
      <w:r>
        <w:rPr>
          <w:lang w:bidi="en-US"/>
        </w:rPr>
        <w:t>planowania i prowadzenia działań zapobiegawczych</w:t>
      </w:r>
      <w:r w:rsidR="0025593D" w:rsidRPr="0025593D">
        <w:rPr>
          <w:lang w:bidi="en-US"/>
        </w:rPr>
        <w:t xml:space="preserve">. </w:t>
      </w:r>
      <w:r>
        <w:rPr>
          <w:lang w:bidi="en-US"/>
        </w:rPr>
        <w:t>J</w:t>
      </w:r>
      <w:r w:rsidR="0025593D" w:rsidRPr="0025593D">
        <w:rPr>
          <w:lang w:bidi="en-US"/>
        </w:rPr>
        <w:t xml:space="preserve">ednym z kluczowych wyzwań </w:t>
      </w:r>
      <w:r>
        <w:rPr>
          <w:lang w:bidi="en-US"/>
        </w:rPr>
        <w:t xml:space="preserve">pozostaje też </w:t>
      </w:r>
      <w:r w:rsidR="0025593D" w:rsidRPr="0025593D">
        <w:rPr>
          <w:lang w:bidi="en-US"/>
        </w:rPr>
        <w:t xml:space="preserve">opracowanie dobrej polityki dostępu do </w:t>
      </w:r>
      <w:r w:rsidR="0025593D" w:rsidRPr="003807D2">
        <w:rPr>
          <w:lang w:bidi="en-US"/>
        </w:rPr>
        <w:t>usług</w:t>
      </w:r>
      <w:r>
        <w:rPr>
          <w:lang w:bidi="en-US"/>
        </w:rPr>
        <w:t>,</w:t>
      </w:r>
      <w:r w:rsidR="0025593D" w:rsidRPr="003807D2">
        <w:rPr>
          <w:lang w:bidi="en-US"/>
        </w:rPr>
        <w:t xml:space="preserve"> </w:t>
      </w:r>
      <w:r w:rsidRPr="003807D2">
        <w:rPr>
          <w:lang w:bidi="en-US"/>
        </w:rPr>
        <w:t>prowadzącej</w:t>
      </w:r>
      <w:r w:rsidR="0025593D" w:rsidRPr="003807D2">
        <w:rPr>
          <w:lang w:bidi="en-US"/>
        </w:rPr>
        <w:t xml:space="preserve"> </w:t>
      </w:r>
      <w:r>
        <w:rPr>
          <w:lang w:bidi="en-US"/>
        </w:rPr>
        <w:t xml:space="preserve">do </w:t>
      </w:r>
      <w:r w:rsidR="0025593D" w:rsidRPr="003807D2">
        <w:rPr>
          <w:lang w:bidi="en-US"/>
        </w:rPr>
        <w:t>osłabi</w:t>
      </w:r>
      <w:r w:rsidRPr="003807D2">
        <w:rPr>
          <w:lang w:bidi="en-US"/>
        </w:rPr>
        <w:t>enia</w:t>
      </w:r>
      <w:r w:rsidR="0025593D" w:rsidRPr="003807D2">
        <w:rPr>
          <w:lang w:bidi="en-US"/>
        </w:rPr>
        <w:t xml:space="preserve"> lub</w:t>
      </w:r>
      <w:r w:rsidR="0025593D" w:rsidRPr="0025593D">
        <w:rPr>
          <w:lang w:bidi="en-US"/>
        </w:rPr>
        <w:t xml:space="preserve"> zniwelowane istniejąc</w:t>
      </w:r>
      <w:r>
        <w:rPr>
          <w:lang w:bidi="en-US"/>
        </w:rPr>
        <w:t>ych</w:t>
      </w:r>
      <w:r w:rsidR="0025593D" w:rsidRPr="0025593D">
        <w:rPr>
          <w:lang w:bidi="en-US"/>
        </w:rPr>
        <w:t xml:space="preserve"> w strukturze przestrzennej </w:t>
      </w:r>
      <w:r>
        <w:rPr>
          <w:lang w:bidi="en-US"/>
        </w:rPr>
        <w:t>OSI</w:t>
      </w:r>
      <w:r w:rsidR="0025593D" w:rsidRPr="0025593D">
        <w:rPr>
          <w:lang w:bidi="en-US"/>
        </w:rPr>
        <w:t xml:space="preserve"> barier </w:t>
      </w:r>
      <w:r w:rsidR="00C1285D">
        <w:rPr>
          <w:lang w:bidi="en-US"/>
        </w:rPr>
        <w:t>związanych z dostępnością dla osób ze szczególnymi potrzebami</w:t>
      </w:r>
      <w:r w:rsidR="0025593D" w:rsidRPr="0025593D">
        <w:rPr>
          <w:lang w:bidi="en-US"/>
        </w:rPr>
        <w:t xml:space="preserve">. </w:t>
      </w:r>
    </w:p>
    <w:p w14:paraId="79EF2767" w14:textId="0A12D5C7" w:rsidR="0025593D" w:rsidRDefault="0025593D" w:rsidP="009D211B">
      <w:pPr>
        <w:spacing w:after="240"/>
        <w:rPr>
          <w:lang w:bidi="en-US"/>
        </w:rPr>
      </w:pPr>
      <w:r w:rsidRPr="0025593D">
        <w:rPr>
          <w:lang w:bidi="en-US"/>
        </w:rPr>
        <w:t xml:space="preserve">Podsumowując w </w:t>
      </w:r>
      <w:r w:rsidR="003807D2">
        <w:rPr>
          <w:lang w:bidi="en-US"/>
        </w:rPr>
        <w:t xml:space="preserve">ramach działań prowadzonych na terenie OSI </w:t>
      </w:r>
      <w:r w:rsidRPr="0025593D">
        <w:rPr>
          <w:lang w:bidi="en-US"/>
        </w:rPr>
        <w:t>należy położyć nacisk zarówno na poszukiwanie rozwiązań dla problemów</w:t>
      </w:r>
      <w:r w:rsidR="003807D2" w:rsidRPr="003807D2">
        <w:rPr>
          <w:lang w:bidi="en-US"/>
        </w:rPr>
        <w:t xml:space="preserve"> </w:t>
      </w:r>
      <w:r w:rsidR="003807D2" w:rsidRPr="0025593D">
        <w:rPr>
          <w:lang w:bidi="en-US"/>
        </w:rPr>
        <w:t>zidentyfikowanych</w:t>
      </w:r>
      <w:r w:rsidR="003807D2">
        <w:rPr>
          <w:lang w:bidi="en-US"/>
        </w:rPr>
        <w:t xml:space="preserve"> w GPR</w:t>
      </w:r>
      <w:r w:rsidRPr="0025593D">
        <w:rPr>
          <w:lang w:bidi="en-US"/>
        </w:rPr>
        <w:t xml:space="preserve">, </w:t>
      </w:r>
      <w:r w:rsidR="003807D2">
        <w:rPr>
          <w:lang w:bidi="en-US"/>
        </w:rPr>
        <w:t>jak też</w:t>
      </w:r>
      <w:r w:rsidRPr="0025593D">
        <w:rPr>
          <w:lang w:bidi="en-US"/>
        </w:rPr>
        <w:t xml:space="preserve"> poszukiwanie lokalnych potencjałów </w:t>
      </w:r>
      <w:r w:rsidR="00C21B46">
        <w:rPr>
          <w:lang w:bidi="en-US"/>
        </w:rPr>
        <w:t xml:space="preserve">wynikających ze Strategii, </w:t>
      </w:r>
      <w:r w:rsidRPr="0025593D">
        <w:rPr>
          <w:lang w:bidi="en-US"/>
        </w:rPr>
        <w:t xml:space="preserve">występujących na wyznaczonym obszarze, które mogą stać się motorem rozwoju dla </w:t>
      </w:r>
      <w:r w:rsidR="003807D2">
        <w:rPr>
          <w:lang w:bidi="en-US"/>
        </w:rPr>
        <w:t xml:space="preserve">centrum </w:t>
      </w:r>
      <w:r w:rsidRPr="0025593D">
        <w:rPr>
          <w:lang w:bidi="en-US"/>
        </w:rPr>
        <w:t>miasta</w:t>
      </w:r>
      <w:r w:rsidR="003807D2">
        <w:rPr>
          <w:lang w:bidi="en-US"/>
        </w:rPr>
        <w:t>.</w:t>
      </w:r>
    </w:p>
    <w:p w14:paraId="152239D5" w14:textId="5D1169E2" w:rsidR="009D211B" w:rsidRDefault="009D211B" w:rsidP="009D211B">
      <w:pPr>
        <w:pStyle w:val="Nagwek2"/>
      </w:pPr>
      <w:bookmarkStart w:id="205" w:name="_Toc191908805"/>
      <w:r>
        <w:t>10.4 Zagadnienia dotyczące gospodarki wodnej</w:t>
      </w:r>
      <w:bookmarkEnd w:id="205"/>
    </w:p>
    <w:p w14:paraId="1EB9E0E4" w14:textId="297923D3" w:rsidR="002A30F6" w:rsidRDefault="002A30F6" w:rsidP="00C74EF2">
      <w:pPr>
        <w:rPr>
          <w:lang w:bidi="en-US"/>
        </w:rPr>
      </w:pPr>
      <w:r>
        <w:rPr>
          <w:lang w:bidi="en-US"/>
        </w:rPr>
        <w:t xml:space="preserve">Zgodnie z art. 326 ust. 1 ustawy Prawo Wodne </w:t>
      </w:r>
      <w:r w:rsidRPr="002A30F6">
        <w:rPr>
          <w:lang w:bidi="en-US"/>
        </w:rPr>
        <w:t>(Dz. U. z 2023 r. poz. 1478, z późn. zm.)</w:t>
      </w:r>
      <w:r>
        <w:rPr>
          <w:lang w:bidi="en-US"/>
        </w:rPr>
        <w:t xml:space="preserve"> w</w:t>
      </w:r>
      <w:r w:rsidR="004B42DB">
        <w:rPr>
          <w:lang w:bidi="en-US"/>
        </w:rPr>
        <w:t> </w:t>
      </w:r>
      <w:r w:rsidR="00AB0438">
        <w:rPr>
          <w:lang w:bidi="en-US"/>
        </w:rPr>
        <w:t xml:space="preserve"> </w:t>
      </w:r>
      <w:r>
        <w:rPr>
          <w:lang w:bidi="en-US"/>
        </w:rPr>
        <w:t>opracowaniu Strategii uwzględniono uwarunkowania i ustalenia dokumentów planistycznych, o których mowa w art. 315 pkt 1-3</w:t>
      </w:r>
      <w:r w:rsidR="00AB0438">
        <w:rPr>
          <w:lang w:bidi="en-US"/>
        </w:rPr>
        <w:t xml:space="preserve"> ww. ustawy, </w:t>
      </w:r>
      <w:r>
        <w:rPr>
          <w:lang w:bidi="en-US"/>
        </w:rPr>
        <w:t>tj.: planów zarządzania ryzykiem powodziowym oraz planów przeciwdziałania skutkom suszy.</w:t>
      </w:r>
    </w:p>
    <w:p w14:paraId="34CDECD6" w14:textId="4E4EC661" w:rsidR="006E0ABB" w:rsidRDefault="006E0ABB" w:rsidP="006E0ABB">
      <w:pPr>
        <w:spacing w:after="0"/>
        <w:rPr>
          <w:lang w:bidi="en-US"/>
        </w:rPr>
      </w:pPr>
      <w:r>
        <w:rPr>
          <w:lang w:bidi="en-US"/>
        </w:rPr>
        <w:t>W procesie określania szczegółowego zakresu przedsięwzięć strategicznych planowanych do realizacji w ramach Strategii uwzględnione zostaną aspekty dotyczące ochrony wód przed zanieczyszczeniami pochodzącymi ze źródeł rolniczych, poprzez wdrożenie i przestrzeganie zasad Dobrej Praktyki Rolniczej, np. nawożenie, składowanie nawozów i kiszonek w pobliżu cieków.</w:t>
      </w:r>
    </w:p>
    <w:p w14:paraId="64D3DF60" w14:textId="11EAF2F5" w:rsidR="00C74EF2" w:rsidRDefault="006E0ABB" w:rsidP="006E0ABB">
      <w:pPr>
        <w:spacing w:after="0"/>
        <w:rPr>
          <w:lang w:bidi="en-US"/>
        </w:rPr>
      </w:pPr>
      <w:r>
        <w:rPr>
          <w:lang w:bidi="en-US"/>
        </w:rPr>
        <w:t xml:space="preserve">W ramach planowania </w:t>
      </w:r>
      <w:r w:rsidR="00C74EF2">
        <w:rPr>
          <w:lang w:bidi="en-US"/>
        </w:rPr>
        <w:t xml:space="preserve">i realizacji </w:t>
      </w:r>
      <w:r>
        <w:rPr>
          <w:lang w:bidi="en-US"/>
        </w:rPr>
        <w:t>ww. przedsięwzięć uwzględnione zostaną również te aspekty projektów</w:t>
      </w:r>
      <w:r w:rsidR="001A3BC1">
        <w:rPr>
          <w:lang w:bidi="en-US"/>
        </w:rPr>
        <w:t>,</w:t>
      </w:r>
      <w:r>
        <w:rPr>
          <w:lang w:bidi="en-US"/>
        </w:rPr>
        <w:t xml:space="preserve"> które prowadzą do zwiększenia retencji wodnej na terenach rolniczych, leśnych i</w:t>
      </w:r>
      <w:r w:rsidR="004B42DB">
        <w:rPr>
          <w:lang w:bidi="en-US"/>
        </w:rPr>
        <w:t> </w:t>
      </w:r>
      <w:r>
        <w:rPr>
          <w:lang w:bidi="en-US"/>
        </w:rPr>
        <w:t xml:space="preserve">zurbanizowanych poprzez: prawidłowe użytkowanie rolnicze gleb, prowadzenie prac przeciwerozyjnych, tworzenie stref buforowych wzdłuż cieków, ochronę i odtwarzanie oczek wodnych i mokradeł, retencjonowanie wody w już istniejących zbiornikach i rowach oraz zachęcanie do wykonywania nowych zbiorników wodnych. </w:t>
      </w:r>
    </w:p>
    <w:p w14:paraId="65CBD7BC" w14:textId="5C939390" w:rsidR="002A30F6" w:rsidRDefault="00C74EF2" w:rsidP="00C74EF2">
      <w:pPr>
        <w:rPr>
          <w:lang w:bidi="en-US"/>
        </w:rPr>
      </w:pPr>
      <w:r>
        <w:rPr>
          <w:lang w:bidi="en-US"/>
        </w:rPr>
        <w:t>Jednocześnie uwzględnienie</w:t>
      </w:r>
      <w:r w:rsidR="006E0ABB">
        <w:rPr>
          <w:lang w:bidi="en-US"/>
        </w:rPr>
        <w:t xml:space="preserve"> </w:t>
      </w:r>
      <w:r>
        <w:rPr>
          <w:lang w:bidi="en-US"/>
        </w:rPr>
        <w:t>powyższych</w:t>
      </w:r>
      <w:r w:rsidR="006E0ABB">
        <w:rPr>
          <w:lang w:bidi="en-US"/>
        </w:rPr>
        <w:t xml:space="preserve"> działań możliwe </w:t>
      </w:r>
      <w:r>
        <w:rPr>
          <w:lang w:bidi="en-US"/>
        </w:rPr>
        <w:t>będzie poprzez</w:t>
      </w:r>
      <w:r w:rsidR="006E0ABB">
        <w:rPr>
          <w:lang w:bidi="en-US"/>
        </w:rPr>
        <w:t xml:space="preserve"> wprowadzanie odpowiednich zapisów w dokumentach planistycznych</w:t>
      </w:r>
      <w:r>
        <w:rPr>
          <w:lang w:bidi="en-US"/>
        </w:rPr>
        <w:t xml:space="preserve"> gminy.</w:t>
      </w:r>
    </w:p>
    <w:p w14:paraId="4EF2A980" w14:textId="77777777" w:rsidR="007170C0" w:rsidRDefault="001101A0" w:rsidP="007170C0">
      <w:pPr>
        <w:spacing w:after="0"/>
        <w:rPr>
          <w:lang w:bidi="en-US"/>
        </w:rPr>
      </w:pPr>
      <w:r>
        <w:rPr>
          <w:lang w:bidi="en-US"/>
        </w:rPr>
        <w:lastRenderedPageBreak/>
        <w:t xml:space="preserve">Zarówno w pracach związanych z opracowaniem diagnozy sytuacji społecznej, gospodarczej i przestrzennej gminy Opole Lubelskie, jak również w trakcie prac nad częścią prospektywną dokumentu Strategii uwzględniono lokalizację gminy w zasięgu zlewni jednolitych części wód:  </w:t>
      </w:r>
    </w:p>
    <w:p w14:paraId="03B9AFB5" w14:textId="63E61063" w:rsidR="001101A0" w:rsidRDefault="001101A0" w:rsidP="007170C0">
      <w:pPr>
        <w:rPr>
          <w:lang w:bidi="en-US"/>
        </w:rPr>
      </w:pPr>
      <w:r>
        <w:rPr>
          <w:lang w:bidi="en-US"/>
        </w:rPr>
        <w:t>Jednolit</w:t>
      </w:r>
      <w:r w:rsidR="007170C0">
        <w:rPr>
          <w:lang w:bidi="en-US"/>
        </w:rPr>
        <w:t>ych</w:t>
      </w:r>
      <w:r>
        <w:rPr>
          <w:lang w:bidi="en-US"/>
        </w:rPr>
        <w:t xml:space="preserve"> Części Wód Powierzchniowych (JCWP):</w:t>
      </w:r>
      <w:r w:rsidR="007170C0">
        <w:rPr>
          <w:lang w:bidi="en-US"/>
        </w:rPr>
        <w:t xml:space="preserve"> </w:t>
      </w:r>
      <w:r>
        <w:rPr>
          <w:lang w:bidi="en-US"/>
        </w:rPr>
        <w:t>RW2000122399 (Wisła od Sanny do Wieprza),</w:t>
      </w:r>
      <w:r w:rsidR="007170C0">
        <w:rPr>
          <w:lang w:bidi="en-US"/>
        </w:rPr>
        <w:t xml:space="preserve"> </w:t>
      </w:r>
      <w:r>
        <w:rPr>
          <w:lang w:bidi="en-US"/>
        </w:rPr>
        <w:t>RW20000623749 (Chodelka),</w:t>
      </w:r>
      <w:r w:rsidR="007170C0">
        <w:rPr>
          <w:lang w:bidi="en-US"/>
        </w:rPr>
        <w:t xml:space="preserve"> </w:t>
      </w:r>
      <w:r>
        <w:rPr>
          <w:lang w:bidi="en-US"/>
        </w:rPr>
        <w:t>RW20000623369 (Wyżnica),</w:t>
      </w:r>
      <w:r w:rsidR="007170C0">
        <w:rPr>
          <w:lang w:bidi="en-US"/>
        </w:rPr>
        <w:t xml:space="preserve"> </w:t>
      </w:r>
      <w:r>
        <w:rPr>
          <w:lang w:bidi="en-US"/>
        </w:rPr>
        <w:t>RW2000062338</w:t>
      </w:r>
      <w:r w:rsidR="007170C0">
        <w:rPr>
          <w:lang w:bidi="en-US"/>
        </w:rPr>
        <w:t xml:space="preserve"> </w:t>
      </w:r>
      <w:r>
        <w:rPr>
          <w:lang w:bidi="en-US"/>
        </w:rPr>
        <w:t>(Wrzelowianka)</w:t>
      </w:r>
      <w:r w:rsidR="007170C0">
        <w:rPr>
          <w:lang w:bidi="en-US"/>
        </w:rPr>
        <w:t xml:space="preserve"> oraz </w:t>
      </w:r>
      <w:r>
        <w:rPr>
          <w:lang w:bidi="en-US"/>
        </w:rPr>
        <w:t>Jednolit</w:t>
      </w:r>
      <w:r w:rsidR="007170C0">
        <w:rPr>
          <w:lang w:bidi="en-US"/>
        </w:rPr>
        <w:t>ych</w:t>
      </w:r>
      <w:r>
        <w:rPr>
          <w:lang w:bidi="en-US"/>
        </w:rPr>
        <w:t xml:space="preserve"> Części Wód Podziemnych (JCWPd):</w:t>
      </w:r>
      <w:r w:rsidR="007170C0">
        <w:rPr>
          <w:lang w:bidi="en-US"/>
        </w:rPr>
        <w:t xml:space="preserve"> </w:t>
      </w:r>
      <w:r>
        <w:rPr>
          <w:lang w:bidi="en-US"/>
        </w:rPr>
        <w:t>GW200088</w:t>
      </w:r>
      <w:r w:rsidR="007170C0">
        <w:rPr>
          <w:lang w:bidi="en-US"/>
        </w:rPr>
        <w:t>.</w:t>
      </w:r>
    </w:p>
    <w:p w14:paraId="5D553141" w14:textId="75DBBD64" w:rsidR="00AC5955" w:rsidRDefault="00C36CB0" w:rsidP="00347474">
      <w:pPr>
        <w:spacing w:after="0"/>
        <w:rPr>
          <w:lang w:bidi="en-US"/>
        </w:rPr>
      </w:pPr>
      <w:r>
        <w:rPr>
          <w:lang w:bidi="en-US"/>
        </w:rPr>
        <w:t>W treści Strategii uwzględniono zapisy dotyczące występowania obszarów szczególnego zagrożenia powodzią. Należy podkreślić, że</w:t>
      </w:r>
      <w:r w:rsidR="00347474">
        <w:rPr>
          <w:lang w:bidi="en-US"/>
        </w:rPr>
        <w:t xml:space="preserve"> n</w:t>
      </w:r>
      <w:r w:rsidR="00347474" w:rsidRPr="00347474">
        <w:rPr>
          <w:lang w:bidi="en-US"/>
        </w:rPr>
        <w:t>a podstawie map zagrożenia powodziowego o godłach arkuszy: M-34-32-B-d-4, M-34-33-A-C-3,</w:t>
      </w:r>
      <w:r w:rsidR="00347474">
        <w:rPr>
          <w:lang w:bidi="en-US"/>
        </w:rPr>
        <w:t xml:space="preserve"> </w:t>
      </w:r>
      <w:r w:rsidR="00347474" w:rsidRPr="00347474">
        <w:rPr>
          <w:lang w:bidi="en-US"/>
        </w:rPr>
        <w:t>M-34-32-D-b-2, M-34-33-C-a</w:t>
      </w:r>
      <w:r w:rsidR="00AC5955">
        <w:rPr>
          <w:lang w:bidi="en-US"/>
        </w:rPr>
        <w:t xml:space="preserve">-1, </w:t>
      </w:r>
      <w:r w:rsidR="00347474" w:rsidRPr="00347474">
        <w:rPr>
          <w:lang w:bidi="en-US"/>
        </w:rPr>
        <w:t>M-34-33-C-a-2, M-34-33-C-a-4 udostępnionych do publicznej</w:t>
      </w:r>
      <w:r w:rsidR="00AB0438">
        <w:rPr>
          <w:lang w:bidi="en-US"/>
        </w:rPr>
        <w:t xml:space="preserve"> </w:t>
      </w:r>
      <w:r w:rsidR="00347474" w:rsidRPr="00347474">
        <w:rPr>
          <w:lang w:bidi="en-US"/>
        </w:rPr>
        <w:t>wiadomości na Biuletynie Informacji Publicznej Ministerstwa Infrastruktury w dniu 7 września 2022</w:t>
      </w:r>
      <w:r w:rsidR="00AC5955">
        <w:rPr>
          <w:lang w:bidi="en-US"/>
        </w:rPr>
        <w:t xml:space="preserve"> </w:t>
      </w:r>
      <w:r w:rsidR="00347474" w:rsidRPr="00347474">
        <w:rPr>
          <w:lang w:bidi="en-US"/>
        </w:rPr>
        <w:t xml:space="preserve">r. </w:t>
      </w:r>
      <w:r w:rsidR="00AC5955">
        <w:rPr>
          <w:lang w:bidi="en-US"/>
        </w:rPr>
        <w:t>obszar gminy Opole Lubelskie</w:t>
      </w:r>
      <w:r w:rsidR="00347474" w:rsidRPr="00347474">
        <w:rPr>
          <w:lang w:bidi="en-US"/>
        </w:rPr>
        <w:t xml:space="preserve"> znajduje się w zasięgu występowania obszarów szczególnego</w:t>
      </w:r>
      <w:r w:rsidR="00AC5955">
        <w:rPr>
          <w:lang w:bidi="en-US"/>
        </w:rPr>
        <w:t xml:space="preserve"> </w:t>
      </w:r>
      <w:r w:rsidR="00347474" w:rsidRPr="00347474">
        <w:rPr>
          <w:lang w:bidi="en-US"/>
        </w:rPr>
        <w:t>zagrożenia powodzią</w:t>
      </w:r>
      <w:r w:rsidR="00AC5955">
        <w:rPr>
          <w:lang w:bidi="en-US"/>
        </w:rPr>
        <w:t xml:space="preserve"> </w:t>
      </w:r>
      <w:r w:rsidR="00347474" w:rsidRPr="00347474">
        <w:rPr>
          <w:lang w:bidi="en-US"/>
        </w:rPr>
        <w:t>dla zalewu wodą Q</w:t>
      </w:r>
      <w:r w:rsidR="00AC5955">
        <w:rPr>
          <w:lang w:bidi="en-US"/>
        </w:rPr>
        <w:t>1</w:t>
      </w:r>
      <w:r w:rsidR="00347474" w:rsidRPr="00347474">
        <w:rPr>
          <w:lang w:bidi="en-US"/>
        </w:rPr>
        <w:t>% oraz dla zalewu wodą Q10% od rzeki Poniatówki oraz rzeki</w:t>
      </w:r>
      <w:r w:rsidR="00AC5955">
        <w:rPr>
          <w:lang w:bidi="en-US"/>
        </w:rPr>
        <w:t xml:space="preserve"> </w:t>
      </w:r>
      <w:r w:rsidR="00347474" w:rsidRPr="00347474">
        <w:rPr>
          <w:lang w:bidi="en-US"/>
        </w:rPr>
        <w:t>Chodelki.</w:t>
      </w:r>
    </w:p>
    <w:p w14:paraId="3629DF71" w14:textId="58770738" w:rsidR="00AC5955" w:rsidRDefault="00347474" w:rsidP="00347474">
      <w:pPr>
        <w:spacing w:after="0"/>
        <w:rPr>
          <w:lang w:bidi="en-US"/>
        </w:rPr>
      </w:pPr>
      <w:r w:rsidRPr="00347474">
        <w:rPr>
          <w:lang w:bidi="en-US"/>
        </w:rPr>
        <w:t xml:space="preserve">Obszary szczególnego zagrożenia powodzią zostały zdefiniowane w </w:t>
      </w:r>
      <w:r w:rsidR="000F4D82">
        <w:rPr>
          <w:lang w:bidi="en-US"/>
        </w:rPr>
        <w:t>art</w:t>
      </w:r>
      <w:r w:rsidRPr="00347474">
        <w:rPr>
          <w:lang w:bidi="en-US"/>
        </w:rPr>
        <w:t xml:space="preserve">. 16 ust. </w:t>
      </w:r>
      <w:r w:rsidR="000F4D82" w:rsidRPr="00347474">
        <w:rPr>
          <w:lang w:bidi="en-US"/>
        </w:rPr>
        <w:t>P</w:t>
      </w:r>
      <w:r w:rsidRPr="00347474">
        <w:rPr>
          <w:lang w:bidi="en-US"/>
        </w:rPr>
        <w:t>kt. 34 ustawy Prawo</w:t>
      </w:r>
      <w:r w:rsidR="00AC5955">
        <w:rPr>
          <w:lang w:bidi="en-US"/>
        </w:rPr>
        <w:t xml:space="preserve"> </w:t>
      </w:r>
      <w:r w:rsidRPr="00347474">
        <w:rPr>
          <w:lang w:bidi="en-US"/>
        </w:rPr>
        <w:t>wodne (Dz. U. z 2024 r. poz. 1087 t.j.).</w:t>
      </w:r>
      <w:r w:rsidR="00AC5955">
        <w:rPr>
          <w:lang w:bidi="en-US"/>
        </w:rPr>
        <w:t xml:space="preserve"> </w:t>
      </w:r>
      <w:r w:rsidRPr="00347474">
        <w:rPr>
          <w:lang w:bidi="en-US"/>
        </w:rPr>
        <w:t>Zgodnie z tymi definicjami, za obszary szczególnego zagrożenia</w:t>
      </w:r>
      <w:r w:rsidR="00AC5955">
        <w:rPr>
          <w:lang w:bidi="en-US"/>
        </w:rPr>
        <w:t xml:space="preserve"> </w:t>
      </w:r>
      <w:r w:rsidRPr="00347474">
        <w:rPr>
          <w:lang w:bidi="en-US"/>
        </w:rPr>
        <w:t>powodzią uważa się:</w:t>
      </w:r>
    </w:p>
    <w:p w14:paraId="605B65ED" w14:textId="2E5D47F4" w:rsidR="00AC5955" w:rsidRDefault="00347474">
      <w:pPr>
        <w:pStyle w:val="Akapitzlist"/>
        <w:numPr>
          <w:ilvl w:val="1"/>
          <w:numId w:val="106"/>
        </w:numPr>
        <w:spacing w:after="0"/>
        <w:ind w:left="284" w:hanging="284"/>
        <w:rPr>
          <w:lang w:bidi="en-US"/>
        </w:rPr>
      </w:pPr>
      <w:r w:rsidRPr="00347474">
        <w:rPr>
          <w:lang w:bidi="en-US"/>
        </w:rPr>
        <w:t>obszary, na których prawdopodobieństwo wystąpienia powodzi jest średnie i wynosi raz na</w:t>
      </w:r>
      <w:r w:rsidRPr="00347474">
        <w:rPr>
          <w:lang w:bidi="en-US"/>
        </w:rPr>
        <w:br/>
        <w:t>100 lat,</w:t>
      </w:r>
    </w:p>
    <w:p w14:paraId="713504AA" w14:textId="3BAD487F" w:rsidR="00AC5955" w:rsidRDefault="00347474">
      <w:pPr>
        <w:pStyle w:val="Akapitzlist"/>
        <w:numPr>
          <w:ilvl w:val="1"/>
          <w:numId w:val="106"/>
        </w:numPr>
        <w:spacing w:after="0"/>
        <w:ind w:left="284" w:hanging="284"/>
        <w:rPr>
          <w:lang w:bidi="en-US"/>
        </w:rPr>
      </w:pPr>
      <w:r w:rsidRPr="00347474">
        <w:rPr>
          <w:lang w:bidi="en-US"/>
        </w:rPr>
        <w:t>obszary, na których prawdopodobieństwo wystąpienia powodzi jest wysokie i wynosi raz na</w:t>
      </w:r>
      <w:r w:rsidR="00AC5955">
        <w:rPr>
          <w:lang w:bidi="en-US"/>
        </w:rPr>
        <w:t xml:space="preserve"> </w:t>
      </w:r>
      <w:r w:rsidRPr="00347474">
        <w:rPr>
          <w:lang w:bidi="en-US"/>
        </w:rPr>
        <w:t>10 lat,</w:t>
      </w:r>
    </w:p>
    <w:p w14:paraId="298FC806" w14:textId="67975158" w:rsidR="00AC5955" w:rsidRDefault="00347474">
      <w:pPr>
        <w:pStyle w:val="Akapitzlist"/>
        <w:numPr>
          <w:ilvl w:val="1"/>
          <w:numId w:val="106"/>
        </w:numPr>
        <w:spacing w:after="0"/>
        <w:ind w:left="284" w:hanging="284"/>
        <w:rPr>
          <w:lang w:bidi="en-US"/>
        </w:rPr>
      </w:pPr>
      <w:r w:rsidRPr="00347474">
        <w:rPr>
          <w:lang w:bidi="en-US"/>
        </w:rPr>
        <w:t>obszary między linią brzegu a wałem przeciwpowodziowym lub naturalnym wysokim</w:t>
      </w:r>
      <w:r w:rsidRPr="00347474">
        <w:rPr>
          <w:lang w:bidi="en-US"/>
        </w:rPr>
        <w:br/>
        <w:t>brzegiem,</w:t>
      </w:r>
      <w:r w:rsidR="00AC5955">
        <w:rPr>
          <w:lang w:bidi="en-US"/>
        </w:rPr>
        <w:t xml:space="preserve"> </w:t>
      </w:r>
      <w:r w:rsidRPr="00347474">
        <w:rPr>
          <w:lang w:bidi="en-US"/>
        </w:rPr>
        <w:t>w który wbudowano wał przeciwpowodziowy, a także wyspy i przymuliska, o</w:t>
      </w:r>
      <w:r w:rsidR="004B42DB">
        <w:rPr>
          <w:lang w:bidi="en-US"/>
        </w:rPr>
        <w:t> </w:t>
      </w:r>
      <w:r w:rsidRPr="00347474">
        <w:rPr>
          <w:lang w:bidi="en-US"/>
        </w:rPr>
        <w:t>których mowa</w:t>
      </w:r>
      <w:r w:rsidR="00AC5955">
        <w:rPr>
          <w:lang w:bidi="en-US"/>
        </w:rPr>
        <w:t xml:space="preserve"> </w:t>
      </w:r>
      <w:r w:rsidRPr="00347474">
        <w:rPr>
          <w:lang w:bidi="en-US"/>
        </w:rPr>
        <w:t xml:space="preserve">w </w:t>
      </w:r>
      <w:r w:rsidR="000F4D82">
        <w:rPr>
          <w:lang w:bidi="en-US"/>
        </w:rPr>
        <w:t>art</w:t>
      </w:r>
      <w:r w:rsidRPr="00347474">
        <w:rPr>
          <w:lang w:bidi="en-US"/>
        </w:rPr>
        <w:t>. 224, stanowiące działki ewidencyjne,</w:t>
      </w:r>
      <w:r w:rsidR="00AC5955">
        <w:rPr>
          <w:lang w:bidi="en-US"/>
        </w:rPr>
        <w:t xml:space="preserve"> </w:t>
      </w:r>
    </w:p>
    <w:p w14:paraId="73931855" w14:textId="38D3D254" w:rsidR="00347474" w:rsidRDefault="00347474">
      <w:pPr>
        <w:pStyle w:val="Akapitzlist"/>
        <w:numPr>
          <w:ilvl w:val="1"/>
          <w:numId w:val="106"/>
        </w:numPr>
        <w:ind w:left="284" w:hanging="284"/>
        <w:contextualSpacing w:val="0"/>
        <w:rPr>
          <w:lang w:bidi="en-US"/>
        </w:rPr>
      </w:pPr>
      <w:r w:rsidRPr="00347474">
        <w:rPr>
          <w:lang w:bidi="en-US"/>
        </w:rPr>
        <w:t>pas techniczny.</w:t>
      </w:r>
    </w:p>
    <w:p w14:paraId="418D9C28" w14:textId="46DA916F" w:rsidR="000F4D82" w:rsidRDefault="000F4D82" w:rsidP="000F4D82">
      <w:pPr>
        <w:rPr>
          <w:lang w:bidi="en-US"/>
        </w:rPr>
      </w:pPr>
      <w:r>
        <w:rPr>
          <w:lang w:bidi="en-US"/>
        </w:rPr>
        <w:t>Tereny znajdujące się w ramach obszarów szczególnego zagrożenia powodzią podlegają określonemu zagospodarowaniu, gdzie zgodnie z art. 166 pkt. 10 ustawy Prawo wodne, planowane zagospodarowanie nie może m.in. naruszać ustaleń planu zarządzania ryzykiem powodziowym czy stanowić zagrożenia dla ochrony zdrowia ludzi czy środowiska oraz utrudniać zarządzanie ryzykiem powodziowym. Ponadto w Rozporządzeniu Ministra Infrastruktury z dnia 18 października 2022 r. w sprawie przyjęcia Planu zarządzania ryzykiem powodziowym dla obszaru dorzecza Wisły (Dz. U. 2022. poz. 2739), zostały zidentyfikowane główne cele zarządzania ryzykiem powodziowym, w tym cel główny obejmujący zapewnienie racjonalnego gospodarowania obszarami zagrożenia powodziowego.</w:t>
      </w:r>
    </w:p>
    <w:p w14:paraId="51909D7D" w14:textId="446FA73F" w:rsidR="000F4D82" w:rsidRDefault="000F4D82" w:rsidP="000F4D82">
      <w:pPr>
        <w:rPr>
          <w:lang w:bidi="en-US"/>
        </w:rPr>
      </w:pPr>
      <w:r>
        <w:rPr>
          <w:lang w:bidi="en-US"/>
        </w:rPr>
        <w:t xml:space="preserve">W związku z powyższym, w ramach realizacji przedsięwzięć strategicznych wynikających ze Strategii, w przypadku lokalizowania na obszarach szczególnego zagrożenia powodzią m.in. nowych obiektów budowlanych oraz gromadzenia ścieków, niezbędne jest uzyskanie pozwolenia wodnoprawnego zgodnie z art. 390 ust. </w:t>
      </w:r>
      <w:r w:rsidR="001D2677">
        <w:rPr>
          <w:lang w:bidi="en-US"/>
        </w:rPr>
        <w:t xml:space="preserve">1 </w:t>
      </w:r>
      <w:r>
        <w:rPr>
          <w:lang w:bidi="en-US"/>
        </w:rPr>
        <w:t>ustawy Prawo wodne.</w:t>
      </w:r>
    </w:p>
    <w:p w14:paraId="686A3ADC" w14:textId="0E27B06D" w:rsidR="00C36CB0" w:rsidRDefault="00D14881" w:rsidP="00D14881">
      <w:pPr>
        <w:rPr>
          <w:lang w:bidi="en-US"/>
        </w:rPr>
      </w:pPr>
      <w:r>
        <w:rPr>
          <w:lang w:bidi="en-US"/>
        </w:rPr>
        <w:t>Na podkreślenie zasługuje fakt lokalizacji całość terenu gminy Opole Lubelskie na obszarze Głównego Zbiornika Wód Podziemnych (GZWP) nr 406 Zbiornik Niecka lubelska (Lublin).</w:t>
      </w:r>
    </w:p>
    <w:p w14:paraId="67953991" w14:textId="77777777" w:rsidR="00C74EF2" w:rsidRDefault="00C74EF2" w:rsidP="006E0ABB">
      <w:pPr>
        <w:spacing w:after="0"/>
        <w:rPr>
          <w:lang w:bidi="en-US"/>
        </w:rPr>
      </w:pPr>
    </w:p>
    <w:p w14:paraId="7C5BF2F8" w14:textId="77777777" w:rsidR="00D14881" w:rsidRPr="009D211B" w:rsidRDefault="00D14881" w:rsidP="006E0ABB">
      <w:pPr>
        <w:spacing w:after="0"/>
        <w:rPr>
          <w:lang w:bidi="en-US"/>
        </w:rPr>
      </w:pPr>
    </w:p>
    <w:p w14:paraId="1BC1B13F" w14:textId="54B13C3F" w:rsidR="00261698" w:rsidRDefault="00261698" w:rsidP="00FC15E9">
      <w:pPr>
        <w:pStyle w:val="Nagwek1"/>
        <w:rPr>
          <w:lang w:bidi="en-US"/>
        </w:rPr>
      </w:pPr>
      <w:bookmarkStart w:id="206" w:name="_Toc191908806"/>
      <w:r>
        <w:rPr>
          <w:lang w:bidi="en-US"/>
        </w:rPr>
        <w:lastRenderedPageBreak/>
        <w:t>11. Ramy finansowe i źródła finansowania Strategii</w:t>
      </w:r>
      <w:bookmarkEnd w:id="206"/>
    </w:p>
    <w:p w14:paraId="2AEC5D42" w14:textId="02D3961E" w:rsidR="00305625" w:rsidRDefault="00305625" w:rsidP="00305625">
      <w:r>
        <w:t>System finansowania zadań publicznych charakteryzuje się wielopoziomowością i hierarchicznością zarówno na poziomie lokalnym, regionalnym, krajowym czy europejskim.  Sukces wdrażania Strategii Rozwoju i jej późniejsze osiągnięcie zakładanych celów jest możliwe dzięki skutecznemu wykorzystaniu odpowiednich źródeł finansowania planowanych zadań. Zarówno dostępne środki, jak i źródła pozwolą zidentyfikować realność spełnienia określonych celów</w:t>
      </w:r>
      <w:r w:rsidR="00F8604B">
        <w:t>, dlatego też w planowaniu strategicznym ważnym elementem jest określenie struktury finansowania.</w:t>
      </w:r>
    </w:p>
    <w:p w14:paraId="68D4DBF1" w14:textId="1066DEAE" w:rsidR="00305625" w:rsidRDefault="00305625" w:rsidP="00305625">
      <w:pPr>
        <w:rPr>
          <w:lang w:bidi="en-US"/>
        </w:rPr>
      </w:pPr>
      <w:r>
        <w:rPr>
          <w:lang w:bidi="en-US"/>
        </w:rPr>
        <w:t>Ramy finansowe są uzależnione od zakresu przedmiotowego i horyzontu czasowego podejmowanych działań, kondycji finansowej gminy oraz jej możliwości inwestycyjnych, w tym założeń długofalowej polityki finansowej i inwestycyjnej, a także uwarunkowań zewnętrznych. Wyznaczenie ram finansowych jest niezbędne do oceny możliwości realizacji strategii</w:t>
      </w:r>
      <w:r w:rsidR="00F8604B">
        <w:rPr>
          <w:lang w:bidi="en-US"/>
        </w:rPr>
        <w:t xml:space="preserve">, a </w:t>
      </w:r>
      <w:r w:rsidR="00F32996">
        <w:rPr>
          <w:lang w:bidi="en-US"/>
        </w:rPr>
        <w:t> </w:t>
      </w:r>
      <w:r w:rsidR="00F8604B">
        <w:rPr>
          <w:lang w:bidi="en-US"/>
        </w:rPr>
        <w:t xml:space="preserve">planowanie finansowe </w:t>
      </w:r>
      <w:r>
        <w:t>powin</w:t>
      </w:r>
      <w:r w:rsidR="00F8604B">
        <w:t>no</w:t>
      </w:r>
      <w:r>
        <w:t xml:space="preserve"> uwzględniać różnorodność opcji finansowania projektów wynikających ze Strategii (źródła i formy)</w:t>
      </w:r>
      <w:r w:rsidR="00F8604B">
        <w:t>. P</w:t>
      </w:r>
      <w:r>
        <w:rPr>
          <w:lang w:bidi="en-US"/>
        </w:rPr>
        <w:t xml:space="preserve">odczas procesu wdrażania strategii należy wziąć </w:t>
      </w:r>
      <w:r>
        <w:t xml:space="preserve">pod uwagę różne formy finansowania przedsięwzięć </w:t>
      </w:r>
      <w:r w:rsidR="00F8604B">
        <w:t xml:space="preserve">(np. dotacja, kredyt) </w:t>
      </w:r>
      <w:r>
        <w:t>oraz możliwości realizowania zadań w formule partnerstwa </w:t>
      </w:r>
      <w:r w:rsidRPr="00F8604B">
        <w:t>publiczno-prywatnego.</w:t>
      </w:r>
      <w:r>
        <w:t xml:space="preserve"> W tym kontekście na szczególną uwagę zasługuje mechanizm Porozumień Terytorialnych określony w art. 14rb ustawy o zasadach prowadzenia polityki rozwoju (</w:t>
      </w:r>
      <w:r w:rsidRPr="00E6194F">
        <w:t>Dz.U.</w:t>
      </w:r>
      <w:r w:rsidR="00CF45D6">
        <w:t xml:space="preserve"> </w:t>
      </w:r>
      <w:r w:rsidRPr="00E6194F">
        <w:t>202</w:t>
      </w:r>
      <w:r w:rsidR="00CF45D6">
        <w:t>4 poz</w:t>
      </w:r>
      <w:r w:rsidRPr="00E6194F">
        <w:t>.</w:t>
      </w:r>
      <w:r w:rsidR="00CF45D6">
        <w:t xml:space="preserve"> 324</w:t>
      </w:r>
      <w:r w:rsidRPr="00E6194F">
        <w:t xml:space="preserve"> t.j</w:t>
      </w:r>
      <w:r>
        <w:t>).</w:t>
      </w:r>
    </w:p>
    <w:p w14:paraId="7474F64C" w14:textId="68BAA889" w:rsidR="00305625" w:rsidRDefault="00305625" w:rsidP="00305625">
      <w:pPr>
        <w:rPr>
          <w:lang w:bidi="en-US"/>
        </w:rPr>
      </w:pPr>
      <w:r>
        <w:rPr>
          <w:lang w:bidi="en-US"/>
        </w:rPr>
        <w:t xml:space="preserve">Do realizacji zaplanowanych działań zostaną wykorzystane środki </w:t>
      </w:r>
      <w:r w:rsidR="00262773">
        <w:rPr>
          <w:lang w:bidi="en-US"/>
        </w:rPr>
        <w:t>gminy</w:t>
      </w:r>
      <w:r>
        <w:rPr>
          <w:lang w:bidi="en-US"/>
        </w:rPr>
        <w:t>, środki krajowe w formie dedykowanych funduszy i programów, fundusze unijne i inne zagraniczne oraz środki prywatne</w:t>
      </w:r>
      <w:r w:rsidR="00F8604B">
        <w:rPr>
          <w:lang w:bidi="en-US"/>
        </w:rPr>
        <w:t xml:space="preserve"> oraz</w:t>
      </w:r>
      <w:r>
        <w:rPr>
          <w:lang w:bidi="en-US"/>
        </w:rPr>
        <w:t xml:space="preserve"> kredyty bankowe i pożyczki. </w:t>
      </w:r>
      <w:r>
        <w:t>Ramy finansowe Strategii Rozwoju Gminy Opole Lubelskie 202</w:t>
      </w:r>
      <w:r w:rsidR="006A28A9">
        <w:t xml:space="preserve">5 </w:t>
      </w:r>
      <w:r>
        <w:t>-</w:t>
      </w:r>
      <w:r w:rsidR="006A28A9">
        <w:t xml:space="preserve"> </w:t>
      </w:r>
      <w:r>
        <w:t>2030 posiadają jedynie charakter prognostyczny oraz zale</w:t>
      </w:r>
      <w:r w:rsidR="00F8604B">
        <w:t>ż</w:t>
      </w:r>
      <w:r>
        <w:t xml:space="preserve">ą od szeregu zmiennych, które w praktyce mogą </w:t>
      </w:r>
      <w:r w:rsidR="00F8604B">
        <w:t>wpłynąć na modyfikację zakładanych prognoz</w:t>
      </w:r>
      <w:r>
        <w:rPr>
          <w:lang w:bidi="en-US"/>
        </w:rPr>
        <w:t xml:space="preserve">. </w:t>
      </w:r>
      <w:r>
        <w:t xml:space="preserve">Ponadto poszczególne cele określone w dokumencie mają charakter otwarty, dlatego też doprecyzowanie szczegółów finansowych może </w:t>
      </w:r>
      <w:r w:rsidR="00F8604B">
        <w:t>wymagać aktualizacji</w:t>
      </w:r>
      <w:r>
        <w:t>.</w:t>
      </w:r>
      <w:r w:rsidR="009C3228">
        <w:rPr>
          <w:lang w:bidi="en-US"/>
        </w:rPr>
        <w:t xml:space="preserve"> </w:t>
      </w:r>
      <w:r>
        <w:rPr>
          <w:lang w:bidi="en-US"/>
        </w:rPr>
        <w:t>Zaproponowane w</w:t>
      </w:r>
      <w:r w:rsidR="00226540">
        <w:rPr>
          <w:lang w:bidi="en-US"/>
        </w:rPr>
        <w:t> </w:t>
      </w:r>
      <w:r>
        <w:rPr>
          <w:lang w:bidi="en-US"/>
        </w:rPr>
        <w:t xml:space="preserve">dokumencie projekty obejmują szeroki zakres, dlatego tak ważne jest </w:t>
      </w:r>
      <w:r>
        <w:t xml:space="preserve">poszukiwanie różnych źródeł ich finansowania, uwzględniających </w:t>
      </w:r>
      <w:r w:rsidR="00262773">
        <w:t xml:space="preserve">środki </w:t>
      </w:r>
      <w:r>
        <w:t>regionalne</w:t>
      </w:r>
      <w:r w:rsidR="00262773">
        <w:t xml:space="preserve">, </w:t>
      </w:r>
      <w:r>
        <w:t>krajowe</w:t>
      </w:r>
      <w:r w:rsidR="00262773">
        <w:rPr>
          <w:lang w:bidi="en-US"/>
        </w:rPr>
        <w:t xml:space="preserve"> i europejskie.</w:t>
      </w:r>
    </w:p>
    <w:p w14:paraId="71315AB1" w14:textId="4C061083" w:rsidR="00305625" w:rsidRDefault="00262773" w:rsidP="007C5166">
      <w:pPr>
        <w:spacing w:after="240"/>
        <w:rPr>
          <w:lang w:bidi="en-US"/>
        </w:rPr>
      </w:pPr>
      <w:r>
        <w:rPr>
          <w:lang w:bidi="en-US"/>
        </w:rPr>
        <w:t>P</w:t>
      </w:r>
      <w:r w:rsidRPr="00262773">
        <w:rPr>
          <w:lang w:bidi="en-US"/>
        </w:rPr>
        <w:t>odejmując decyzje o realizacji projektów (</w:t>
      </w:r>
      <w:r w:rsidR="009C3228">
        <w:rPr>
          <w:lang w:bidi="en-US"/>
        </w:rPr>
        <w:t>w tym</w:t>
      </w:r>
      <w:r w:rsidRPr="00262773">
        <w:rPr>
          <w:lang w:bidi="en-US"/>
        </w:rPr>
        <w:t xml:space="preserve"> w zakresie przedsięwzięć partnerskich) należy każdorazowo rozpatrywać możliwości budżetowe JST w kontekście istniejących źródeł i </w:t>
      </w:r>
      <w:r w:rsidR="00F32996">
        <w:rPr>
          <w:lang w:bidi="en-US"/>
        </w:rPr>
        <w:t> </w:t>
      </w:r>
      <w:r w:rsidRPr="00262773">
        <w:rPr>
          <w:lang w:bidi="en-US"/>
        </w:rPr>
        <w:t>form finansowania w oparciu o poniższe zasady</w:t>
      </w:r>
      <w:r w:rsidR="007C5166">
        <w:rPr>
          <w:lang w:bidi="en-US"/>
        </w:rPr>
        <w:t>:</w:t>
      </w:r>
    </w:p>
    <w:p w14:paraId="78531B04" w14:textId="22B63F84" w:rsidR="00305625" w:rsidRDefault="009C3228" w:rsidP="009C3228">
      <w:pPr>
        <w:spacing w:after="0"/>
        <w:jc w:val="center"/>
      </w:pPr>
      <w:r>
        <w:rPr>
          <w:noProof/>
          <w:lang w:eastAsia="pl-PL"/>
        </w:rPr>
        <w:lastRenderedPageBreak/>
        <w:drawing>
          <wp:inline distT="0" distB="0" distL="0" distR="0" wp14:anchorId="4DDB6E00" wp14:editId="220E894E">
            <wp:extent cx="5326815" cy="2984500"/>
            <wp:effectExtent l="0" t="0" r="7620" b="6350"/>
            <wp:docPr id="2191718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1226" cy="2986972"/>
                    </a:xfrm>
                    <a:prstGeom prst="rect">
                      <a:avLst/>
                    </a:prstGeom>
                    <a:noFill/>
                  </pic:spPr>
                </pic:pic>
              </a:graphicData>
            </a:graphic>
          </wp:inline>
        </w:drawing>
      </w:r>
    </w:p>
    <w:p w14:paraId="1B837D0F" w14:textId="77777777" w:rsidR="009C3228" w:rsidRDefault="009C3228" w:rsidP="009C3228">
      <w:pPr>
        <w:spacing w:after="0"/>
        <w:jc w:val="center"/>
      </w:pPr>
    </w:p>
    <w:p w14:paraId="274057B9" w14:textId="3A6B284D" w:rsidR="00305625" w:rsidRDefault="00305625" w:rsidP="00305625">
      <w:r>
        <w:rPr>
          <w:lang w:bidi="en-US"/>
        </w:rPr>
        <w:t xml:space="preserve">Poza różnorodnymi źródłami finansowania do osiągnięcia celów zawartych w Strategii potrzebne jest także zaangażowanie </w:t>
      </w:r>
      <w:r>
        <w:t>różnych instytucji, podmiotów i zaplanowania wydatkowania znacznych środków finansowych w perspektywie wieloletniej. Biorąc pod uwagę uwarunkowania ekonomiczne</w:t>
      </w:r>
      <w:r w:rsidR="001D7C29">
        <w:t xml:space="preserve">, </w:t>
      </w:r>
      <w:r>
        <w:t>finansowe i organizacyjne gminy Opole Lubelskie do najważniejszych źródeł pochodzenia kapitału na finansowanie zadań Strategii należeć będą:</w:t>
      </w:r>
    </w:p>
    <w:p w14:paraId="6A722401" w14:textId="77777777" w:rsidR="00305625" w:rsidRPr="00A3028A" w:rsidRDefault="00305625">
      <w:pPr>
        <w:pStyle w:val="Akapitzlist"/>
        <w:numPr>
          <w:ilvl w:val="0"/>
          <w:numId w:val="38"/>
        </w:numPr>
        <w:spacing w:after="0"/>
        <w:ind w:left="284" w:hanging="284"/>
        <w:contextualSpacing w:val="0"/>
        <w:rPr>
          <w:b/>
          <w:bCs/>
          <w:color w:val="C45911" w:themeColor="accent2" w:themeShade="BF"/>
          <w:lang w:bidi="en-US"/>
        </w:rPr>
      </w:pPr>
      <w:r w:rsidRPr="00A3028A">
        <w:rPr>
          <w:b/>
          <w:bCs/>
          <w:color w:val="C45911" w:themeColor="accent2" w:themeShade="BF"/>
        </w:rPr>
        <w:t>Środki własne samorządu gminnego (dochody własne, subwencje)</w:t>
      </w:r>
    </w:p>
    <w:p w14:paraId="2CBE6D5B" w14:textId="6A61532F" w:rsidR="004E1DCB" w:rsidRDefault="00305625" w:rsidP="00CD51D4">
      <w:r>
        <w:rPr>
          <w:lang w:bidi="en-US"/>
        </w:rPr>
        <w:t>Dochody własne gminy i ich subwencje to podstawowe źródło finansowania inwestycji</w:t>
      </w:r>
      <w:r w:rsidR="004E1DCB">
        <w:rPr>
          <w:lang w:bidi="en-US"/>
        </w:rPr>
        <w:t xml:space="preserve"> </w:t>
      </w:r>
      <w:r>
        <w:rPr>
          <w:lang w:bidi="en-US"/>
        </w:rPr>
        <w:t xml:space="preserve">zawartych w Strategii. </w:t>
      </w:r>
      <w:r w:rsidR="004E1DCB">
        <w:rPr>
          <w:lang w:bidi="en-US"/>
        </w:rPr>
        <w:t xml:space="preserve">W </w:t>
      </w:r>
      <w:r w:rsidR="004E1DCB">
        <w:t>przypadku realizacji projektów współfinansowanych ze środków unijnych, b</w:t>
      </w:r>
      <w:r>
        <w:rPr>
          <w:lang w:bidi="en-US"/>
        </w:rPr>
        <w:t>udżet jakim dysponuje gmina stanowi najczęściej wkład własny</w:t>
      </w:r>
      <w:r w:rsidR="004E1DCB">
        <w:rPr>
          <w:lang w:bidi="en-US"/>
        </w:rPr>
        <w:t xml:space="preserve"> </w:t>
      </w:r>
      <w:r w:rsidR="004E1DCB">
        <w:t>(5% - 30% kosztów kwalifikowalnych projektu)</w:t>
      </w:r>
      <w:r w:rsidR="004E1DCB">
        <w:rPr>
          <w:lang w:bidi="en-US"/>
        </w:rPr>
        <w:t xml:space="preserve"> </w:t>
      </w:r>
      <w:r>
        <w:t xml:space="preserve">lub całkowicie pokrywa koszt danego przedsięwzięcia. </w:t>
      </w:r>
      <w:r w:rsidR="00CD51D4" w:rsidRPr="00CD51D4">
        <w:t xml:space="preserve">Zgodnie z </w:t>
      </w:r>
      <w:r w:rsidR="00F32996">
        <w:t> </w:t>
      </w:r>
      <w:r w:rsidR="00CD51D4" w:rsidRPr="00CD51D4">
        <w:t>zasadą racjonalizacji wydatków publicznych istotnym jest zaplanowanie mechanizmów koordynacyjnych dotyczących wspólnego finansowania projektów międzygminnych oraz realizowanych przy udziale innych partnerów publicznych lub prywatnych (</w:t>
      </w:r>
      <w:r w:rsidR="00A3028A">
        <w:t xml:space="preserve">np. </w:t>
      </w:r>
      <w:r w:rsidR="00CD51D4" w:rsidRPr="00CD51D4">
        <w:t>partnerstwo publiczno – prywatne).</w:t>
      </w:r>
    </w:p>
    <w:p w14:paraId="7D5941DC" w14:textId="77777777" w:rsidR="00A3028A" w:rsidRPr="00A3028A" w:rsidRDefault="00A3028A">
      <w:pPr>
        <w:numPr>
          <w:ilvl w:val="0"/>
          <w:numId w:val="37"/>
        </w:numPr>
        <w:spacing w:after="0"/>
        <w:ind w:left="284" w:hanging="284"/>
        <w:rPr>
          <w:color w:val="C45911" w:themeColor="accent2" w:themeShade="BF"/>
        </w:rPr>
      </w:pPr>
      <w:r w:rsidRPr="00A3028A">
        <w:rPr>
          <w:b/>
          <w:color w:val="C45911" w:themeColor="accent2" w:themeShade="BF"/>
        </w:rPr>
        <w:t>Środki pochodzące z budżetu Unii Europejskiej w ramach programów krajowych i programu Fundusze Europejskie dla Lubelskiego 2021 - 2027</w:t>
      </w:r>
    </w:p>
    <w:p w14:paraId="6FCA147B" w14:textId="7870FB5B" w:rsidR="00A3028A" w:rsidRDefault="00A3028A" w:rsidP="00A3028A">
      <w:r w:rsidRPr="00A3028A">
        <w:t>Środki z budżetu Unii Europejskiej w ramach pakietu legislacyjnego polityki spójności na lata 2021-2027 przewidziane w programach zarządzanych na poziomie zarówno regionalnym</w:t>
      </w:r>
      <w:r>
        <w:t xml:space="preserve"> (g</w:t>
      </w:r>
      <w:r w:rsidRPr="00A3028A">
        <w:t xml:space="preserve">łównym źródłem finansowania </w:t>
      </w:r>
      <w:r>
        <w:t xml:space="preserve">zewnętrznego </w:t>
      </w:r>
      <w:r w:rsidRPr="00A3028A">
        <w:t xml:space="preserve">przedsięwzięć strategicznych będą środki z </w:t>
      </w:r>
      <w:r w:rsidR="00F32996">
        <w:t> </w:t>
      </w:r>
      <w:r w:rsidRPr="00A3028A">
        <w:t>regionalnego Programu Fundusze Europejskie dla Lubelskiego na lata 2021 – 2027</w:t>
      </w:r>
      <w:r>
        <w:t>)</w:t>
      </w:r>
      <w:r w:rsidRPr="00A3028A">
        <w:t>, jak i  krajowym (w tym Program Współpracy Transgranicznej PL – UA). Z uwagi na złożony charakter programów krajowych i regionalnych oraz mnogość możliwości finansowania ze środków UE 2021 – 2027 (w zależności od zakresu, wielkości oraz indywidualnego lub partnerskiego charakteru inwestycji) zalecany jest bieżący monitoring dostępnych źródeł finansowania oraz stanu aktualizacji poszczególnych programów.</w:t>
      </w:r>
    </w:p>
    <w:p w14:paraId="4CB60688" w14:textId="77777777" w:rsidR="00226540" w:rsidRPr="00A3028A" w:rsidRDefault="00226540" w:rsidP="00A3028A"/>
    <w:p w14:paraId="6839436F" w14:textId="77777777" w:rsidR="00A3028A" w:rsidRPr="00A3028A" w:rsidRDefault="00A3028A">
      <w:pPr>
        <w:numPr>
          <w:ilvl w:val="0"/>
          <w:numId w:val="37"/>
        </w:numPr>
        <w:spacing w:after="0"/>
        <w:ind w:left="284" w:hanging="284"/>
        <w:rPr>
          <w:b/>
          <w:bCs/>
          <w:color w:val="C45911" w:themeColor="accent2" w:themeShade="BF"/>
        </w:rPr>
      </w:pPr>
      <w:r w:rsidRPr="00A3028A">
        <w:rPr>
          <w:b/>
          <w:bCs/>
          <w:color w:val="C45911" w:themeColor="accent2" w:themeShade="BF"/>
        </w:rPr>
        <w:lastRenderedPageBreak/>
        <w:t>Środki z programów zarządzanych bezpośrednio przez Komisję Europejską</w:t>
      </w:r>
    </w:p>
    <w:p w14:paraId="77DCDCE7" w14:textId="47587926" w:rsidR="00A3028A" w:rsidRPr="00A3028A" w:rsidRDefault="00A3028A" w:rsidP="00A3028A">
      <w:r w:rsidRPr="00A3028A">
        <w:t xml:space="preserve">Istotnym źródłem finansowania przedsięwzięć w ramach Strategii mogą być środki z budżetu UE, dostępne w ramach zarządzania bezpośrednio sprawowanego przez Komisję Europejską w  zakresie związanym m.in. z kwestiami klimatycznymi w ramach Europejskiego Zielonego Ładu. W latach 2021 – 2027 </w:t>
      </w:r>
      <w:r w:rsidR="00145A5E">
        <w:t>kontynuowana jest realizacja</w:t>
      </w:r>
      <w:r w:rsidRPr="00A3028A">
        <w:t xml:space="preserve"> programów i inicjatyw UE, które mogą być istotnym czynnikiem aktywizującym potencjał gospodarczy i społeczny MOF </w:t>
      </w:r>
      <w:r w:rsidR="00AB3A3B">
        <w:t>Opola Lubelskiego</w:t>
      </w:r>
      <w:r w:rsidRPr="00A3028A">
        <w:t>. Są to m.in.: Instrument "Łącząc Europę" (transport, energetyka, telekomunikacja), LIFE (ochrona środowiska i  klimatu), COSME (konkurencyjność przedsiębiorstw), Horyzont (badania naukowe i innowacje), ERASMUS+ (zagraniczne staże, praktyki i wolontariat), EFIS (zapewnienie gwarancji dla finansowania inwestycji długoterminowych), Europejski Korpus Solidarności (zdobywanie doświadczenia zawodowego i podnoszenie kwalifikacji przez ludzi młodych).</w:t>
      </w:r>
    </w:p>
    <w:p w14:paraId="6F13731D" w14:textId="77777777" w:rsidR="00A3028A" w:rsidRPr="00A3028A" w:rsidRDefault="00A3028A">
      <w:pPr>
        <w:numPr>
          <w:ilvl w:val="0"/>
          <w:numId w:val="37"/>
        </w:numPr>
        <w:spacing w:after="0"/>
        <w:ind w:left="284" w:hanging="284"/>
        <w:rPr>
          <w:color w:val="C45911" w:themeColor="accent2" w:themeShade="BF"/>
        </w:rPr>
      </w:pPr>
      <w:r w:rsidRPr="00A3028A">
        <w:rPr>
          <w:b/>
          <w:color w:val="C45911" w:themeColor="accent2" w:themeShade="BF"/>
        </w:rPr>
        <w:t>Środki pochodzące z budżetu państwa</w:t>
      </w:r>
      <w:r w:rsidRPr="00A3028A">
        <w:rPr>
          <w:color w:val="C45911" w:themeColor="accent2" w:themeShade="BF"/>
        </w:rPr>
        <w:t xml:space="preserve"> </w:t>
      </w:r>
      <w:r w:rsidRPr="00A3028A">
        <w:rPr>
          <w:b/>
          <w:bCs/>
          <w:color w:val="C45911" w:themeColor="accent2" w:themeShade="BF"/>
        </w:rPr>
        <w:t>oraz</w:t>
      </w:r>
      <w:r w:rsidRPr="00A3028A">
        <w:rPr>
          <w:color w:val="C45911" w:themeColor="accent2" w:themeShade="BF"/>
        </w:rPr>
        <w:t xml:space="preserve"> </w:t>
      </w:r>
      <w:r w:rsidRPr="00A3028A">
        <w:rPr>
          <w:b/>
          <w:color w:val="C45911" w:themeColor="accent2" w:themeShade="BF"/>
        </w:rPr>
        <w:t>środki budżetu Województwa</w:t>
      </w:r>
      <w:r w:rsidRPr="00A3028A">
        <w:rPr>
          <w:color w:val="C45911" w:themeColor="accent2" w:themeShade="BF"/>
        </w:rPr>
        <w:t xml:space="preserve"> </w:t>
      </w:r>
      <w:r w:rsidRPr="00A3028A">
        <w:rPr>
          <w:b/>
          <w:color w:val="C45911" w:themeColor="accent2" w:themeShade="BF"/>
        </w:rPr>
        <w:t>Lubelskiego</w:t>
      </w:r>
    </w:p>
    <w:p w14:paraId="583420A3" w14:textId="1C7A932C" w:rsidR="00A3028A" w:rsidRPr="00A3028A" w:rsidRDefault="00A3028A" w:rsidP="00A3028A">
      <w:r w:rsidRPr="00A3028A">
        <w:t xml:space="preserve">Środki budżetu państwa oraz samorządu województwa dostępne w ramach istniejących oraz nowych instrumentów takich, jak Porozumienie terytorialne (zgodnie z art. 14rb ustawy o  zasadach prowadzenia polityki rozwoju). W tej kategorii wymienić można np. fundusze celowe utworzone z  przeznaczeniem na finansowanie infrastruktury publicznej, w tym transportowej. Są to w m.in. Rządowy Fundusz Polski Ład: Program Inwestycji Strategicznych, Krajowy Fundusz Drogowy (KFD), Fundusz Kolejowy (FK), Rządowy Fundusz Inwestycji Lokalnych (RFIL), fundusze utworzone w  Banku Gospodarstwa Krajowego oraz dotacje celowe lub środki z rezerw celowych poszczególnych ministerstw. Zgodnie z  ustawą o samorządzie województwa z budżetu województwa finansowane są m.in. zadania o charakterze wojewódzkim </w:t>
      </w:r>
      <w:r w:rsidR="00712727">
        <w:t xml:space="preserve">m.in. </w:t>
      </w:r>
      <w:r w:rsidRPr="00A3028A">
        <w:t xml:space="preserve">w zakresie transportu zbiorowego i dróg publicznych. Województwo zajmuje się finansowaniem m.in. rozwoju dróg wojewódzkich, regionalnych przewozów autobusowych, regionalnych przewozów kolejowych. Inwestycje te stanowić mogą istotne uzupełnienie systemu transportowego obszaru </w:t>
      </w:r>
      <w:r w:rsidR="00712727">
        <w:t xml:space="preserve">gminy Opole Lubelskie, </w:t>
      </w:r>
      <w:r w:rsidRPr="00A3028A">
        <w:t>zarówno w zakresie przedsięwzięć indywidualnych jak i partnerskich.</w:t>
      </w:r>
    </w:p>
    <w:p w14:paraId="62D4E5DA" w14:textId="77777777" w:rsidR="00A3028A" w:rsidRPr="00A3028A" w:rsidRDefault="00A3028A">
      <w:pPr>
        <w:numPr>
          <w:ilvl w:val="0"/>
          <w:numId w:val="37"/>
        </w:numPr>
        <w:spacing w:after="0"/>
        <w:ind w:left="284" w:hanging="284"/>
        <w:rPr>
          <w:color w:val="C45911" w:themeColor="accent2" w:themeShade="BF"/>
        </w:rPr>
      </w:pPr>
      <w:r w:rsidRPr="00A3028A">
        <w:rPr>
          <w:b/>
          <w:color w:val="C45911" w:themeColor="accent2" w:themeShade="BF"/>
        </w:rPr>
        <w:t>Środki krajowych i międzynarodowych instytucji finansowych</w:t>
      </w:r>
    </w:p>
    <w:p w14:paraId="1C82D7D4" w14:textId="5580C95D" w:rsidR="00A3028A" w:rsidRPr="00A3028A" w:rsidRDefault="00A3028A" w:rsidP="00A3028A">
      <w:r w:rsidRPr="00A3028A">
        <w:t>Do finansowania zadań wynikających ze Strategii mogą być angażowane środki pozyskiwane m.in. z kredytów lub innych finansowych instrumentów zwrotnych i  bezzwrotnych, uzyskanych za pośrednictwem instytucji finansowych takich jak m.in. Bank Gospodarstwa Krajowego, Europejski Bank Inwestycyjny czy Bank Światowy.</w:t>
      </w:r>
    </w:p>
    <w:p w14:paraId="629EAE9D" w14:textId="77777777" w:rsidR="00A3028A" w:rsidRPr="00A3028A" w:rsidRDefault="00A3028A">
      <w:pPr>
        <w:numPr>
          <w:ilvl w:val="0"/>
          <w:numId w:val="37"/>
        </w:numPr>
        <w:spacing w:after="0"/>
        <w:ind w:left="284" w:hanging="284"/>
        <w:rPr>
          <w:color w:val="C45911" w:themeColor="accent2" w:themeShade="BF"/>
        </w:rPr>
      </w:pPr>
      <w:r w:rsidRPr="00A3028A">
        <w:rPr>
          <w:b/>
          <w:color w:val="C45911" w:themeColor="accent2" w:themeShade="BF"/>
        </w:rPr>
        <w:t>Środki prywatne</w:t>
      </w:r>
    </w:p>
    <w:p w14:paraId="7C9DABA0" w14:textId="4F5E02BD" w:rsidR="00A3028A" w:rsidRPr="00A3028A" w:rsidRDefault="00A3028A" w:rsidP="00A3028A">
      <w:r w:rsidRPr="00A3028A">
        <w:t>Dotychczasowe doświadczenia JST wskazują na możliwości finansowania przedsięwzięć infrastrukturalnych ze środków prywatnych, przede wszystkim przy wykorzystaniu formuły partnerstwa publiczno-prywatnego (PPP). Jest to rozwiązanie coraz silniej wspierane przez Rząd RP i Komisję Europejską i może posłużyć do realizacji inwestycji leżących w interesie publicznym</w:t>
      </w:r>
      <w:r w:rsidRPr="00A3028A">
        <w:rPr>
          <w:vertAlign w:val="superscript"/>
        </w:rPr>
        <w:footnoteReference w:id="11"/>
      </w:r>
      <w:r w:rsidRPr="00A3028A">
        <w:t xml:space="preserve">. Udział środków prywatnych jest szczególnie istotny w realizacji niektórych </w:t>
      </w:r>
      <w:r w:rsidRPr="00A3028A">
        <w:lastRenderedPageBreak/>
        <w:t xml:space="preserve">przedsięwzięć wymagających zbiorowego wysiłku ze względu na ich skomplikowany i </w:t>
      </w:r>
      <w:r w:rsidR="00E70E14">
        <w:t> </w:t>
      </w:r>
      <w:r w:rsidRPr="00A3028A">
        <w:t xml:space="preserve">długoletni charakter. </w:t>
      </w:r>
    </w:p>
    <w:p w14:paraId="6AB1E710" w14:textId="0CE26EF8" w:rsidR="004E1DCB" w:rsidRDefault="00A3028A" w:rsidP="00CD51D4">
      <w:r w:rsidRPr="00A3028A">
        <w:t xml:space="preserve">Dla zapewnienia skutecznej realizacji przedsięwzięć wynikających ze Strategii istotne jest podejmowanie prób poszukiwania nowych rozwiązań (w tym organizacyjnych - w partnerstwie z  gminami, partnerami publicznymi i prywatnymi) w zakresie zarządzania i finansowania. Ważnym elementem sprawnego wdrażania Strategii powinny być zatem działania zmierzające do podejmowania możliwie szerokiej współpracy pomiędzy samorządami MOF </w:t>
      </w:r>
      <w:r w:rsidR="00240879">
        <w:t>Opola lubelskiego</w:t>
      </w:r>
      <w:r w:rsidRPr="00A3028A">
        <w:t xml:space="preserve"> oraz samorządem powiatowym, nie tylko w zakresie wspólnego finansowania poszczególnych zadań ale również zapewnienia ciągłości funkcjonowania inwestycji.</w:t>
      </w:r>
    </w:p>
    <w:p w14:paraId="376775CF" w14:textId="736525DE" w:rsidR="00305625" w:rsidRDefault="00305625" w:rsidP="00305625">
      <w:r>
        <w:rPr>
          <w:lang w:bidi="en-US"/>
        </w:rPr>
        <w:t xml:space="preserve">Skuteczność realizacji przedstawionych celów i zaproponowanych inwestycji jest bardziej prawdopodobna, gdy zostaną podjęte próby poszukania nowych rozwiązań </w:t>
      </w:r>
      <w:r>
        <w:t>w zakresie zarządzania i finansowania (w tym organizacyjnych w partnerstwie z gminami, partnerami publicznymi i prywatnymi). Zrównoważony rozwój jednostki samorządu terytorialnego jest bardziej efektywny, kiedy podejmowane są działania zmierzające do możliwie szerokiej współpracy pomiędzy sąsiednimi gminami</w:t>
      </w:r>
      <w:r w:rsidR="00ED2B51">
        <w:t xml:space="preserve"> </w:t>
      </w:r>
      <w:r>
        <w:t xml:space="preserve">oraz z powiatem opolskim. Umożliwia to zapewnienie ciągłości funkcjonowania inwestycji. </w:t>
      </w:r>
    </w:p>
    <w:p w14:paraId="171F4F8F" w14:textId="77777777" w:rsidR="00305625" w:rsidRDefault="00305625" w:rsidP="00305625">
      <w:r>
        <w:t>Podkreślić należy, że planowanie budżetu oraz źródeł i form finansowania projektów zawartych w Strategii jest obecnie zadaniem trudnym i złożonym z uwagi na dynamicznie zmieniającą się sytuację makroekonomiczną w kraju i na świecie spowodowaną postępującym kryzysem gospodarczym, długofalowymi konsekwencjami pandemii COVID-19 oraz społecznymi i gospodarczymi skutkami wojny w Ukrainie.</w:t>
      </w:r>
    </w:p>
    <w:p w14:paraId="45773375" w14:textId="68829F15" w:rsidR="00305625" w:rsidRPr="00146C44" w:rsidRDefault="00305625" w:rsidP="00305625">
      <w:pPr>
        <w:spacing w:after="160" w:line="259" w:lineRule="auto"/>
        <w:jc w:val="left"/>
      </w:pPr>
      <w:r>
        <w:br w:type="page"/>
      </w:r>
    </w:p>
    <w:p w14:paraId="7274EAAB" w14:textId="53CECCDD" w:rsidR="00261698" w:rsidRDefault="00261698" w:rsidP="008D212C">
      <w:pPr>
        <w:pStyle w:val="Nagwek1"/>
        <w:jc w:val="left"/>
        <w:rPr>
          <w:lang w:bidi="en-US"/>
        </w:rPr>
      </w:pPr>
      <w:bookmarkStart w:id="207" w:name="_Toc191908807"/>
      <w:r>
        <w:rPr>
          <w:lang w:bidi="en-US"/>
        </w:rPr>
        <w:lastRenderedPageBreak/>
        <w:t>12. Zasady i struktura zarządzania procesem wdrażania Strategii</w:t>
      </w:r>
      <w:bookmarkEnd w:id="207"/>
    </w:p>
    <w:p w14:paraId="772752B0" w14:textId="1579469A" w:rsidR="009B148D" w:rsidRDefault="009B148D" w:rsidP="008D212C">
      <w:pPr>
        <w:spacing w:after="240"/>
        <w:rPr>
          <w:lang w:bidi="en-US"/>
        </w:rPr>
      </w:pPr>
      <w:r>
        <w:rPr>
          <w:lang w:bidi="en-US"/>
        </w:rPr>
        <w:t>Istotnym elementem skutecznej realizacji interwencji publicznych w ramach Strategii jest w</w:t>
      </w:r>
      <w:r w:rsidRPr="009B148D">
        <w:rPr>
          <w:lang w:bidi="en-US"/>
        </w:rPr>
        <w:t xml:space="preserve">łaściwe zaprojektowany i konsekwentnie </w:t>
      </w:r>
      <w:r>
        <w:rPr>
          <w:lang w:bidi="en-US"/>
        </w:rPr>
        <w:t>wykorzystywany</w:t>
      </w:r>
      <w:r w:rsidRPr="009B148D">
        <w:rPr>
          <w:lang w:bidi="en-US"/>
        </w:rPr>
        <w:t xml:space="preserve"> system </w:t>
      </w:r>
      <w:r>
        <w:rPr>
          <w:lang w:bidi="en-US"/>
        </w:rPr>
        <w:t xml:space="preserve">zarządzania i wdrażania, który determinuje </w:t>
      </w:r>
      <w:r w:rsidRPr="009B148D">
        <w:rPr>
          <w:lang w:bidi="en-US"/>
        </w:rPr>
        <w:t xml:space="preserve">sprawność realizacji Strategii i skuteczność wykorzystywania dostępnych funduszy przeznaczonych na realizacje jej celów. Co istotne, właściwy system stanowi podstawę do rozwoju trwałego forum współpracy między </w:t>
      </w:r>
      <w:r>
        <w:rPr>
          <w:lang w:bidi="en-US"/>
        </w:rPr>
        <w:t>interesariuszami</w:t>
      </w:r>
      <w:r w:rsidRPr="009B148D">
        <w:rPr>
          <w:lang w:bidi="en-US"/>
        </w:rPr>
        <w:t>, nie tylko w zakresie funduszy europejskich, ale docelowo wszystkich polityk i projektów realizowanych przez samorząd gmin</w:t>
      </w:r>
      <w:r>
        <w:rPr>
          <w:lang w:bidi="en-US"/>
        </w:rPr>
        <w:t>y Opole Lubelskie</w:t>
      </w:r>
      <w:r w:rsidRPr="009B148D">
        <w:rPr>
          <w:lang w:bidi="en-US"/>
        </w:rPr>
        <w:t>. Jednocześnie system zarządzania tworzy sformalizowaną strukturę, w ramach której powstają relacje nieformalne. Taka struktura stanowić będzie w</w:t>
      </w:r>
      <w:r w:rsidR="00B0226B">
        <w:rPr>
          <w:lang w:bidi="en-US"/>
        </w:rPr>
        <w:t> </w:t>
      </w:r>
      <w:r w:rsidRPr="009B148D">
        <w:rPr>
          <w:lang w:bidi="en-US"/>
        </w:rPr>
        <w:t xml:space="preserve"> przyszłości bazę wiedzy i pamięci organizacyjnej </w:t>
      </w:r>
      <w:r w:rsidR="00341E23">
        <w:rPr>
          <w:lang w:bidi="en-US"/>
        </w:rPr>
        <w:t>integrującej społeczność gminy w realizacji celów rozwojowych.</w:t>
      </w:r>
    </w:p>
    <w:p w14:paraId="1B3B0632" w14:textId="61494EC1" w:rsidR="00117433" w:rsidRDefault="00117433" w:rsidP="008D212C">
      <w:pPr>
        <w:pStyle w:val="Nagwek2"/>
      </w:pPr>
      <w:bookmarkStart w:id="208" w:name="_Toc191908808"/>
      <w:r>
        <w:t>12.1 Zasady współpracy interesariuszy</w:t>
      </w:r>
      <w:bookmarkEnd w:id="208"/>
      <w:r>
        <w:t xml:space="preserve"> </w:t>
      </w:r>
    </w:p>
    <w:p w14:paraId="524B2CB4" w14:textId="18623E0D" w:rsidR="00C15529" w:rsidRDefault="00C15529" w:rsidP="00261698">
      <w:pPr>
        <w:rPr>
          <w:lang w:bidi="en-US"/>
        </w:rPr>
      </w:pPr>
      <w:r w:rsidRPr="00C15529">
        <w:rPr>
          <w:lang w:bidi="en-US"/>
        </w:rPr>
        <w:t>Opracowaniu i wdrażaniu Strategii oraz prawidłowemu funkcjonowaniu systemu zarządzania towarzyszy kilka kluczowych zasad, którymi konsekwentnie powinny kierować się wszystkie zaangażowane podmioty.</w:t>
      </w:r>
    </w:p>
    <w:p w14:paraId="0DCD915B" w14:textId="2B064B06" w:rsidR="00C15529" w:rsidRDefault="00C15529" w:rsidP="00C15529">
      <w:pPr>
        <w:jc w:val="center"/>
        <w:rPr>
          <w:lang w:bidi="en-US"/>
        </w:rPr>
      </w:pPr>
      <w:r>
        <w:rPr>
          <w:noProof/>
          <w:lang w:eastAsia="pl-PL"/>
        </w:rPr>
        <w:drawing>
          <wp:inline distT="0" distB="0" distL="0" distR="0" wp14:anchorId="3B9DF514" wp14:editId="42A8D349">
            <wp:extent cx="5946550" cy="3779520"/>
            <wp:effectExtent l="0" t="0" r="0" b="0"/>
            <wp:docPr id="34891915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57261" cy="3786328"/>
                    </a:xfrm>
                    <a:prstGeom prst="rect">
                      <a:avLst/>
                    </a:prstGeom>
                    <a:noFill/>
                  </pic:spPr>
                </pic:pic>
              </a:graphicData>
            </a:graphic>
          </wp:inline>
        </w:drawing>
      </w:r>
    </w:p>
    <w:p w14:paraId="51B743BC" w14:textId="3955AB3F" w:rsidR="00C15529" w:rsidRPr="00226540" w:rsidRDefault="00C15529">
      <w:pPr>
        <w:pStyle w:val="Akapitzlist"/>
        <w:numPr>
          <w:ilvl w:val="0"/>
          <w:numId w:val="39"/>
        </w:numPr>
        <w:spacing w:after="0"/>
        <w:ind w:left="284" w:hanging="284"/>
        <w:contextualSpacing w:val="0"/>
        <w:rPr>
          <w:b/>
          <w:bCs/>
          <w:color w:val="C45911" w:themeColor="accent2" w:themeShade="BF"/>
          <w:lang w:bidi="en-US"/>
        </w:rPr>
      </w:pPr>
      <w:r w:rsidRPr="00226540">
        <w:rPr>
          <w:b/>
          <w:bCs/>
          <w:color w:val="C45911" w:themeColor="accent2" w:themeShade="BF"/>
          <w:lang w:bidi="en-US"/>
        </w:rPr>
        <w:t>Partnerstwo</w:t>
      </w:r>
    </w:p>
    <w:p w14:paraId="20C6F6C9" w14:textId="62E16E0D" w:rsidR="00C15529" w:rsidRPr="00206477" w:rsidRDefault="00F56057" w:rsidP="00261698">
      <w:pPr>
        <w:rPr>
          <w:lang w:bidi="en-US"/>
        </w:rPr>
      </w:pPr>
      <w:r>
        <w:rPr>
          <w:lang w:bidi="en-US"/>
        </w:rPr>
        <w:t xml:space="preserve">Zastosowanie zasady partnerstwa jest konieczne w sytuacjach, w których dochodzi do interakcji pomiędzy władzami gminy, a jej mieszkańcami czy reprezentantami organizacji. </w:t>
      </w:r>
      <w:r w:rsidR="003D19AA">
        <w:rPr>
          <w:lang w:bidi="en-US"/>
        </w:rPr>
        <w:t xml:space="preserve">Zasada ta polega na kreowaniu warunków partnerskich współpracy pomiędzy interesariuszami (odpowiedni dobór przedsięwzięć zawartych w Strategii, źródeł ich finansowania oraz </w:t>
      </w:r>
      <w:r w:rsidR="003D19AA">
        <w:rPr>
          <w:lang w:bidi="en-US"/>
        </w:rPr>
        <w:lastRenderedPageBreak/>
        <w:t xml:space="preserve">korzystania z ich efektów przez mieszkańców Gminy Opole Lubelskie) oraz </w:t>
      </w:r>
      <w:r>
        <w:rPr>
          <w:lang w:bidi="en-US"/>
        </w:rPr>
        <w:t>na kształtowaniu pozytywnych relacji pomiędzy podmiotami zarówno publicznymi, prywatnymi jak i</w:t>
      </w:r>
      <w:r w:rsidR="005A22F2">
        <w:rPr>
          <w:lang w:bidi="en-US"/>
        </w:rPr>
        <w:t> </w:t>
      </w:r>
      <w:r>
        <w:rPr>
          <w:lang w:bidi="en-US"/>
        </w:rPr>
        <w:t>organizacjami społecznymi.</w:t>
      </w:r>
    </w:p>
    <w:p w14:paraId="6D1ABACA" w14:textId="02C9F852" w:rsidR="00F56057" w:rsidRPr="00226540" w:rsidRDefault="00F56057">
      <w:pPr>
        <w:pStyle w:val="Akapitzlist"/>
        <w:numPr>
          <w:ilvl w:val="0"/>
          <w:numId w:val="6"/>
        </w:numPr>
        <w:spacing w:after="0"/>
        <w:ind w:left="284" w:hanging="284"/>
        <w:contextualSpacing w:val="0"/>
        <w:rPr>
          <w:b/>
          <w:bCs/>
          <w:color w:val="C45911" w:themeColor="accent2" w:themeShade="BF"/>
          <w:lang w:bidi="en-US"/>
        </w:rPr>
      </w:pPr>
      <w:r w:rsidRPr="00226540">
        <w:rPr>
          <w:b/>
          <w:bCs/>
          <w:color w:val="C45911" w:themeColor="accent2" w:themeShade="BF"/>
          <w:lang w:bidi="en-US"/>
        </w:rPr>
        <w:t>Równość partnerów</w:t>
      </w:r>
    </w:p>
    <w:p w14:paraId="7F364E6C" w14:textId="18478773" w:rsidR="00F56057" w:rsidRDefault="00206477" w:rsidP="00F56057">
      <w:pPr>
        <w:rPr>
          <w:lang w:bidi="en-US"/>
        </w:rPr>
      </w:pPr>
      <w:r w:rsidRPr="00206477">
        <w:rPr>
          <w:lang w:bidi="en-US"/>
        </w:rPr>
        <w:t xml:space="preserve">Powodzenie współpracy w zasadniczym stopniu zależy od tego, czy wszyscy partnerzy będą przekonani co do łączącej ich wspólnoty interesów i celów. Decyduje o tym zarówno konstrukcja i  treść Strategii, jak też codzienna praktyka działania - na etapie przygotowania dokumentu, jak też późniejszego wdrażania. Dlatego istotne jest, aby zaplanowane i  później wykorzystywane mechanizmy zarządzania w realny sposób uwzględniały równość </w:t>
      </w:r>
      <w:r>
        <w:rPr>
          <w:lang w:bidi="en-US"/>
        </w:rPr>
        <w:t>interesariuszy.</w:t>
      </w:r>
    </w:p>
    <w:p w14:paraId="666E406A" w14:textId="2354A28F" w:rsidR="006A2FC0" w:rsidRPr="00226540" w:rsidRDefault="006A2FC0">
      <w:pPr>
        <w:pStyle w:val="Akapitzlist"/>
        <w:numPr>
          <w:ilvl w:val="0"/>
          <w:numId w:val="6"/>
        </w:numPr>
        <w:spacing w:after="0"/>
        <w:ind w:left="284" w:hanging="284"/>
        <w:contextualSpacing w:val="0"/>
        <w:rPr>
          <w:b/>
          <w:bCs/>
          <w:color w:val="C45911" w:themeColor="accent2" w:themeShade="BF"/>
          <w:lang w:bidi="en-US"/>
        </w:rPr>
      </w:pPr>
      <w:r w:rsidRPr="00226540">
        <w:rPr>
          <w:b/>
          <w:bCs/>
          <w:color w:val="C45911" w:themeColor="accent2" w:themeShade="BF"/>
          <w:lang w:bidi="en-US"/>
        </w:rPr>
        <w:t>Wielopoziomowe zarządzanie</w:t>
      </w:r>
    </w:p>
    <w:p w14:paraId="011254CA" w14:textId="488748CD" w:rsidR="00AB1F8B" w:rsidRDefault="00AB1F8B" w:rsidP="00AB1F8B">
      <w:pPr>
        <w:rPr>
          <w:lang w:bidi="en-US"/>
        </w:rPr>
      </w:pPr>
      <w:r>
        <w:rPr>
          <w:lang w:bidi="en-US"/>
        </w:rPr>
        <w:t>Zarządzanie procesem wdrażania Strategii przez jeden podmiot może mieć negatywne skutki w postaci</w:t>
      </w:r>
      <w:r w:rsidR="005F2D79">
        <w:rPr>
          <w:lang w:bidi="en-US"/>
        </w:rPr>
        <w:t xml:space="preserve"> ograniczenia efektywności realizacji celów Strategii, ograniczenia akceptacji społecznej części działań czy innych problemów związanych z zarządzaniem. W celu uniknięcia potencjalnych negatywnych skutków konieczna jest współpraca interesariuszy na różnych szczeblach zarządzania, w różnych formułach i przy realizacji poszczególnych przedsięwzięć. Wielopoziomowe zarządzanie ma </w:t>
      </w:r>
      <w:r w:rsidR="00206477">
        <w:rPr>
          <w:lang w:bidi="en-US"/>
        </w:rPr>
        <w:t xml:space="preserve">realny </w:t>
      </w:r>
      <w:r w:rsidR="005F2D79">
        <w:rPr>
          <w:lang w:bidi="en-US"/>
        </w:rPr>
        <w:t xml:space="preserve">wpływ na </w:t>
      </w:r>
      <w:r w:rsidR="00206477">
        <w:rPr>
          <w:lang w:bidi="en-US"/>
        </w:rPr>
        <w:t>skuteczność i efektywność</w:t>
      </w:r>
      <w:r w:rsidR="005F2D79">
        <w:rPr>
          <w:lang w:bidi="en-US"/>
        </w:rPr>
        <w:t xml:space="preserve"> realizacji celów Strategii.</w:t>
      </w:r>
    </w:p>
    <w:p w14:paraId="49A99D65" w14:textId="1D31DC7B" w:rsidR="005F2D79" w:rsidRPr="00226540" w:rsidRDefault="005F2D79">
      <w:pPr>
        <w:pStyle w:val="Akapitzlist"/>
        <w:numPr>
          <w:ilvl w:val="0"/>
          <w:numId w:val="6"/>
        </w:numPr>
        <w:spacing w:after="0"/>
        <w:ind w:left="284" w:hanging="284"/>
        <w:contextualSpacing w:val="0"/>
        <w:rPr>
          <w:b/>
          <w:bCs/>
          <w:color w:val="C45911" w:themeColor="accent2" w:themeShade="BF"/>
          <w:lang w:bidi="en-US"/>
        </w:rPr>
      </w:pPr>
      <w:r w:rsidRPr="00226540">
        <w:rPr>
          <w:b/>
          <w:bCs/>
          <w:color w:val="C45911" w:themeColor="accent2" w:themeShade="BF"/>
          <w:lang w:bidi="en-US"/>
        </w:rPr>
        <w:t>Otwartość, uczciwość i zaufanie</w:t>
      </w:r>
    </w:p>
    <w:p w14:paraId="4247DB7C" w14:textId="6B910D33" w:rsidR="00A958C3" w:rsidRDefault="00206477" w:rsidP="00261698">
      <w:pPr>
        <w:rPr>
          <w:lang w:bidi="en-US"/>
        </w:rPr>
      </w:pPr>
      <w:r>
        <w:rPr>
          <w:lang w:bidi="en-US"/>
        </w:rPr>
        <w:t>Kierowanie się</w:t>
      </w:r>
      <w:r w:rsidR="005F2D79">
        <w:rPr>
          <w:lang w:bidi="en-US"/>
        </w:rPr>
        <w:t xml:space="preserve"> tymi wartościami może ułatwić interesariuszom współpracę oraz wytyczyć ścieżkę ich postępowania. Cechy te powinny być odniesieniem w przypadku występowania kwestii spornych i kryzysowych.</w:t>
      </w:r>
    </w:p>
    <w:p w14:paraId="7A7432F5" w14:textId="34141580" w:rsidR="005F2D79" w:rsidRPr="00226540" w:rsidRDefault="005F2D79">
      <w:pPr>
        <w:pStyle w:val="Akapitzlist"/>
        <w:numPr>
          <w:ilvl w:val="0"/>
          <w:numId w:val="6"/>
        </w:numPr>
        <w:spacing w:after="0"/>
        <w:ind w:left="284" w:hanging="284"/>
        <w:contextualSpacing w:val="0"/>
        <w:rPr>
          <w:b/>
          <w:bCs/>
          <w:color w:val="C45911" w:themeColor="accent2" w:themeShade="BF"/>
          <w:lang w:bidi="en-US"/>
        </w:rPr>
      </w:pPr>
      <w:r w:rsidRPr="00226540">
        <w:rPr>
          <w:b/>
          <w:bCs/>
          <w:color w:val="C45911" w:themeColor="accent2" w:themeShade="BF"/>
          <w:lang w:bidi="en-US"/>
        </w:rPr>
        <w:t>Proste zasady komunikacji</w:t>
      </w:r>
    </w:p>
    <w:p w14:paraId="19E47843" w14:textId="1C604CEE" w:rsidR="005F2D79" w:rsidRDefault="005F2D79" w:rsidP="005F2D79">
      <w:pPr>
        <w:rPr>
          <w:lang w:bidi="en-US"/>
        </w:rPr>
      </w:pPr>
      <w:r>
        <w:rPr>
          <w:lang w:bidi="en-US"/>
        </w:rPr>
        <w:t xml:space="preserve">Klarownie wyznaczone zasady komunikacji pomiędzy </w:t>
      </w:r>
      <w:r w:rsidR="00206477">
        <w:rPr>
          <w:lang w:bidi="en-US"/>
        </w:rPr>
        <w:t>interesariuszami</w:t>
      </w:r>
      <w:r>
        <w:rPr>
          <w:lang w:bidi="en-US"/>
        </w:rPr>
        <w:t xml:space="preserve"> znacząco ułatwiają współpracę przy realizacji złożonych przedsięwzięć. Określenie zasad oraz sposobów komunikacji powinno mieć miejsce na początku współpracy interesariuszy. Odpowiednie zdefiniowanie zasad </w:t>
      </w:r>
      <w:r w:rsidR="00B80A72">
        <w:rPr>
          <w:lang w:bidi="en-US"/>
        </w:rPr>
        <w:t xml:space="preserve">skróci czas podejmowania decyzji oraz wpłynie pozytywnie na efektywność przepływu informacji. </w:t>
      </w:r>
    </w:p>
    <w:p w14:paraId="192A0C51" w14:textId="7EE020D0" w:rsidR="00A958C3" w:rsidRPr="00226540" w:rsidRDefault="00B80A72">
      <w:pPr>
        <w:pStyle w:val="Akapitzlist"/>
        <w:numPr>
          <w:ilvl w:val="0"/>
          <w:numId w:val="6"/>
        </w:numPr>
        <w:spacing w:after="0"/>
        <w:ind w:left="284" w:hanging="284"/>
        <w:contextualSpacing w:val="0"/>
        <w:rPr>
          <w:b/>
          <w:bCs/>
          <w:color w:val="C45911" w:themeColor="accent2" w:themeShade="BF"/>
          <w:lang w:bidi="en-US"/>
        </w:rPr>
      </w:pPr>
      <w:r w:rsidRPr="00226540">
        <w:rPr>
          <w:b/>
          <w:bCs/>
          <w:color w:val="C45911" w:themeColor="accent2" w:themeShade="BF"/>
          <w:lang w:bidi="en-US"/>
        </w:rPr>
        <w:t>Sieciowanie i stała współpraca</w:t>
      </w:r>
    </w:p>
    <w:p w14:paraId="7D145CAD" w14:textId="61F10400" w:rsidR="00B80A72" w:rsidRDefault="00743A40" w:rsidP="00B80A72">
      <w:pPr>
        <w:rPr>
          <w:lang w:bidi="en-US"/>
        </w:rPr>
      </w:pPr>
      <w:r>
        <w:rPr>
          <w:lang w:bidi="en-US"/>
        </w:rPr>
        <w:t>Budowanie sieciowych relacji pomiędzy instytucjami, organizacjami, grupami osób i</w:t>
      </w:r>
      <w:r w:rsidR="005A22F2">
        <w:rPr>
          <w:lang w:bidi="en-US"/>
        </w:rPr>
        <w:t> </w:t>
      </w:r>
      <w:r>
        <w:rPr>
          <w:lang w:bidi="en-US"/>
        </w:rPr>
        <w:t xml:space="preserve">poszczególnymi mieszkańcami stanowi silną bazę dla dalszej współpracy oraz realizacji kolejnych przedsięwzięć. Stworzenie odpowiednich warunków do budowania relacji sieciowych jest szczególnie istotne podczas działań partycypacyjnych. Wszyscy zaangażowani interesariusze powinni </w:t>
      </w:r>
      <w:r>
        <w:t xml:space="preserve">wiedzieć, w ramach jakich mechanizmów i zasad działają. Jest to szczególnie ważne przy działaniach z zakresu planowania przestrzennego, przedsięwzięciach zintegrowanych oraz w trakcie innych prac projektowych. </w:t>
      </w:r>
    </w:p>
    <w:p w14:paraId="0ADC96A7" w14:textId="5C2ADFF2" w:rsidR="00A958C3" w:rsidRPr="00226540" w:rsidRDefault="00743A40">
      <w:pPr>
        <w:pStyle w:val="Akapitzlist"/>
        <w:numPr>
          <w:ilvl w:val="0"/>
          <w:numId w:val="6"/>
        </w:numPr>
        <w:spacing w:after="0"/>
        <w:ind w:left="284" w:hanging="284"/>
        <w:contextualSpacing w:val="0"/>
        <w:rPr>
          <w:b/>
          <w:bCs/>
          <w:color w:val="C45911" w:themeColor="accent2" w:themeShade="BF"/>
          <w:lang w:bidi="en-US"/>
        </w:rPr>
      </w:pPr>
      <w:r w:rsidRPr="00226540">
        <w:rPr>
          <w:b/>
          <w:bCs/>
          <w:color w:val="C45911" w:themeColor="accent2" w:themeShade="BF"/>
          <w:lang w:bidi="en-US"/>
        </w:rPr>
        <w:t>Racjonalność wydatków</w:t>
      </w:r>
    </w:p>
    <w:p w14:paraId="2D3C2B09" w14:textId="25FC4FE1" w:rsidR="00743A40" w:rsidRDefault="00743A40" w:rsidP="00743A40">
      <w:pPr>
        <w:rPr>
          <w:lang w:bidi="en-US"/>
        </w:rPr>
      </w:pPr>
      <w:r w:rsidRPr="00743A40">
        <w:rPr>
          <w:lang w:bidi="en-US"/>
        </w:rPr>
        <w:t xml:space="preserve">Tworzenie mechanizmów zarządczych w samorządzie </w:t>
      </w:r>
      <w:r w:rsidR="00ED2B51">
        <w:rPr>
          <w:lang w:bidi="en-US"/>
        </w:rPr>
        <w:t>gminnym</w:t>
      </w:r>
      <w:r w:rsidRPr="00743A40">
        <w:rPr>
          <w:lang w:bidi="en-US"/>
        </w:rPr>
        <w:t xml:space="preserve"> nie powinno prowadzić do mnożenia struktur i nieuzasadnionego wydatkowania środków publicznych.</w:t>
      </w:r>
    </w:p>
    <w:p w14:paraId="669A75BF" w14:textId="77777777" w:rsidR="00B0226B" w:rsidRDefault="00B0226B" w:rsidP="00743A40">
      <w:pPr>
        <w:rPr>
          <w:lang w:bidi="en-US"/>
        </w:rPr>
      </w:pPr>
    </w:p>
    <w:p w14:paraId="08E219C6" w14:textId="77777777" w:rsidR="00B0226B" w:rsidRDefault="00B0226B" w:rsidP="00743A40">
      <w:pPr>
        <w:rPr>
          <w:lang w:bidi="en-US"/>
        </w:rPr>
      </w:pPr>
    </w:p>
    <w:p w14:paraId="047EF068" w14:textId="6F2F7667" w:rsidR="00743A40" w:rsidRPr="00226540" w:rsidRDefault="00743A40">
      <w:pPr>
        <w:pStyle w:val="Akapitzlist"/>
        <w:numPr>
          <w:ilvl w:val="0"/>
          <w:numId w:val="6"/>
        </w:numPr>
        <w:spacing w:after="0"/>
        <w:ind w:left="284" w:hanging="284"/>
        <w:contextualSpacing w:val="0"/>
        <w:rPr>
          <w:b/>
          <w:bCs/>
          <w:color w:val="C45911" w:themeColor="accent2" w:themeShade="BF"/>
          <w:lang w:bidi="en-US"/>
        </w:rPr>
      </w:pPr>
      <w:r w:rsidRPr="00226540">
        <w:rPr>
          <w:b/>
          <w:bCs/>
          <w:color w:val="C45911" w:themeColor="accent2" w:themeShade="BF"/>
          <w:lang w:bidi="en-US"/>
        </w:rPr>
        <w:lastRenderedPageBreak/>
        <w:t>Elastyczne rozwiązania</w:t>
      </w:r>
    </w:p>
    <w:p w14:paraId="0AA87D4B" w14:textId="03B0A3B6" w:rsidR="00743A40" w:rsidRDefault="00494563" w:rsidP="00743A40">
      <w:pPr>
        <w:rPr>
          <w:lang w:bidi="en-US"/>
        </w:rPr>
      </w:pPr>
      <w:r w:rsidRPr="00494563">
        <w:rPr>
          <w:lang w:bidi="en-US"/>
        </w:rPr>
        <w:t xml:space="preserve">Na etapie tworzenia Strategii, a nawet w początkowym procesie jej wdrażania, nie uda się trafnie przewidzieć wszystkich uwarunkowań tak, aby szczegółowo zaplanować mechanizmy zapewniające efektywność działań. </w:t>
      </w:r>
      <w:r w:rsidR="00743A40">
        <w:rPr>
          <w:lang w:bidi="en-US"/>
        </w:rPr>
        <w:t xml:space="preserve">Ponadto uwarunkowania </w:t>
      </w:r>
      <w:r>
        <w:rPr>
          <w:lang w:bidi="en-US"/>
        </w:rPr>
        <w:t>te</w:t>
      </w:r>
      <w:r w:rsidR="00743A40">
        <w:rPr>
          <w:lang w:bidi="en-US"/>
        </w:rPr>
        <w:t xml:space="preserve"> z czasem </w:t>
      </w:r>
      <w:r>
        <w:rPr>
          <w:lang w:bidi="en-US"/>
        </w:rPr>
        <w:t>mogą</w:t>
      </w:r>
      <w:r w:rsidR="00743A40">
        <w:rPr>
          <w:lang w:bidi="en-US"/>
        </w:rPr>
        <w:t xml:space="preserve"> ulegać </w:t>
      </w:r>
      <w:r>
        <w:rPr>
          <w:lang w:bidi="en-US"/>
        </w:rPr>
        <w:t xml:space="preserve">istotnym </w:t>
      </w:r>
      <w:r w:rsidR="00743A40">
        <w:rPr>
          <w:lang w:bidi="en-US"/>
        </w:rPr>
        <w:t>zmianom.</w:t>
      </w:r>
      <w:r>
        <w:rPr>
          <w:lang w:bidi="en-US"/>
        </w:rPr>
        <w:t xml:space="preserve"> </w:t>
      </w:r>
      <w:r w:rsidR="005D3FF8" w:rsidRPr="005D3FF8">
        <w:rPr>
          <w:lang w:bidi="en-US"/>
        </w:rPr>
        <w:t xml:space="preserve">Konieczność zachowania elastyczności w procesie wdrażania Strategii </w:t>
      </w:r>
      <w:r w:rsidR="005D3FF8">
        <w:rPr>
          <w:lang w:bidi="en-US"/>
        </w:rPr>
        <w:t>Rozwoju Gminy Opole Lubelskie na lata 202</w:t>
      </w:r>
      <w:r w:rsidR="006A28A9">
        <w:rPr>
          <w:lang w:bidi="en-US"/>
        </w:rPr>
        <w:t>5</w:t>
      </w:r>
      <w:r w:rsidR="005D3FF8">
        <w:rPr>
          <w:lang w:bidi="en-US"/>
        </w:rPr>
        <w:t xml:space="preserve"> -</w:t>
      </w:r>
      <w:r w:rsidR="005D3FF8" w:rsidRPr="005D3FF8">
        <w:rPr>
          <w:lang w:bidi="en-US"/>
        </w:rPr>
        <w:t xml:space="preserve"> 2030 uwarunkowana jest przede wszystkim: </w:t>
      </w:r>
      <w:r>
        <w:rPr>
          <w:lang w:bidi="en-US"/>
        </w:rPr>
        <w:t xml:space="preserve">zmieniającą się </w:t>
      </w:r>
      <w:r w:rsidR="005D3FF8" w:rsidRPr="005D3FF8">
        <w:rPr>
          <w:lang w:bidi="en-US"/>
        </w:rPr>
        <w:t xml:space="preserve">sytuacją społeczną i gospodarczą </w:t>
      </w:r>
      <w:r>
        <w:rPr>
          <w:lang w:bidi="en-US"/>
        </w:rPr>
        <w:t xml:space="preserve">gminy (np. </w:t>
      </w:r>
      <w:r w:rsidR="005D3FF8" w:rsidRPr="005D3FF8">
        <w:rPr>
          <w:lang w:bidi="en-US"/>
        </w:rPr>
        <w:t>trendami demograficznymi</w:t>
      </w:r>
      <w:r>
        <w:rPr>
          <w:lang w:bidi="en-US"/>
        </w:rPr>
        <w:t>)</w:t>
      </w:r>
      <w:r w:rsidR="005D3FF8" w:rsidRPr="005D3FF8">
        <w:rPr>
          <w:lang w:bidi="en-US"/>
        </w:rPr>
        <w:t>, opiniami</w:t>
      </w:r>
      <w:r>
        <w:rPr>
          <w:lang w:bidi="en-US"/>
        </w:rPr>
        <w:t xml:space="preserve"> i </w:t>
      </w:r>
      <w:r w:rsidR="005D3FF8" w:rsidRPr="005D3FF8">
        <w:rPr>
          <w:lang w:bidi="en-US"/>
        </w:rPr>
        <w:t xml:space="preserve">potrzebami mieszkańców, wpływem inwestycji krajowych i regionalnych, możliwościami finansowania inwestycji w pespektywie finansowej UE 2021 – 2027, sytuacją budżetową, konsekwencjami społecznymi i ekonomicznymi wojny w Ukrainie i epidemii COVID-19 oraz </w:t>
      </w:r>
      <w:r>
        <w:rPr>
          <w:lang w:bidi="en-US"/>
        </w:rPr>
        <w:t xml:space="preserve">sukcesywną </w:t>
      </w:r>
      <w:r w:rsidR="005D3FF8" w:rsidRPr="005D3FF8">
        <w:rPr>
          <w:lang w:bidi="en-US"/>
        </w:rPr>
        <w:t>realizacją celów Umowy Partnerstwa 2021 - 2027 i Strategii Rozwoju Województwa Lubelskiego 2030.</w:t>
      </w:r>
    </w:p>
    <w:p w14:paraId="440EF35D" w14:textId="3B474404" w:rsidR="00A958C3" w:rsidRPr="00226540" w:rsidRDefault="005D3FF8">
      <w:pPr>
        <w:pStyle w:val="Akapitzlist"/>
        <w:numPr>
          <w:ilvl w:val="0"/>
          <w:numId w:val="6"/>
        </w:numPr>
        <w:spacing w:after="0"/>
        <w:ind w:left="284" w:hanging="284"/>
        <w:contextualSpacing w:val="0"/>
        <w:rPr>
          <w:b/>
          <w:bCs/>
          <w:color w:val="C45911" w:themeColor="accent2" w:themeShade="BF"/>
          <w:lang w:bidi="en-US"/>
        </w:rPr>
      </w:pPr>
      <w:r w:rsidRPr="00226540">
        <w:rPr>
          <w:b/>
          <w:bCs/>
          <w:color w:val="C45911" w:themeColor="accent2" w:themeShade="BF"/>
          <w:lang w:bidi="en-US"/>
        </w:rPr>
        <w:t>Spójność z celami polityki regionalnej</w:t>
      </w:r>
    </w:p>
    <w:p w14:paraId="337A7CC4" w14:textId="465C84F3" w:rsidR="005D3FF8" w:rsidRDefault="005D3FF8" w:rsidP="005D3FF8">
      <w:pPr>
        <w:rPr>
          <w:lang w:bidi="en-US"/>
        </w:rPr>
      </w:pPr>
      <w:r>
        <w:rPr>
          <w:lang w:bidi="en-US"/>
        </w:rPr>
        <w:t xml:space="preserve">W procesie opracowania i wdrażania Strategii </w:t>
      </w:r>
      <w:r w:rsidR="0011187D">
        <w:rPr>
          <w:lang w:bidi="en-US"/>
        </w:rPr>
        <w:t>ważną</w:t>
      </w:r>
      <w:r>
        <w:rPr>
          <w:lang w:bidi="en-US"/>
        </w:rPr>
        <w:t xml:space="preserve"> zasadą powinno być zachowanie spójności Strategii z dokumentami strategicznymi i operacyjnymi na poziomie lokalnym, regionalnym</w:t>
      </w:r>
      <w:r w:rsidR="0011187D">
        <w:rPr>
          <w:lang w:bidi="en-US"/>
        </w:rPr>
        <w:t xml:space="preserve">, </w:t>
      </w:r>
      <w:r>
        <w:rPr>
          <w:lang w:bidi="en-US"/>
        </w:rPr>
        <w:t xml:space="preserve">krajowym </w:t>
      </w:r>
      <w:r w:rsidR="0011187D">
        <w:rPr>
          <w:lang w:bidi="en-US"/>
        </w:rPr>
        <w:t>i</w:t>
      </w:r>
      <w:r>
        <w:rPr>
          <w:lang w:bidi="en-US"/>
        </w:rPr>
        <w:t xml:space="preserve"> europejskim. Spójność dokumentów powinna mieć miejsce w</w:t>
      </w:r>
      <w:r w:rsidR="005A22F2">
        <w:rPr>
          <w:lang w:bidi="en-US"/>
        </w:rPr>
        <w:t> </w:t>
      </w:r>
      <w:r>
        <w:rPr>
          <w:lang w:bidi="en-US"/>
        </w:rPr>
        <w:t>kwestii wyznaczonych celów, kierunków działań oraz zakresu przedsięwzięć.</w:t>
      </w:r>
    </w:p>
    <w:p w14:paraId="19B252C2" w14:textId="210CFCC6" w:rsidR="005D3FF8" w:rsidRDefault="005D3FF8" w:rsidP="00C655E7">
      <w:pPr>
        <w:pStyle w:val="Nagwek2"/>
        <w:spacing w:before="240"/>
      </w:pPr>
      <w:bookmarkStart w:id="209" w:name="_Toc191908809"/>
      <w:r>
        <w:t>12.2 Struktura i system zarządzania Strategią</w:t>
      </w:r>
      <w:bookmarkEnd w:id="209"/>
    </w:p>
    <w:p w14:paraId="36088905" w14:textId="54CB1030" w:rsidR="004A458F" w:rsidRDefault="004A458F" w:rsidP="004A458F">
      <w:pPr>
        <w:rPr>
          <w:lang w:bidi="en-US"/>
        </w:rPr>
      </w:pPr>
      <w:r>
        <w:rPr>
          <w:lang w:bidi="en-US"/>
        </w:rPr>
        <w:t xml:space="preserve">System wdrażania Strategii </w:t>
      </w:r>
      <w:r w:rsidRPr="004A458F">
        <w:rPr>
          <w:lang w:bidi="en-US"/>
        </w:rPr>
        <w:t>Rozwoju Gminy Opole Lubelskie na lata 202</w:t>
      </w:r>
      <w:r w:rsidR="006A28A9">
        <w:rPr>
          <w:lang w:bidi="en-US"/>
        </w:rPr>
        <w:t>5</w:t>
      </w:r>
      <w:r w:rsidRPr="004A458F">
        <w:rPr>
          <w:lang w:bidi="en-US"/>
        </w:rPr>
        <w:t xml:space="preserve"> </w:t>
      </w:r>
      <w:r>
        <w:rPr>
          <w:lang w:bidi="en-US"/>
        </w:rPr>
        <w:t>–</w:t>
      </w:r>
      <w:r w:rsidRPr="004A458F">
        <w:rPr>
          <w:lang w:bidi="en-US"/>
        </w:rPr>
        <w:t xml:space="preserve"> 2030</w:t>
      </w:r>
      <w:r>
        <w:rPr>
          <w:lang w:bidi="en-US"/>
        </w:rPr>
        <w:t xml:space="preserve"> stanowi integralną część procesu zarządzania strategicznego polityką rozwoju prowadzonego przez samorządy gminy. W systemie realizacji Strategii, kluczową rolę odgrywać będzie przywództwo organizacyjne władz gminy, rozumiane jako strategiczna rola organów wykonawczych samorządów w stymulowaniu i koordynacji działań podejmowanych przez różnorodne podmioty i środowiska, jak również w  mobilizowaniu oraz integrowaniu zasobów pozostających w ich dyspozycji na rzecz realizacji celów Strategii. Projekty w ramach Strategii będą realizowane w różnych okresach czasowych przy zaangażowaniu zróżnicowanych instrumentów obejmujących narzędzia organizacyjne i finansowe, których zakres przedmiotowy oraz kierunki wydatkowania podlegają bezpośredniej kontroli ze strony organów samorządu gminy Opole Lubelskie. </w:t>
      </w:r>
    </w:p>
    <w:p w14:paraId="007D58F8" w14:textId="6D755A60" w:rsidR="004A458F" w:rsidRDefault="004A458F" w:rsidP="004A458F">
      <w:pPr>
        <w:rPr>
          <w:lang w:bidi="en-US"/>
        </w:rPr>
      </w:pPr>
      <w:r>
        <w:rPr>
          <w:lang w:bidi="en-US"/>
        </w:rPr>
        <w:t xml:space="preserve">Strategia skupia się na zadaniach, za które odpowiedzialny jest samorząd gminny zgodnie z </w:t>
      </w:r>
      <w:r w:rsidR="000C6EBC">
        <w:rPr>
          <w:lang w:bidi="en-US"/>
        </w:rPr>
        <w:t> </w:t>
      </w:r>
      <w:r>
        <w:rPr>
          <w:lang w:bidi="en-US"/>
        </w:rPr>
        <w:t>jego kompetencjami ustawowymi. Nie ogranicza się jednak wyłącznie do tych zadań ale angażuje i inicjuje działania realizowane w szerszych partnerstwach. Znajduje to wyraz w</w:t>
      </w:r>
      <w:r w:rsidR="00C2310E">
        <w:rPr>
          <w:lang w:bidi="en-US"/>
        </w:rPr>
        <w:t> </w:t>
      </w:r>
      <w:r>
        <w:rPr>
          <w:lang w:bidi="en-US"/>
        </w:rPr>
        <w:t xml:space="preserve">Rozdziale </w:t>
      </w:r>
      <w:r w:rsidRPr="00643755">
        <w:rPr>
          <w:lang w:bidi="en-US"/>
        </w:rPr>
        <w:t>1</w:t>
      </w:r>
      <w:r w:rsidR="00643755" w:rsidRPr="00643755">
        <w:rPr>
          <w:lang w:bidi="en-US"/>
        </w:rPr>
        <w:t>0</w:t>
      </w:r>
      <w:r w:rsidRPr="00643755">
        <w:rPr>
          <w:lang w:bidi="en-US"/>
        </w:rPr>
        <w:t>.2</w:t>
      </w:r>
      <w:r>
        <w:rPr>
          <w:lang w:bidi="en-US"/>
        </w:rPr>
        <w:t xml:space="preserve"> </w:t>
      </w:r>
      <w:r w:rsidRPr="004A458F">
        <w:rPr>
          <w:i/>
          <w:iCs/>
          <w:lang w:bidi="en-US"/>
        </w:rPr>
        <w:t xml:space="preserve">Potencjalne kierunki </w:t>
      </w:r>
      <w:r w:rsidR="00643755">
        <w:rPr>
          <w:i/>
          <w:iCs/>
          <w:lang w:bidi="en-US"/>
        </w:rPr>
        <w:t>interwencji</w:t>
      </w:r>
      <w:r w:rsidRPr="004A458F">
        <w:rPr>
          <w:i/>
          <w:iCs/>
          <w:lang w:bidi="en-US"/>
        </w:rPr>
        <w:t xml:space="preserve"> w wymiarze terytorialnym</w:t>
      </w:r>
      <w:r>
        <w:rPr>
          <w:lang w:bidi="en-US"/>
        </w:rPr>
        <w:t xml:space="preserve">, dla których jednostkami realizującymi będą zarówno władze gminny oraz jednostki organizacyjne gminy, jak również partnerzy </w:t>
      </w:r>
      <w:r w:rsidR="00AA330E">
        <w:rPr>
          <w:lang w:bidi="en-US"/>
        </w:rPr>
        <w:t>lokalni</w:t>
      </w:r>
      <w:r>
        <w:rPr>
          <w:lang w:bidi="en-US"/>
        </w:rPr>
        <w:t xml:space="preserve">, administracja rządowa, samorząd powiatowy i wojewódzki oraz podmioty prywatne i organizacje pozarządowe. </w:t>
      </w:r>
    </w:p>
    <w:p w14:paraId="0F7A89C8" w14:textId="414B64D4" w:rsidR="006A2B92" w:rsidRDefault="003740E3" w:rsidP="003740E3">
      <w:pPr>
        <w:rPr>
          <w:lang w:bidi="en-US"/>
        </w:rPr>
      </w:pPr>
      <w:r>
        <w:rPr>
          <w:lang w:bidi="en-US"/>
        </w:rPr>
        <w:t>System wdrażania Strategii oparty będzie o model koordynacyjny, polegający na wykorzystaniu bieżącego zasobu informacji gromadzonych w ramach działań realizowanych przez poszczególne jednostki organizacyjne Urzędu Mi</w:t>
      </w:r>
      <w:r w:rsidR="006D3845">
        <w:rPr>
          <w:lang w:bidi="en-US"/>
        </w:rPr>
        <w:t>ejskiego</w:t>
      </w:r>
      <w:r>
        <w:rPr>
          <w:lang w:bidi="en-US"/>
        </w:rPr>
        <w:t xml:space="preserve"> w </w:t>
      </w:r>
      <w:r w:rsidR="006D3845">
        <w:rPr>
          <w:lang w:bidi="en-US"/>
        </w:rPr>
        <w:t xml:space="preserve">Opolu Lubelskim w </w:t>
      </w:r>
      <w:r>
        <w:rPr>
          <w:lang w:bidi="en-US"/>
        </w:rPr>
        <w:t xml:space="preserve">związku z realizacją strategii, programów i projektów, które są wdrażane, aktualizowane lub nowotworzone na poziome merytorycznie odpowiedzialnych za nie </w:t>
      </w:r>
      <w:r w:rsidR="006D3845">
        <w:rPr>
          <w:lang w:bidi="en-US"/>
        </w:rPr>
        <w:t>W</w:t>
      </w:r>
      <w:r>
        <w:rPr>
          <w:lang w:bidi="en-US"/>
        </w:rPr>
        <w:t>ydziałów.</w:t>
      </w:r>
      <w:r w:rsidR="006A2B92">
        <w:rPr>
          <w:lang w:bidi="en-US"/>
        </w:rPr>
        <w:t xml:space="preserve"> </w:t>
      </w:r>
    </w:p>
    <w:p w14:paraId="439CBD7B" w14:textId="53F9CA8C" w:rsidR="003740E3" w:rsidRDefault="003740E3" w:rsidP="003740E3">
      <w:pPr>
        <w:rPr>
          <w:lang w:bidi="en-US"/>
        </w:rPr>
      </w:pPr>
      <w:r>
        <w:rPr>
          <w:lang w:bidi="en-US"/>
        </w:rPr>
        <w:lastRenderedPageBreak/>
        <w:t>Za zapewnienie spójności pomiędzy rozstrzygnięciami</w:t>
      </w:r>
      <w:r w:rsidR="006A2B92">
        <w:rPr>
          <w:lang w:bidi="en-US"/>
        </w:rPr>
        <w:t xml:space="preserve"> </w:t>
      </w:r>
      <w:r>
        <w:rPr>
          <w:lang w:bidi="en-US"/>
        </w:rPr>
        <w:t>Strategii a strategiami i programami funkcjonalnymi</w:t>
      </w:r>
      <w:r w:rsidR="006A2B92">
        <w:rPr>
          <w:lang w:bidi="en-US"/>
        </w:rPr>
        <w:t xml:space="preserve"> </w:t>
      </w:r>
      <w:r>
        <w:rPr>
          <w:lang w:bidi="en-US"/>
        </w:rPr>
        <w:t xml:space="preserve">odpowiedzialny będzie Koordynator </w:t>
      </w:r>
      <w:r w:rsidR="006A2B92">
        <w:rPr>
          <w:lang w:bidi="en-US"/>
        </w:rPr>
        <w:t xml:space="preserve">(jednostka koordynując) </w:t>
      </w:r>
      <w:r>
        <w:rPr>
          <w:lang w:bidi="en-US"/>
        </w:rPr>
        <w:t>proces</w:t>
      </w:r>
      <w:r w:rsidR="006A2B92">
        <w:rPr>
          <w:lang w:bidi="en-US"/>
        </w:rPr>
        <w:t>u</w:t>
      </w:r>
      <w:r>
        <w:rPr>
          <w:lang w:bidi="en-US"/>
        </w:rPr>
        <w:t xml:space="preserve"> wdrażania,</w:t>
      </w:r>
      <w:r w:rsidR="006A2B92">
        <w:rPr>
          <w:lang w:bidi="en-US"/>
        </w:rPr>
        <w:t xml:space="preserve"> </w:t>
      </w:r>
      <w:r>
        <w:rPr>
          <w:lang w:bidi="en-US"/>
        </w:rPr>
        <w:t>monitoringu i ewaluacji Strategii</w:t>
      </w:r>
      <w:r w:rsidR="006A2B92">
        <w:rPr>
          <w:lang w:bidi="en-US"/>
        </w:rPr>
        <w:t xml:space="preserve">, </w:t>
      </w:r>
      <w:r>
        <w:rPr>
          <w:lang w:bidi="en-US"/>
        </w:rPr>
        <w:t xml:space="preserve">tj. </w:t>
      </w:r>
      <w:r w:rsidR="006A2B92">
        <w:rPr>
          <w:lang w:bidi="en-US"/>
        </w:rPr>
        <w:t>W</w:t>
      </w:r>
      <w:r>
        <w:rPr>
          <w:lang w:bidi="en-US"/>
        </w:rPr>
        <w:t xml:space="preserve">ydział </w:t>
      </w:r>
      <w:r w:rsidR="006A2B92" w:rsidRPr="006A2B92">
        <w:rPr>
          <w:lang w:bidi="en-US"/>
        </w:rPr>
        <w:t>Projektów, Strategii i Promocji</w:t>
      </w:r>
      <w:r>
        <w:rPr>
          <w:lang w:bidi="en-US"/>
        </w:rPr>
        <w:t>. Jego funkcją – w kontekście monitoringu i ewaluacji – będzie gromadzenie, analiza i ocena informacji</w:t>
      </w:r>
      <w:r w:rsidR="006A2B92">
        <w:rPr>
          <w:lang w:bidi="en-US"/>
        </w:rPr>
        <w:t xml:space="preserve"> </w:t>
      </w:r>
      <w:r>
        <w:rPr>
          <w:lang w:bidi="en-US"/>
        </w:rPr>
        <w:t xml:space="preserve">dostarczanych przez </w:t>
      </w:r>
      <w:r w:rsidR="006A2B92">
        <w:rPr>
          <w:lang w:bidi="en-US"/>
        </w:rPr>
        <w:t>poszczególne wydziały oraz jednostki organizacyjne,</w:t>
      </w:r>
      <w:r>
        <w:rPr>
          <w:lang w:bidi="en-US"/>
        </w:rPr>
        <w:t xml:space="preserve"> </w:t>
      </w:r>
      <w:r w:rsidR="006A2B92">
        <w:rPr>
          <w:lang w:bidi="en-US"/>
        </w:rPr>
        <w:t>realizujące</w:t>
      </w:r>
      <w:r>
        <w:rPr>
          <w:lang w:bidi="en-US"/>
        </w:rPr>
        <w:t xml:space="preserve"> poszczególne strategie</w:t>
      </w:r>
      <w:r w:rsidR="006A2B92">
        <w:rPr>
          <w:lang w:bidi="en-US"/>
        </w:rPr>
        <w:t xml:space="preserve">, </w:t>
      </w:r>
      <w:r>
        <w:rPr>
          <w:lang w:bidi="en-US"/>
        </w:rPr>
        <w:t xml:space="preserve">programy </w:t>
      </w:r>
      <w:r w:rsidR="006A2B92">
        <w:rPr>
          <w:lang w:bidi="en-US"/>
        </w:rPr>
        <w:t>i projekty</w:t>
      </w:r>
      <w:r>
        <w:rPr>
          <w:lang w:bidi="en-US"/>
        </w:rPr>
        <w:t xml:space="preserve">, a także przekazywanie stosownie opracowanej informacji </w:t>
      </w:r>
      <w:r w:rsidR="006A2B92">
        <w:rPr>
          <w:lang w:bidi="en-US"/>
        </w:rPr>
        <w:t>Burmistrzowi Opola Lubelskiego.</w:t>
      </w:r>
    </w:p>
    <w:p w14:paraId="5BF17C53" w14:textId="77777777" w:rsidR="003B2E35" w:rsidRPr="000C6EBC" w:rsidRDefault="003B2E35" w:rsidP="000C6EBC">
      <w:pPr>
        <w:spacing w:after="0"/>
        <w:rPr>
          <w:b/>
          <w:bCs/>
          <w:color w:val="C45911" w:themeColor="accent2" w:themeShade="BF"/>
          <w:lang w:bidi="en-US"/>
        </w:rPr>
      </w:pPr>
      <w:r w:rsidRPr="000C6EBC">
        <w:rPr>
          <w:b/>
          <w:bCs/>
          <w:color w:val="C45911" w:themeColor="accent2" w:themeShade="BF"/>
          <w:lang w:bidi="en-US"/>
        </w:rPr>
        <w:t>Układ instytucjonalny wdrażania strategii stanowić będą:</w:t>
      </w:r>
    </w:p>
    <w:p w14:paraId="5A3B5311" w14:textId="60A72887" w:rsidR="003B2E35" w:rsidRPr="003B2E35" w:rsidRDefault="003B2E35">
      <w:pPr>
        <w:pStyle w:val="Akapitzlist"/>
        <w:numPr>
          <w:ilvl w:val="0"/>
          <w:numId w:val="39"/>
        </w:numPr>
        <w:tabs>
          <w:tab w:val="left" w:pos="284"/>
        </w:tabs>
        <w:spacing w:after="0"/>
        <w:ind w:hanging="720"/>
        <w:rPr>
          <w:lang w:bidi="en-US"/>
        </w:rPr>
      </w:pPr>
      <w:bookmarkStart w:id="210" w:name="_Hlk158210451"/>
      <w:r w:rsidRPr="003B2E35">
        <w:rPr>
          <w:lang w:bidi="en-US"/>
        </w:rPr>
        <w:t>Rada Mi</w:t>
      </w:r>
      <w:r>
        <w:rPr>
          <w:lang w:bidi="en-US"/>
        </w:rPr>
        <w:t>ejska w</w:t>
      </w:r>
      <w:r w:rsidRPr="003B2E35">
        <w:rPr>
          <w:lang w:bidi="en-US"/>
        </w:rPr>
        <w:t xml:space="preserve"> </w:t>
      </w:r>
      <w:r>
        <w:rPr>
          <w:lang w:bidi="en-US"/>
        </w:rPr>
        <w:t>Opolu Lubelskim,</w:t>
      </w:r>
    </w:p>
    <w:bookmarkEnd w:id="210"/>
    <w:p w14:paraId="0BD0D403" w14:textId="5EE13376" w:rsidR="00104E89" w:rsidRDefault="003B2E35">
      <w:pPr>
        <w:pStyle w:val="Akapitzlist"/>
        <w:numPr>
          <w:ilvl w:val="0"/>
          <w:numId w:val="39"/>
        </w:numPr>
        <w:tabs>
          <w:tab w:val="left" w:pos="284"/>
        </w:tabs>
        <w:spacing w:after="0"/>
        <w:ind w:hanging="720"/>
        <w:rPr>
          <w:lang w:bidi="en-US"/>
        </w:rPr>
      </w:pPr>
      <w:r>
        <w:rPr>
          <w:lang w:bidi="en-US"/>
        </w:rPr>
        <w:t>Burmistrz</w:t>
      </w:r>
      <w:r w:rsidRPr="003B2E35">
        <w:rPr>
          <w:lang w:bidi="en-US"/>
        </w:rPr>
        <w:t xml:space="preserve"> </w:t>
      </w:r>
      <w:r>
        <w:rPr>
          <w:lang w:bidi="en-US"/>
        </w:rPr>
        <w:t>Opol</w:t>
      </w:r>
      <w:r w:rsidR="004D18AD">
        <w:rPr>
          <w:lang w:bidi="en-US"/>
        </w:rPr>
        <w:t>a</w:t>
      </w:r>
      <w:r>
        <w:rPr>
          <w:lang w:bidi="en-US"/>
        </w:rPr>
        <w:t xml:space="preserve"> Lubelskie</w:t>
      </w:r>
      <w:r w:rsidR="004D18AD">
        <w:rPr>
          <w:lang w:bidi="en-US"/>
        </w:rPr>
        <w:t>go</w:t>
      </w:r>
      <w:r>
        <w:rPr>
          <w:lang w:bidi="en-US"/>
        </w:rPr>
        <w:t>,</w:t>
      </w:r>
    </w:p>
    <w:p w14:paraId="0A3CAD70" w14:textId="3E971803" w:rsidR="006A2B92" w:rsidRDefault="006A2B92">
      <w:pPr>
        <w:pStyle w:val="Akapitzlist"/>
        <w:numPr>
          <w:ilvl w:val="0"/>
          <w:numId w:val="39"/>
        </w:numPr>
        <w:tabs>
          <w:tab w:val="left" w:pos="284"/>
        </w:tabs>
        <w:spacing w:after="0"/>
        <w:ind w:hanging="720"/>
        <w:rPr>
          <w:lang w:bidi="en-US"/>
        </w:rPr>
      </w:pPr>
      <w:bookmarkStart w:id="211" w:name="_Hlk158211784"/>
      <w:r>
        <w:rPr>
          <w:lang w:bidi="en-US"/>
        </w:rPr>
        <w:t>Koordynator wdrażania strategii</w:t>
      </w:r>
    </w:p>
    <w:bookmarkEnd w:id="211"/>
    <w:p w14:paraId="45667376" w14:textId="1F46E369" w:rsidR="003B2E35" w:rsidRDefault="00950416">
      <w:pPr>
        <w:pStyle w:val="Akapitzlist"/>
        <w:numPr>
          <w:ilvl w:val="0"/>
          <w:numId w:val="39"/>
        </w:numPr>
        <w:tabs>
          <w:tab w:val="left" w:pos="284"/>
        </w:tabs>
        <w:spacing w:after="0"/>
        <w:ind w:hanging="720"/>
        <w:rPr>
          <w:lang w:bidi="en-US"/>
        </w:rPr>
      </w:pPr>
      <w:r>
        <w:rPr>
          <w:lang w:bidi="en-US"/>
        </w:rPr>
        <w:t>Zespoły robocze</w:t>
      </w:r>
      <w:r w:rsidR="004D18AD">
        <w:rPr>
          <w:lang w:bidi="en-US"/>
        </w:rPr>
        <w:t xml:space="preserve"> ds. wdrażania strategii</w:t>
      </w:r>
    </w:p>
    <w:p w14:paraId="4D0809A3" w14:textId="68ABCEAB" w:rsidR="004D18AD" w:rsidRDefault="004D18AD">
      <w:pPr>
        <w:pStyle w:val="Akapitzlist"/>
        <w:numPr>
          <w:ilvl w:val="0"/>
          <w:numId w:val="39"/>
        </w:numPr>
        <w:tabs>
          <w:tab w:val="left" w:pos="284"/>
        </w:tabs>
        <w:spacing w:after="0"/>
        <w:ind w:hanging="720"/>
        <w:rPr>
          <w:lang w:bidi="en-US"/>
        </w:rPr>
      </w:pPr>
      <w:r>
        <w:rPr>
          <w:lang w:bidi="en-US"/>
        </w:rPr>
        <w:t>Partnerzy społeczni i gospodarczy</w:t>
      </w:r>
    </w:p>
    <w:p w14:paraId="67C2EF07" w14:textId="77777777" w:rsidR="004D18AD" w:rsidRDefault="004D18AD" w:rsidP="004D18AD">
      <w:pPr>
        <w:tabs>
          <w:tab w:val="left" w:pos="284"/>
        </w:tabs>
        <w:spacing w:after="0"/>
        <w:rPr>
          <w:lang w:bidi="en-US"/>
        </w:rPr>
      </w:pPr>
    </w:p>
    <w:p w14:paraId="31E829E2" w14:textId="796535B1" w:rsidR="004D18AD" w:rsidRDefault="004D18AD" w:rsidP="004D18AD">
      <w:pPr>
        <w:tabs>
          <w:tab w:val="left" w:pos="284"/>
        </w:tabs>
        <w:spacing w:after="0"/>
        <w:rPr>
          <w:b/>
          <w:bCs/>
          <w:lang w:bidi="en-US"/>
        </w:rPr>
      </w:pPr>
      <w:r w:rsidRPr="004D18AD">
        <w:rPr>
          <w:b/>
          <w:bCs/>
          <w:lang w:bidi="en-US"/>
        </w:rPr>
        <w:t>Rada Miejska w Opolu Lubelskim</w:t>
      </w:r>
    </w:p>
    <w:p w14:paraId="30049C6D" w14:textId="45C80964" w:rsidR="006A2B92" w:rsidRDefault="004D18AD" w:rsidP="006A2B92">
      <w:pPr>
        <w:tabs>
          <w:tab w:val="left" w:pos="284"/>
        </w:tabs>
        <w:rPr>
          <w:lang w:bidi="en-US"/>
        </w:rPr>
      </w:pPr>
      <w:r w:rsidRPr="004D18AD">
        <w:rPr>
          <w:lang w:bidi="en-US"/>
        </w:rPr>
        <w:t>Rada Mi</w:t>
      </w:r>
      <w:r>
        <w:rPr>
          <w:lang w:bidi="en-US"/>
        </w:rPr>
        <w:t>ejska</w:t>
      </w:r>
      <w:r w:rsidRPr="004D18AD">
        <w:rPr>
          <w:lang w:bidi="en-US"/>
        </w:rPr>
        <w:t xml:space="preserve"> jest zespołem demokratycznie wybranych reprezentantów mieszkańców</w:t>
      </w:r>
      <w:r>
        <w:rPr>
          <w:lang w:bidi="en-US"/>
        </w:rPr>
        <w:t xml:space="preserve"> gminy</w:t>
      </w:r>
      <w:r w:rsidRPr="004D18AD">
        <w:rPr>
          <w:lang w:bidi="en-US"/>
        </w:rPr>
        <w:t>. Pełni funkcję</w:t>
      </w:r>
      <w:r>
        <w:rPr>
          <w:lang w:bidi="en-US"/>
        </w:rPr>
        <w:t xml:space="preserve"> </w:t>
      </w:r>
      <w:r w:rsidRPr="004D18AD">
        <w:rPr>
          <w:lang w:bidi="en-US"/>
        </w:rPr>
        <w:t>stanowiącą i kontrolną, a do jej właściwości należą wszystkie sprawy pozostające w zakresie działania</w:t>
      </w:r>
      <w:r>
        <w:rPr>
          <w:lang w:bidi="en-US"/>
        </w:rPr>
        <w:t xml:space="preserve"> </w:t>
      </w:r>
      <w:r w:rsidRPr="004D18AD">
        <w:rPr>
          <w:lang w:bidi="en-US"/>
        </w:rPr>
        <w:t>gminy, o ile ustawy nie stanowią inaczej. Rada podejmuje</w:t>
      </w:r>
      <w:r>
        <w:rPr>
          <w:lang w:bidi="en-US"/>
        </w:rPr>
        <w:t xml:space="preserve"> </w:t>
      </w:r>
      <w:r w:rsidRPr="004D18AD">
        <w:rPr>
          <w:lang w:bidi="en-US"/>
        </w:rPr>
        <w:t>uchwały w</w:t>
      </w:r>
      <w:r w:rsidR="000C6EBC">
        <w:rPr>
          <w:lang w:bidi="en-US"/>
        </w:rPr>
        <w:t> </w:t>
      </w:r>
      <w:r w:rsidRPr="004D18AD">
        <w:rPr>
          <w:lang w:bidi="en-US"/>
        </w:rPr>
        <w:t xml:space="preserve"> sprawie przyjęcia </w:t>
      </w:r>
      <w:r w:rsidR="006A2B92">
        <w:rPr>
          <w:lang w:bidi="en-US"/>
        </w:rPr>
        <w:t xml:space="preserve">i aktualizacji </w:t>
      </w:r>
      <w:r w:rsidRPr="004D18AD">
        <w:rPr>
          <w:lang w:bidi="en-US"/>
        </w:rPr>
        <w:t xml:space="preserve">strategii rozwoju oraz </w:t>
      </w:r>
      <w:r>
        <w:rPr>
          <w:lang w:bidi="en-US"/>
        </w:rPr>
        <w:t xml:space="preserve">innych </w:t>
      </w:r>
      <w:r w:rsidRPr="004D18AD">
        <w:rPr>
          <w:lang w:bidi="en-US"/>
        </w:rPr>
        <w:t>programów, które stanowią operacyjne</w:t>
      </w:r>
      <w:r>
        <w:rPr>
          <w:lang w:bidi="en-US"/>
        </w:rPr>
        <w:t xml:space="preserve"> </w:t>
      </w:r>
      <w:r w:rsidRPr="004D18AD">
        <w:rPr>
          <w:lang w:bidi="en-US"/>
        </w:rPr>
        <w:t xml:space="preserve">rozwinięcie zapisów strategii, a także </w:t>
      </w:r>
      <w:r>
        <w:rPr>
          <w:lang w:bidi="en-US"/>
        </w:rPr>
        <w:t xml:space="preserve">dokumentów i planów związanych z </w:t>
      </w:r>
      <w:r w:rsidR="000C6EBC">
        <w:rPr>
          <w:lang w:bidi="en-US"/>
        </w:rPr>
        <w:t> </w:t>
      </w:r>
      <w:r>
        <w:rPr>
          <w:lang w:bidi="en-US"/>
        </w:rPr>
        <w:t>zagospodarowaniem przestrzennym</w:t>
      </w:r>
      <w:r w:rsidRPr="004D18AD">
        <w:rPr>
          <w:lang w:bidi="en-US"/>
        </w:rPr>
        <w:t>.</w:t>
      </w:r>
      <w:r>
        <w:rPr>
          <w:lang w:bidi="en-US"/>
        </w:rPr>
        <w:t xml:space="preserve"> </w:t>
      </w:r>
      <w:r w:rsidRPr="004D18AD">
        <w:rPr>
          <w:lang w:bidi="en-US"/>
        </w:rPr>
        <w:t xml:space="preserve">Decyduje także o ostatecznym kształcie budżetu w </w:t>
      </w:r>
      <w:r w:rsidR="000C6EBC">
        <w:rPr>
          <w:lang w:bidi="en-US"/>
        </w:rPr>
        <w:t> </w:t>
      </w:r>
      <w:r w:rsidRPr="004D18AD">
        <w:rPr>
          <w:lang w:bidi="en-US"/>
        </w:rPr>
        <w:t>jednorocznym i</w:t>
      </w:r>
      <w:r>
        <w:rPr>
          <w:lang w:bidi="en-US"/>
        </w:rPr>
        <w:t xml:space="preserve"> </w:t>
      </w:r>
      <w:r w:rsidRPr="004D18AD">
        <w:rPr>
          <w:lang w:bidi="en-US"/>
        </w:rPr>
        <w:t>wieloletnim horyzoncie czasowym</w:t>
      </w:r>
      <w:r>
        <w:rPr>
          <w:lang w:bidi="en-US"/>
        </w:rPr>
        <w:t xml:space="preserve">. </w:t>
      </w:r>
    </w:p>
    <w:p w14:paraId="034851C6" w14:textId="0875BE2C" w:rsidR="006A2B92" w:rsidRPr="006A2B92" w:rsidRDefault="006A2B92" w:rsidP="006A2B92">
      <w:pPr>
        <w:tabs>
          <w:tab w:val="left" w:pos="284"/>
        </w:tabs>
        <w:spacing w:after="0"/>
        <w:rPr>
          <w:b/>
          <w:bCs/>
          <w:lang w:bidi="en-US"/>
        </w:rPr>
      </w:pPr>
      <w:r w:rsidRPr="006A2B92">
        <w:rPr>
          <w:b/>
          <w:bCs/>
          <w:lang w:bidi="en-US"/>
        </w:rPr>
        <w:t>Burmistrz Opola Lubelskiego</w:t>
      </w:r>
    </w:p>
    <w:p w14:paraId="29B46424" w14:textId="261D1BC5" w:rsidR="00CA1FAF" w:rsidRDefault="006A2B92" w:rsidP="00CA1FAF">
      <w:pPr>
        <w:tabs>
          <w:tab w:val="left" w:pos="284"/>
        </w:tabs>
        <w:rPr>
          <w:lang w:bidi="en-US"/>
        </w:rPr>
      </w:pPr>
      <w:r>
        <w:rPr>
          <w:lang w:bidi="en-US"/>
        </w:rPr>
        <w:t>Podstawowym podmiotem układu instytucjonalnego wdrażania Strategii jest</w:t>
      </w:r>
      <w:r w:rsidR="00CA1FAF">
        <w:rPr>
          <w:lang w:bidi="en-US"/>
        </w:rPr>
        <w:t xml:space="preserve"> </w:t>
      </w:r>
      <w:r w:rsidR="00CA1FAF" w:rsidRPr="00CA1FAF">
        <w:rPr>
          <w:lang w:bidi="en-US"/>
        </w:rPr>
        <w:t>Burmistrz Opola Lubelskiego</w:t>
      </w:r>
      <w:r>
        <w:rPr>
          <w:lang w:bidi="en-US"/>
        </w:rPr>
        <w:t xml:space="preserve">, na którym spoczywa odpowiedzialność za wykonanie uchwały Rady </w:t>
      </w:r>
      <w:r w:rsidR="00CA1FAF">
        <w:rPr>
          <w:lang w:bidi="en-US"/>
        </w:rPr>
        <w:t xml:space="preserve">Miejskiej </w:t>
      </w:r>
      <w:r>
        <w:rPr>
          <w:lang w:bidi="en-US"/>
        </w:rPr>
        <w:t>w</w:t>
      </w:r>
      <w:r w:rsidR="000C6EBC">
        <w:rPr>
          <w:lang w:bidi="en-US"/>
        </w:rPr>
        <w:t> </w:t>
      </w:r>
      <w:r>
        <w:rPr>
          <w:lang w:bidi="en-US"/>
        </w:rPr>
        <w:t xml:space="preserve"> sprawie przyjęcia strategii do realizacji. Kluczowymi czynnikami sukcesu wdrażania zapisów strategii są</w:t>
      </w:r>
      <w:r w:rsidR="00CA1FAF">
        <w:rPr>
          <w:lang w:bidi="en-US"/>
        </w:rPr>
        <w:t xml:space="preserve"> </w:t>
      </w:r>
      <w:r>
        <w:rPr>
          <w:lang w:bidi="en-US"/>
        </w:rPr>
        <w:t xml:space="preserve">m.in. adekwatna organizacja wewnętrzna </w:t>
      </w:r>
      <w:r w:rsidR="00CA1FAF">
        <w:rPr>
          <w:lang w:bidi="en-US"/>
        </w:rPr>
        <w:t>Urzędu Miejskiego</w:t>
      </w:r>
      <w:r>
        <w:rPr>
          <w:lang w:bidi="en-US"/>
        </w:rPr>
        <w:t>, właściwe zasady operacjonalizacji celów,</w:t>
      </w:r>
      <w:r w:rsidR="00CA1FAF">
        <w:rPr>
          <w:lang w:bidi="en-US"/>
        </w:rPr>
        <w:t xml:space="preserve"> </w:t>
      </w:r>
      <w:r>
        <w:rPr>
          <w:lang w:bidi="en-US"/>
        </w:rPr>
        <w:t xml:space="preserve">pełna informacja wspomagająca wdrażanie zapisów dokumentu, dostosowanie </w:t>
      </w:r>
      <w:r w:rsidR="00CA1FAF">
        <w:rPr>
          <w:lang w:bidi="en-US"/>
        </w:rPr>
        <w:t xml:space="preserve">zasad współpracy jednostek realizujących strategię </w:t>
      </w:r>
      <w:r>
        <w:rPr>
          <w:lang w:bidi="en-US"/>
        </w:rPr>
        <w:t>oraz kultury organizacyjnej do osiągania efektów wdrażania strategii.</w:t>
      </w:r>
    </w:p>
    <w:p w14:paraId="1E4C182C" w14:textId="5CF7BA78" w:rsidR="00CA1FAF" w:rsidRDefault="00CA1FAF" w:rsidP="00CA1FAF">
      <w:pPr>
        <w:tabs>
          <w:tab w:val="left" w:pos="284"/>
        </w:tabs>
        <w:spacing w:after="0"/>
        <w:rPr>
          <w:b/>
          <w:bCs/>
          <w:lang w:bidi="en-US"/>
        </w:rPr>
      </w:pPr>
      <w:r w:rsidRPr="00CA1FAF">
        <w:rPr>
          <w:b/>
          <w:bCs/>
          <w:lang w:bidi="en-US"/>
        </w:rPr>
        <w:t>Koordynator wdrażania strategii</w:t>
      </w:r>
    </w:p>
    <w:p w14:paraId="47C72743" w14:textId="3E4473CE" w:rsidR="00CA1FAF" w:rsidRDefault="00950416" w:rsidP="00CA1FAF">
      <w:pPr>
        <w:tabs>
          <w:tab w:val="left" w:pos="284"/>
        </w:tabs>
        <w:spacing w:after="0"/>
        <w:rPr>
          <w:lang w:bidi="en-US"/>
        </w:rPr>
      </w:pPr>
      <w:r w:rsidRPr="00950416">
        <w:rPr>
          <w:lang w:bidi="en-US"/>
        </w:rPr>
        <w:t>Funkcje Koordynatora wdrażania strategii pełni Wydział Projektów, Strategii i Promocji Urzędu Miejskiego w Opolu Lubelskim</w:t>
      </w:r>
      <w:r>
        <w:rPr>
          <w:lang w:bidi="en-US"/>
        </w:rPr>
        <w:t>, do którego zadań należeć będzie:</w:t>
      </w:r>
    </w:p>
    <w:p w14:paraId="6A5BE1EC" w14:textId="4E05EFC3" w:rsidR="00950416" w:rsidRDefault="00950416">
      <w:pPr>
        <w:pStyle w:val="Akapitzlist"/>
        <w:numPr>
          <w:ilvl w:val="0"/>
          <w:numId w:val="40"/>
        </w:numPr>
        <w:tabs>
          <w:tab w:val="left" w:pos="284"/>
        </w:tabs>
        <w:spacing w:after="0"/>
        <w:ind w:left="284" w:hanging="284"/>
        <w:rPr>
          <w:lang w:bidi="en-US"/>
        </w:rPr>
      </w:pPr>
      <w:r>
        <w:rPr>
          <w:lang w:bidi="en-US"/>
        </w:rPr>
        <w:t>koordynacja działań gminy w zakresie zgodności realizowanych programów i projektów z</w:t>
      </w:r>
      <w:r w:rsidR="000C6EBC">
        <w:rPr>
          <w:lang w:bidi="en-US"/>
        </w:rPr>
        <w:t> </w:t>
      </w:r>
      <w:r>
        <w:rPr>
          <w:lang w:bidi="en-US"/>
        </w:rPr>
        <w:t>zapisami Strategii,</w:t>
      </w:r>
    </w:p>
    <w:p w14:paraId="5DE2D11A" w14:textId="20B54806" w:rsidR="00950416" w:rsidRDefault="00950416">
      <w:pPr>
        <w:pStyle w:val="Akapitzlist"/>
        <w:numPr>
          <w:ilvl w:val="0"/>
          <w:numId w:val="40"/>
        </w:numPr>
        <w:tabs>
          <w:tab w:val="left" w:pos="284"/>
        </w:tabs>
        <w:spacing w:after="0"/>
        <w:ind w:left="284" w:hanging="284"/>
        <w:rPr>
          <w:lang w:bidi="en-US"/>
        </w:rPr>
      </w:pPr>
      <w:r>
        <w:rPr>
          <w:lang w:bidi="en-US"/>
        </w:rPr>
        <w:t xml:space="preserve">rekomendowanie </w:t>
      </w:r>
      <w:r w:rsidRPr="00950416">
        <w:rPr>
          <w:lang w:bidi="en-US"/>
        </w:rPr>
        <w:t>Burmistrz</w:t>
      </w:r>
      <w:r>
        <w:rPr>
          <w:lang w:bidi="en-US"/>
        </w:rPr>
        <w:t>owi</w:t>
      </w:r>
      <w:r w:rsidRPr="00950416">
        <w:rPr>
          <w:lang w:bidi="en-US"/>
        </w:rPr>
        <w:t xml:space="preserve"> Opola Lubelskiego</w:t>
      </w:r>
      <w:r>
        <w:rPr>
          <w:lang w:bidi="en-US"/>
        </w:rPr>
        <w:t xml:space="preserve"> zmian i aktualizacji Strategii,</w:t>
      </w:r>
    </w:p>
    <w:p w14:paraId="09965F6A" w14:textId="1C87E2E6" w:rsidR="00950416" w:rsidRDefault="00950416">
      <w:pPr>
        <w:pStyle w:val="Akapitzlist"/>
        <w:numPr>
          <w:ilvl w:val="0"/>
          <w:numId w:val="40"/>
        </w:numPr>
        <w:tabs>
          <w:tab w:val="left" w:pos="284"/>
        </w:tabs>
        <w:spacing w:after="0"/>
        <w:ind w:left="284" w:hanging="284"/>
        <w:rPr>
          <w:lang w:bidi="en-US"/>
        </w:rPr>
      </w:pPr>
      <w:r>
        <w:rPr>
          <w:lang w:bidi="en-US"/>
        </w:rPr>
        <w:t>monitoring i ewaluacja wdrażania Strategii,</w:t>
      </w:r>
    </w:p>
    <w:p w14:paraId="68D7292A" w14:textId="5DC80314" w:rsidR="00950416" w:rsidRDefault="00950416">
      <w:pPr>
        <w:pStyle w:val="Akapitzlist"/>
        <w:numPr>
          <w:ilvl w:val="0"/>
          <w:numId w:val="40"/>
        </w:numPr>
        <w:tabs>
          <w:tab w:val="left" w:pos="284"/>
        </w:tabs>
        <w:spacing w:after="0"/>
        <w:ind w:left="284" w:hanging="284"/>
        <w:rPr>
          <w:lang w:bidi="en-US"/>
        </w:rPr>
      </w:pPr>
      <w:r>
        <w:rPr>
          <w:lang w:bidi="en-US"/>
        </w:rPr>
        <w:t>współpraca z Wydziałami i Urzędu Miejskiego, jednostkami organizacyjnymi oraz partnerami zewnętrznymi odpowiedzialnymi za przygotowanie i realizację poszczególnych projektów,</w:t>
      </w:r>
    </w:p>
    <w:p w14:paraId="159D9CBC" w14:textId="7996A57D" w:rsidR="00656754" w:rsidRDefault="00950416">
      <w:pPr>
        <w:pStyle w:val="Akapitzlist"/>
        <w:numPr>
          <w:ilvl w:val="0"/>
          <w:numId w:val="40"/>
        </w:numPr>
        <w:tabs>
          <w:tab w:val="left" w:pos="284"/>
        </w:tabs>
        <w:ind w:left="284" w:hanging="284"/>
        <w:contextualSpacing w:val="0"/>
        <w:rPr>
          <w:lang w:bidi="en-US"/>
        </w:rPr>
      </w:pPr>
      <w:r>
        <w:rPr>
          <w:lang w:bidi="en-US"/>
        </w:rPr>
        <w:t>prowadzenie działań informacyjnych i konsultacyjnych skierowanych do interesariuszy.</w:t>
      </w:r>
    </w:p>
    <w:p w14:paraId="2BEC84C2" w14:textId="77777777" w:rsidR="000C6EBC" w:rsidRDefault="000C6EBC" w:rsidP="000C6EBC">
      <w:pPr>
        <w:tabs>
          <w:tab w:val="left" w:pos="284"/>
        </w:tabs>
        <w:rPr>
          <w:lang w:bidi="en-US"/>
        </w:rPr>
      </w:pPr>
    </w:p>
    <w:p w14:paraId="6949EFF6" w14:textId="77777777" w:rsidR="000C6EBC" w:rsidRDefault="000C6EBC" w:rsidP="000C6EBC">
      <w:pPr>
        <w:tabs>
          <w:tab w:val="left" w:pos="284"/>
        </w:tabs>
        <w:rPr>
          <w:lang w:bidi="en-US"/>
        </w:rPr>
      </w:pPr>
    </w:p>
    <w:p w14:paraId="0889B76A" w14:textId="16000B4F" w:rsidR="00656754" w:rsidRDefault="00656754" w:rsidP="00656754">
      <w:pPr>
        <w:tabs>
          <w:tab w:val="left" w:pos="284"/>
        </w:tabs>
        <w:spacing w:after="0"/>
        <w:rPr>
          <w:b/>
          <w:bCs/>
          <w:lang w:bidi="en-US"/>
        </w:rPr>
      </w:pPr>
      <w:r w:rsidRPr="00656754">
        <w:rPr>
          <w:b/>
          <w:bCs/>
          <w:lang w:bidi="en-US"/>
        </w:rPr>
        <w:lastRenderedPageBreak/>
        <w:t>Zespoły robocze ds. wdrażania strategii</w:t>
      </w:r>
    </w:p>
    <w:p w14:paraId="3BCCDCF1" w14:textId="4A868CB0" w:rsidR="00656754" w:rsidRPr="00656754" w:rsidRDefault="00656754" w:rsidP="00656754">
      <w:pPr>
        <w:tabs>
          <w:tab w:val="left" w:pos="284"/>
        </w:tabs>
        <w:spacing w:after="0"/>
        <w:rPr>
          <w:lang w:bidi="en-US"/>
        </w:rPr>
      </w:pPr>
      <w:r w:rsidRPr="00656754">
        <w:rPr>
          <w:lang w:bidi="en-US"/>
        </w:rPr>
        <w:t xml:space="preserve">Do realizacji projektów </w:t>
      </w:r>
      <w:r>
        <w:rPr>
          <w:lang w:bidi="en-US"/>
        </w:rPr>
        <w:t>wynikających ze Strategii</w:t>
      </w:r>
      <w:r w:rsidRPr="00656754">
        <w:rPr>
          <w:lang w:bidi="en-US"/>
        </w:rPr>
        <w:t xml:space="preserve"> mogą zostać powołane Zespoły Robocze, w</w:t>
      </w:r>
      <w:r w:rsidR="000C6EBC">
        <w:rPr>
          <w:lang w:bidi="en-US"/>
        </w:rPr>
        <w:t xml:space="preserve">  </w:t>
      </w:r>
      <w:r w:rsidRPr="00656754">
        <w:rPr>
          <w:lang w:bidi="en-US"/>
        </w:rPr>
        <w:t>skład których, wejdą pracownicy Wydziałów Urzędu Mi</w:t>
      </w:r>
      <w:r w:rsidR="004543A1">
        <w:rPr>
          <w:lang w:bidi="en-US"/>
        </w:rPr>
        <w:t>ejskiego</w:t>
      </w:r>
      <w:r w:rsidRPr="00656754">
        <w:rPr>
          <w:lang w:bidi="en-US"/>
        </w:rPr>
        <w:t xml:space="preserve"> lub jednostek </w:t>
      </w:r>
      <w:r w:rsidR="004543A1">
        <w:rPr>
          <w:lang w:bidi="en-US"/>
        </w:rPr>
        <w:t>organizacyjnych</w:t>
      </w:r>
      <w:r w:rsidRPr="00656754">
        <w:rPr>
          <w:lang w:bidi="en-US"/>
        </w:rPr>
        <w:t xml:space="preserve">, odpowiedzialni bezpośrednio za przygotowanie niezbędnych informacji i </w:t>
      </w:r>
      <w:r w:rsidR="000C6EBC">
        <w:rPr>
          <w:lang w:bidi="en-US"/>
        </w:rPr>
        <w:t> </w:t>
      </w:r>
      <w:r w:rsidRPr="00656754">
        <w:rPr>
          <w:lang w:bidi="en-US"/>
        </w:rPr>
        <w:t xml:space="preserve">dokumentów oraz partnerzy zewnętrzni uczestniczący w danym projekcie. Taki sposób organizacji pracy pozwala na eliminację ryzyka niewłaściwego nadzoru technicznego i </w:t>
      </w:r>
      <w:r w:rsidR="000C6EBC">
        <w:rPr>
          <w:lang w:bidi="en-US"/>
        </w:rPr>
        <w:t> </w:t>
      </w:r>
      <w:r w:rsidRPr="00656754">
        <w:rPr>
          <w:lang w:bidi="en-US"/>
        </w:rPr>
        <w:t>finansowego projekt</w:t>
      </w:r>
      <w:r w:rsidR="000C6EBC">
        <w:rPr>
          <w:lang w:bidi="en-US"/>
        </w:rPr>
        <w:t>ów</w:t>
      </w:r>
      <w:r w:rsidRPr="00656754">
        <w:rPr>
          <w:lang w:bidi="en-US"/>
        </w:rPr>
        <w:t>. Powołanie Zespołów roboczych i  przekazanie im konkretnych zadań uzależnione jest od specyfiki danego przedsięwzięcia, jego złożoności, udziału partnerów zewnętrznych oraz źródeł i form finansowania.</w:t>
      </w:r>
    </w:p>
    <w:p w14:paraId="3D44D54E" w14:textId="65BD2ACF" w:rsidR="00656754" w:rsidRPr="00656754" w:rsidRDefault="00656754" w:rsidP="00656754">
      <w:pPr>
        <w:tabs>
          <w:tab w:val="left" w:pos="284"/>
        </w:tabs>
        <w:spacing w:after="0"/>
        <w:rPr>
          <w:lang w:bidi="en-US"/>
        </w:rPr>
      </w:pPr>
      <w:r w:rsidRPr="00656754">
        <w:rPr>
          <w:lang w:bidi="en-US"/>
        </w:rPr>
        <w:t xml:space="preserve">Do zadań Zespołów Roboczych należeć </w:t>
      </w:r>
      <w:r w:rsidR="000C6EBC">
        <w:rPr>
          <w:lang w:bidi="en-US"/>
        </w:rPr>
        <w:t>będzie</w:t>
      </w:r>
      <w:r w:rsidRPr="00656754">
        <w:rPr>
          <w:lang w:bidi="en-US"/>
        </w:rPr>
        <w:t>:</w:t>
      </w:r>
    </w:p>
    <w:p w14:paraId="14B7DD51" w14:textId="26D01C86" w:rsidR="00656754" w:rsidRPr="00656754" w:rsidRDefault="00656754">
      <w:pPr>
        <w:pStyle w:val="Akapitzlist"/>
        <w:numPr>
          <w:ilvl w:val="0"/>
          <w:numId w:val="41"/>
        </w:numPr>
        <w:tabs>
          <w:tab w:val="left" w:pos="284"/>
        </w:tabs>
        <w:spacing w:after="0"/>
        <w:ind w:left="284" w:hanging="284"/>
        <w:rPr>
          <w:lang w:bidi="en-US"/>
        </w:rPr>
      </w:pPr>
      <w:r w:rsidRPr="00656754">
        <w:rPr>
          <w:lang w:bidi="en-US"/>
        </w:rPr>
        <w:t xml:space="preserve">koordynacja we właściwych wydziałach </w:t>
      </w:r>
      <w:r w:rsidR="004543A1">
        <w:rPr>
          <w:lang w:bidi="en-US"/>
        </w:rPr>
        <w:t xml:space="preserve">Urzędu Miejskiego </w:t>
      </w:r>
      <w:r w:rsidRPr="00656754">
        <w:rPr>
          <w:lang w:bidi="en-US"/>
        </w:rPr>
        <w:t>wszelkich działań przygotowawczych dotyczących poszczególnych projektów (przeprowadzenie uzgodnień, uzyskanie pozwoleń, przygotowanie wymaganej dokumentacji, zapewnienie środków w</w:t>
      </w:r>
      <w:r w:rsidR="000C6EBC">
        <w:rPr>
          <w:lang w:bidi="en-US"/>
        </w:rPr>
        <w:t> </w:t>
      </w:r>
      <w:r w:rsidRPr="00656754">
        <w:rPr>
          <w:lang w:bidi="en-US"/>
        </w:rPr>
        <w:t xml:space="preserve"> budżecie jednostki, itp.)</w:t>
      </w:r>
      <w:r w:rsidR="004543A1">
        <w:rPr>
          <w:lang w:bidi="en-US"/>
        </w:rPr>
        <w:t>,</w:t>
      </w:r>
    </w:p>
    <w:p w14:paraId="6CB226F1" w14:textId="0171E9C6" w:rsidR="00656754" w:rsidRPr="00656754" w:rsidRDefault="00656754">
      <w:pPr>
        <w:pStyle w:val="Akapitzlist"/>
        <w:numPr>
          <w:ilvl w:val="0"/>
          <w:numId w:val="41"/>
        </w:numPr>
        <w:tabs>
          <w:tab w:val="left" w:pos="284"/>
        </w:tabs>
        <w:spacing w:after="0"/>
        <w:ind w:left="284" w:hanging="284"/>
        <w:rPr>
          <w:lang w:bidi="en-US"/>
        </w:rPr>
      </w:pPr>
      <w:r w:rsidRPr="00656754">
        <w:rPr>
          <w:lang w:bidi="en-US"/>
        </w:rPr>
        <w:t>uzgadnianie harmonogramu podejmowanych działań</w:t>
      </w:r>
      <w:r w:rsidR="004543A1">
        <w:rPr>
          <w:lang w:bidi="en-US"/>
        </w:rPr>
        <w:t>,</w:t>
      </w:r>
    </w:p>
    <w:p w14:paraId="098CE670" w14:textId="6D1B981F" w:rsidR="00656754" w:rsidRPr="00656754" w:rsidRDefault="00656754">
      <w:pPr>
        <w:pStyle w:val="Akapitzlist"/>
        <w:numPr>
          <w:ilvl w:val="0"/>
          <w:numId w:val="41"/>
        </w:numPr>
        <w:tabs>
          <w:tab w:val="left" w:pos="284"/>
        </w:tabs>
        <w:spacing w:after="0"/>
        <w:ind w:left="284" w:hanging="284"/>
        <w:rPr>
          <w:lang w:bidi="en-US"/>
        </w:rPr>
      </w:pPr>
      <w:r w:rsidRPr="00656754">
        <w:rPr>
          <w:lang w:bidi="en-US"/>
        </w:rPr>
        <w:t>informowanie się o postępach w realizacji zadań oraz występujących zagrożeniach</w:t>
      </w:r>
      <w:r w:rsidR="004543A1">
        <w:rPr>
          <w:lang w:bidi="en-US"/>
        </w:rPr>
        <w:t xml:space="preserve">, </w:t>
      </w:r>
      <w:r w:rsidRPr="00656754">
        <w:rPr>
          <w:lang w:bidi="en-US"/>
        </w:rPr>
        <w:t>wypracowywanie rozwiązań</w:t>
      </w:r>
      <w:r w:rsidR="004543A1">
        <w:rPr>
          <w:lang w:bidi="en-US"/>
        </w:rPr>
        <w:t>,</w:t>
      </w:r>
    </w:p>
    <w:p w14:paraId="48E3049B" w14:textId="3A647E02" w:rsidR="00656754" w:rsidRDefault="00656754">
      <w:pPr>
        <w:pStyle w:val="Akapitzlist"/>
        <w:numPr>
          <w:ilvl w:val="0"/>
          <w:numId w:val="41"/>
        </w:numPr>
        <w:tabs>
          <w:tab w:val="left" w:pos="284"/>
        </w:tabs>
        <w:ind w:left="284" w:hanging="284"/>
        <w:contextualSpacing w:val="0"/>
        <w:rPr>
          <w:lang w:bidi="en-US"/>
        </w:rPr>
      </w:pPr>
      <w:r w:rsidRPr="00656754">
        <w:rPr>
          <w:lang w:bidi="en-US"/>
        </w:rPr>
        <w:t>bieżące informowanie o postępach w realizacji zadań oraz występujących zagrożeniach</w:t>
      </w:r>
      <w:r w:rsidR="004543A1">
        <w:rPr>
          <w:lang w:bidi="en-US"/>
        </w:rPr>
        <w:t>.</w:t>
      </w:r>
    </w:p>
    <w:p w14:paraId="1979FB97" w14:textId="2A394A9C" w:rsidR="00BD2B08" w:rsidRPr="00BD2B08" w:rsidRDefault="00BD2B08" w:rsidP="00BD2B08">
      <w:pPr>
        <w:tabs>
          <w:tab w:val="left" w:pos="284"/>
        </w:tabs>
        <w:spacing w:after="0"/>
        <w:rPr>
          <w:b/>
          <w:bCs/>
          <w:lang w:bidi="en-US"/>
        </w:rPr>
      </w:pPr>
      <w:r w:rsidRPr="00BD2B08">
        <w:rPr>
          <w:b/>
          <w:bCs/>
          <w:lang w:bidi="en-US"/>
        </w:rPr>
        <w:t>Partnerzy społeczni i gospodarczy</w:t>
      </w:r>
    </w:p>
    <w:p w14:paraId="1BF48D68" w14:textId="26F1F15C" w:rsidR="00BD2B08" w:rsidRDefault="00BD2B08" w:rsidP="00BD2B08">
      <w:pPr>
        <w:tabs>
          <w:tab w:val="left" w:pos="284"/>
        </w:tabs>
        <w:spacing w:after="0"/>
        <w:rPr>
          <w:lang w:bidi="en-US"/>
        </w:rPr>
      </w:pPr>
      <w:r>
        <w:rPr>
          <w:lang w:bidi="en-US"/>
        </w:rPr>
        <w:t xml:space="preserve">W celu zapewnienia możliwie szerokiego zaangażowania interesariuszy w realizację Strategii możliwe jest włączenie w proces podejmowania kluczowych decyzji strategicznych przedstawicieli podmiotów reprezentujących organizacje pozarządowe, partnerów społecznych i gospodarczych </w:t>
      </w:r>
      <w:r w:rsidR="000C6EBC">
        <w:rPr>
          <w:lang w:bidi="en-US"/>
        </w:rPr>
        <w:t>oraz</w:t>
      </w:r>
      <w:r>
        <w:rPr>
          <w:lang w:bidi="en-US"/>
        </w:rPr>
        <w:t xml:space="preserve"> lokalnych liderów.</w:t>
      </w:r>
    </w:p>
    <w:p w14:paraId="0FE189FA" w14:textId="2AC52BB1" w:rsidR="00BD2B08" w:rsidRDefault="00BD2B08" w:rsidP="00BD2B08">
      <w:pPr>
        <w:tabs>
          <w:tab w:val="left" w:pos="284"/>
        </w:tabs>
        <w:spacing w:after="0"/>
        <w:rPr>
          <w:lang w:bidi="en-US"/>
        </w:rPr>
      </w:pPr>
      <w:r>
        <w:rPr>
          <w:lang w:bidi="en-US"/>
        </w:rPr>
        <w:t>Partnerzy społeczni i gospodarczy pełnią funkcję opiniująco – doradczą dla Burmistrza Opola Lubelskiego i Koordynatora wdrażania strategii oraz stanowią ważny kanał komunikacji między władzami gminy a  społecznością lokalną</w:t>
      </w:r>
      <w:r w:rsidR="000C6EBC">
        <w:rPr>
          <w:lang w:bidi="en-US"/>
        </w:rPr>
        <w:t>,</w:t>
      </w:r>
      <w:r>
        <w:rPr>
          <w:lang w:bidi="en-US"/>
        </w:rPr>
        <w:t xml:space="preserve"> w kontekście istotnych rozstrzygnięć zawartych w</w:t>
      </w:r>
      <w:r w:rsidR="000C6EBC">
        <w:rPr>
          <w:lang w:bidi="en-US"/>
        </w:rPr>
        <w:t> </w:t>
      </w:r>
      <w:r>
        <w:rPr>
          <w:lang w:bidi="en-US"/>
        </w:rPr>
        <w:t xml:space="preserve"> Strategii.</w:t>
      </w:r>
    </w:p>
    <w:p w14:paraId="7DE4DD64" w14:textId="5DBA01A1" w:rsidR="00BD2B08" w:rsidRPr="00656754" w:rsidRDefault="00BD2B08" w:rsidP="00A117A8">
      <w:pPr>
        <w:tabs>
          <w:tab w:val="left" w:pos="284"/>
        </w:tabs>
        <w:spacing w:after="240"/>
        <w:rPr>
          <w:lang w:bidi="en-US"/>
        </w:rPr>
      </w:pPr>
      <w:r>
        <w:rPr>
          <w:lang w:bidi="en-US"/>
        </w:rPr>
        <w:t>Do najważniejszych zadań p</w:t>
      </w:r>
      <w:r w:rsidRPr="00BD2B08">
        <w:rPr>
          <w:lang w:bidi="en-US"/>
        </w:rPr>
        <w:t>artner</w:t>
      </w:r>
      <w:r>
        <w:rPr>
          <w:lang w:bidi="en-US"/>
        </w:rPr>
        <w:t>ów</w:t>
      </w:r>
      <w:r w:rsidRPr="00BD2B08">
        <w:rPr>
          <w:lang w:bidi="en-US"/>
        </w:rPr>
        <w:t xml:space="preserve"> społeczn</w:t>
      </w:r>
      <w:r>
        <w:rPr>
          <w:lang w:bidi="en-US"/>
        </w:rPr>
        <w:t>ych</w:t>
      </w:r>
      <w:r w:rsidRPr="00BD2B08">
        <w:rPr>
          <w:lang w:bidi="en-US"/>
        </w:rPr>
        <w:t xml:space="preserve"> i gospodarczy</w:t>
      </w:r>
      <w:r>
        <w:rPr>
          <w:lang w:bidi="en-US"/>
        </w:rPr>
        <w:t>ch należy</w:t>
      </w:r>
      <w:r w:rsidR="008902EF">
        <w:rPr>
          <w:lang w:bidi="en-US"/>
        </w:rPr>
        <w:t xml:space="preserve"> </w:t>
      </w:r>
      <w:r>
        <w:rPr>
          <w:lang w:bidi="en-US"/>
        </w:rPr>
        <w:t xml:space="preserve">opiniowanie </w:t>
      </w:r>
      <w:r w:rsidR="008902EF">
        <w:rPr>
          <w:lang w:bidi="en-US"/>
        </w:rPr>
        <w:t xml:space="preserve">istotnych rozstrzygnięć w procesie wdrażania i aktualizacji Strategii oraz rekomendowanie i </w:t>
      </w:r>
      <w:r w:rsidR="000C6EBC">
        <w:rPr>
          <w:lang w:bidi="en-US"/>
        </w:rPr>
        <w:t> </w:t>
      </w:r>
      <w:r>
        <w:rPr>
          <w:lang w:bidi="en-US"/>
        </w:rPr>
        <w:t>inicjowanie zmian</w:t>
      </w:r>
      <w:r w:rsidR="008902EF">
        <w:rPr>
          <w:lang w:bidi="en-US"/>
        </w:rPr>
        <w:t xml:space="preserve"> w</w:t>
      </w:r>
      <w:r>
        <w:rPr>
          <w:lang w:bidi="en-US"/>
        </w:rPr>
        <w:t xml:space="preserve"> </w:t>
      </w:r>
      <w:r w:rsidR="008902EF">
        <w:rPr>
          <w:lang w:bidi="en-US"/>
        </w:rPr>
        <w:t>S</w:t>
      </w:r>
      <w:r>
        <w:rPr>
          <w:lang w:bidi="en-US"/>
        </w:rPr>
        <w:t>trategii.</w:t>
      </w:r>
    </w:p>
    <w:p w14:paraId="312CA39F" w14:textId="304DF7C8" w:rsidR="00261698" w:rsidRPr="00261698" w:rsidRDefault="00261698" w:rsidP="00FC15E9">
      <w:pPr>
        <w:pStyle w:val="Nagwek1"/>
        <w:rPr>
          <w:lang w:bidi="en-US"/>
        </w:rPr>
      </w:pPr>
      <w:bookmarkStart w:id="212" w:name="_Toc191908810"/>
      <w:r>
        <w:rPr>
          <w:lang w:bidi="en-US"/>
        </w:rPr>
        <w:t>13. Monitoring i ewaluacja Strategii</w:t>
      </w:r>
      <w:bookmarkEnd w:id="212"/>
    </w:p>
    <w:p w14:paraId="11061979" w14:textId="5BF5C54C" w:rsidR="001C4885" w:rsidRDefault="001C4885" w:rsidP="001C4885">
      <w:r>
        <w:t xml:space="preserve">Monitoring to proces systematycznego zbierania i analizowania ilościowych oraz jakościowych informacji, dotyczących postępów i efektów wdrażania Strategii </w:t>
      </w:r>
      <w:r w:rsidRPr="001C4885">
        <w:t>Rozwoju Gminy Opole Lubelskie na lata 202</w:t>
      </w:r>
      <w:r w:rsidR="006A28A9">
        <w:t>5</w:t>
      </w:r>
      <w:r w:rsidRPr="001C4885">
        <w:t xml:space="preserve"> - 2030</w:t>
      </w:r>
      <w:r>
        <w:t xml:space="preserve"> , mający na celu zapewnienie zgodności realizacji działań z</w:t>
      </w:r>
      <w:r w:rsidR="000C6EBC">
        <w:t> </w:t>
      </w:r>
      <w:r>
        <w:t xml:space="preserve"> wcześniej zatwierdzonymi założeniami i celami. Proces ten opiera się głównie na monitoringu rzeczowym (badaniu postępu realizacji ustaleń strategii poprzez pryzmat realizowanych zadań projektowych i procesowych) oraz monitoringu statystycznym (śledzeniu tendencji i zmian wskaźników).</w:t>
      </w:r>
    </w:p>
    <w:p w14:paraId="320BE6D6" w14:textId="3129AF3E" w:rsidR="001C4885" w:rsidRDefault="001C4885" w:rsidP="001C4885">
      <w:r>
        <w:t xml:space="preserve">System monitoringu strategii dostarcza informacji na temat stopnia osiągania założonej wizji i </w:t>
      </w:r>
      <w:r w:rsidR="00184F85">
        <w:t> </w:t>
      </w:r>
      <w:r>
        <w:t>wyznaczonych celów poprzez analizę wskaźników. Celem systemu monitoringu jest:</w:t>
      </w:r>
    </w:p>
    <w:p w14:paraId="6EBD7E08" w14:textId="3C1FE9F6" w:rsidR="001C4885" w:rsidRDefault="001C4885">
      <w:pPr>
        <w:pStyle w:val="Akapitzlist"/>
        <w:numPr>
          <w:ilvl w:val="1"/>
          <w:numId w:val="42"/>
        </w:numPr>
        <w:ind w:left="284" w:hanging="284"/>
      </w:pPr>
      <w:r>
        <w:lastRenderedPageBreak/>
        <w:t xml:space="preserve">dostarczenie informacji na temat sytuacji społeczno-gospodarczej gminy Opole Lubelskie i  </w:t>
      </w:r>
      <w:r w:rsidR="000C6EBC">
        <w:t> </w:t>
      </w:r>
      <w:r>
        <w:t>je</w:t>
      </w:r>
      <w:r w:rsidR="000C6EBC">
        <w:t>j</w:t>
      </w:r>
      <w:r>
        <w:t xml:space="preserve"> pozycji konkurencyjnej w województwie, jako podstawy do podejmowania decyzji zarządczych w zakresie ustalania priorytetów rozwojowych i alokacji środków na </w:t>
      </w:r>
      <w:r w:rsidR="000C6EBC">
        <w:t>konkretne przedsięwzięcia</w:t>
      </w:r>
      <w:r>
        <w:t>,</w:t>
      </w:r>
    </w:p>
    <w:p w14:paraId="65D2F655" w14:textId="6059A0B7" w:rsidR="001C4885" w:rsidRDefault="001C4885">
      <w:pPr>
        <w:pStyle w:val="Akapitzlist"/>
        <w:numPr>
          <w:ilvl w:val="1"/>
          <w:numId w:val="42"/>
        </w:numPr>
        <w:ind w:left="284" w:hanging="284"/>
      </w:pPr>
      <w:r>
        <w:t>obserwacja występujących trendów i zjawisk zachodzących w otoczeniu zewnętrznym, tak by móc przygotować właściwe narzędzia i instrumenty wspierające rozwój gminy,</w:t>
      </w:r>
    </w:p>
    <w:p w14:paraId="44F36EA1" w14:textId="5DBCDAFB" w:rsidR="00305625" w:rsidRDefault="001C4885">
      <w:pPr>
        <w:pStyle w:val="Akapitzlist"/>
        <w:numPr>
          <w:ilvl w:val="1"/>
          <w:numId w:val="42"/>
        </w:numPr>
        <w:ind w:left="284" w:hanging="284"/>
      </w:pPr>
      <w:r>
        <w:t xml:space="preserve">zapewnianie spójności realizowanej w gminie polityki rozwoju (podejmowanych działań i </w:t>
      </w:r>
      <w:r w:rsidR="00184F85">
        <w:t> </w:t>
      </w:r>
      <w:r>
        <w:t>inwestycji) z</w:t>
      </w:r>
      <w:r w:rsidR="0045756B">
        <w:t>e</w:t>
      </w:r>
      <w:r>
        <w:t xml:space="preserve"> strategicznymi </w:t>
      </w:r>
      <w:r w:rsidR="0045756B">
        <w:t xml:space="preserve">celami </w:t>
      </w:r>
      <w:r>
        <w:t>rozwoju gminy.</w:t>
      </w:r>
    </w:p>
    <w:p w14:paraId="39DC08D4" w14:textId="0503CAF3" w:rsidR="001C4885" w:rsidRPr="00C2310E" w:rsidRDefault="001C4885" w:rsidP="001C4885">
      <w:r w:rsidRPr="00C2310E">
        <w:t xml:space="preserve">Monitoring Strategii oparty jest o </w:t>
      </w:r>
      <w:r w:rsidR="00FB4E19" w:rsidRPr="00C2310E">
        <w:t>zestawienie</w:t>
      </w:r>
      <w:r w:rsidRPr="00C2310E">
        <w:t xml:space="preserve"> </w:t>
      </w:r>
      <w:r w:rsidR="00FB4E19" w:rsidRPr="00C2310E">
        <w:t>oczekiwanych rezultatów planowanych działań oraz wskaźników ich osiągniecia, zawartych w Rozdziale 8.</w:t>
      </w:r>
      <w:r w:rsidR="00C404BA" w:rsidRPr="00C2310E">
        <w:t xml:space="preserve"> </w:t>
      </w:r>
    </w:p>
    <w:p w14:paraId="49E80083" w14:textId="2734B21F" w:rsidR="00305625" w:rsidRDefault="00305625" w:rsidP="00305625">
      <w:r>
        <w:t xml:space="preserve">System monitoringu stanowić będzie podstawę do ewaluacji i oceny stopnia aktualności Strategii. Najbardziej optymalnym rozwiązaniem jest, aby wszystkie czynności związane z procesem monitoringu strategicznego były wykonywane systematycznie – zgodnie ze specyfiką przyjętych w strategii założeń, a wnioski z ich przeprowadzania </w:t>
      </w:r>
      <w:r w:rsidR="009A2A49">
        <w:t xml:space="preserve">były </w:t>
      </w:r>
      <w:r>
        <w:t>spisywane w</w:t>
      </w:r>
      <w:r w:rsidR="00184F85">
        <w:t> </w:t>
      </w:r>
      <w:r>
        <w:t xml:space="preserve"> formie raportu monitoringowego</w:t>
      </w:r>
      <w:r w:rsidR="009A2A49">
        <w:t>, np. jako część corocznego Raportu o stanie gminy.</w:t>
      </w:r>
    </w:p>
    <w:p w14:paraId="64687C40" w14:textId="01BA398D" w:rsidR="00305625" w:rsidRPr="00FC5439" w:rsidRDefault="00305625" w:rsidP="00305625">
      <w:pPr>
        <w:rPr>
          <w:lang w:bidi="en-US"/>
        </w:rPr>
      </w:pPr>
      <w:r>
        <w:t xml:space="preserve">Poza bieżącym monitorowaniem, zaleca się, aby dokument Strategii poddany został ewaluacji ex-post – po zakończeniu obowiązywania Strategii. Proces ten obejmować będzie oszacowanie jakości, wartości i znaczenia Strategii w odniesieniu do zakładanych kierunków działań, ocenę stopnia osiągnięcia celów Strategii oraz analizę wpływu zrealizowanych przedsięwzięć na sytuację społeczną i gospodarczą </w:t>
      </w:r>
      <w:r w:rsidR="00184F85">
        <w:t>g</w:t>
      </w:r>
      <w:r>
        <w:t>miny Opole Lubelskie. Raporty opracowane ex-post określą trwałe efekty, jakie wniosła realizacja Strategii po jej zakończeniu. Powinny one wskazać czy i jakie efekty synergii osiągnięto w poszczególnych obszarach tematycznych.</w:t>
      </w:r>
    </w:p>
    <w:p w14:paraId="3A124B36" w14:textId="6EE26703" w:rsidR="00221896" w:rsidRDefault="00221896">
      <w:pPr>
        <w:spacing w:after="160" w:line="259" w:lineRule="auto"/>
        <w:jc w:val="left"/>
        <w:rPr>
          <w:lang w:bidi="en-US"/>
        </w:rPr>
      </w:pPr>
      <w:r>
        <w:rPr>
          <w:lang w:bidi="en-US"/>
        </w:rPr>
        <w:br w:type="page"/>
      </w:r>
    </w:p>
    <w:p w14:paraId="58B872D2" w14:textId="77777777" w:rsidR="000521EF" w:rsidRDefault="000521EF" w:rsidP="005B3AA1">
      <w:pPr>
        <w:pStyle w:val="Nagwek1"/>
        <w:rPr>
          <w:lang w:bidi="en-US"/>
        </w:rPr>
        <w:sectPr w:rsidR="000521EF" w:rsidSect="00F9202A">
          <w:headerReference w:type="default" r:id="rId88"/>
          <w:footerReference w:type="default" r:id="rId89"/>
          <w:headerReference w:type="first" r:id="rId90"/>
          <w:footerReference w:type="first" r:id="rId91"/>
          <w:pgSz w:w="11906" w:h="16838"/>
          <w:pgMar w:top="1417" w:right="1417" w:bottom="1417" w:left="1417" w:header="708" w:footer="708" w:gutter="0"/>
          <w:cols w:space="708"/>
          <w:titlePg/>
          <w:docGrid w:linePitch="360"/>
        </w:sectPr>
      </w:pPr>
    </w:p>
    <w:p w14:paraId="003E9091" w14:textId="1F99FFAE" w:rsidR="000521EF" w:rsidRPr="000521EF" w:rsidRDefault="00D340C1" w:rsidP="007321C9">
      <w:pPr>
        <w:pStyle w:val="Nagwek1"/>
        <w:rPr>
          <w:lang w:bidi="en-US"/>
        </w:rPr>
      </w:pPr>
      <w:bookmarkStart w:id="215" w:name="_Toc191908811"/>
      <w:r w:rsidRPr="00B75436">
        <w:rPr>
          <w:lang w:bidi="en-US"/>
        </w:rPr>
        <w:lastRenderedPageBreak/>
        <w:t>Załącznik 1</w:t>
      </w:r>
      <w:r>
        <w:rPr>
          <w:lang w:bidi="en-US"/>
        </w:rPr>
        <w:t xml:space="preserve"> - </w:t>
      </w:r>
      <w:r w:rsidR="00221896">
        <w:rPr>
          <w:lang w:bidi="en-US"/>
        </w:rPr>
        <w:t xml:space="preserve">Lista projektów </w:t>
      </w:r>
      <w:r w:rsidR="00221896" w:rsidRPr="005B3AA1">
        <w:t>realizujących</w:t>
      </w:r>
      <w:r w:rsidR="00221896">
        <w:rPr>
          <w:lang w:bidi="en-US"/>
        </w:rPr>
        <w:t xml:space="preserve"> cele strategiczne</w:t>
      </w:r>
      <w:bookmarkEnd w:id="215"/>
    </w:p>
    <w:tbl>
      <w:tblPr>
        <w:tblStyle w:val="Tabela-Siatka2"/>
        <w:tblW w:w="14011" w:type="dxa"/>
        <w:tblBorders>
          <w:top w:val="single" w:sz="18" w:space="0" w:color="F7C7A7"/>
          <w:left w:val="single" w:sz="18" w:space="0" w:color="F7C7A7"/>
          <w:bottom w:val="single" w:sz="18" w:space="0" w:color="F7C7A7"/>
          <w:right w:val="single" w:sz="18" w:space="0" w:color="F7C7A7"/>
          <w:insideH w:val="single" w:sz="18" w:space="0" w:color="F7C7A7"/>
          <w:insideV w:val="single" w:sz="18" w:space="0" w:color="F7C7A7"/>
        </w:tblBorders>
        <w:tblLayout w:type="fixed"/>
        <w:tblLook w:val="04A0" w:firstRow="1" w:lastRow="0" w:firstColumn="1" w:lastColumn="0" w:noHBand="0" w:noVBand="1"/>
      </w:tblPr>
      <w:tblGrid>
        <w:gridCol w:w="428"/>
        <w:gridCol w:w="1534"/>
        <w:gridCol w:w="2268"/>
        <w:gridCol w:w="1196"/>
        <w:gridCol w:w="8585"/>
      </w:tblGrid>
      <w:tr w:rsidR="00C81289" w:rsidRPr="00C81289" w14:paraId="1BF725D8" w14:textId="77777777" w:rsidTr="00E717A0">
        <w:tc>
          <w:tcPr>
            <w:tcW w:w="428" w:type="dxa"/>
            <w:shd w:val="clear" w:color="auto" w:fill="C45911"/>
            <w:vAlign w:val="center"/>
          </w:tcPr>
          <w:p w14:paraId="60E72400" w14:textId="77777777" w:rsidR="00C81289" w:rsidRPr="00C81289" w:rsidRDefault="00C81289" w:rsidP="00C81289">
            <w:pPr>
              <w:spacing w:after="0" w:line="259" w:lineRule="auto"/>
              <w:jc w:val="center"/>
              <w:rPr>
                <w:rFonts w:eastAsia="Calibri" w:cs="Times New Roman"/>
                <w:b/>
                <w:bCs/>
                <w:color w:val="FFFFFF"/>
                <w:sz w:val="14"/>
                <w:szCs w:val="14"/>
                <w:lang w:bidi="en-US"/>
              </w:rPr>
            </w:pPr>
            <w:r w:rsidRPr="00C81289">
              <w:rPr>
                <w:rFonts w:eastAsia="Calibri" w:cs="Times New Roman"/>
                <w:b/>
                <w:bCs/>
                <w:color w:val="FFFFFF"/>
                <w:sz w:val="14"/>
                <w:szCs w:val="14"/>
                <w:lang w:bidi="en-US"/>
              </w:rPr>
              <w:t>Lp.</w:t>
            </w:r>
          </w:p>
        </w:tc>
        <w:tc>
          <w:tcPr>
            <w:tcW w:w="1534" w:type="dxa"/>
            <w:shd w:val="clear" w:color="auto" w:fill="C45911"/>
            <w:vAlign w:val="center"/>
          </w:tcPr>
          <w:p w14:paraId="1E5D00A6" w14:textId="77777777" w:rsidR="00C81289" w:rsidRPr="00C81289" w:rsidRDefault="00C81289" w:rsidP="007F76CD">
            <w:pPr>
              <w:spacing w:before="120" w:line="259" w:lineRule="auto"/>
              <w:jc w:val="center"/>
              <w:rPr>
                <w:rFonts w:eastAsia="Calibri" w:cs="Times New Roman"/>
                <w:b/>
                <w:bCs/>
                <w:color w:val="FFFFFF"/>
                <w:sz w:val="14"/>
                <w:szCs w:val="14"/>
                <w:lang w:bidi="en-US"/>
              </w:rPr>
            </w:pPr>
            <w:r w:rsidRPr="00C81289">
              <w:rPr>
                <w:rFonts w:eastAsia="Calibri" w:cs="Times New Roman"/>
                <w:b/>
                <w:bCs/>
                <w:color w:val="FFFFFF"/>
                <w:sz w:val="14"/>
                <w:szCs w:val="14"/>
                <w:lang w:bidi="en-US"/>
              </w:rPr>
              <w:t xml:space="preserve">Kierunek działania / Cel szczegółowy </w:t>
            </w:r>
          </w:p>
        </w:tc>
        <w:tc>
          <w:tcPr>
            <w:tcW w:w="2268" w:type="dxa"/>
            <w:shd w:val="clear" w:color="auto" w:fill="C45911"/>
            <w:vAlign w:val="center"/>
          </w:tcPr>
          <w:p w14:paraId="70EEA250" w14:textId="77777777" w:rsidR="00C81289" w:rsidRPr="00C81289" w:rsidRDefault="00C81289" w:rsidP="00C81289">
            <w:pPr>
              <w:spacing w:before="120" w:line="259" w:lineRule="auto"/>
              <w:jc w:val="center"/>
              <w:rPr>
                <w:rFonts w:eastAsia="Calibri" w:cs="Times New Roman"/>
                <w:b/>
                <w:bCs/>
                <w:color w:val="FFFFFF"/>
                <w:sz w:val="14"/>
                <w:szCs w:val="14"/>
                <w:lang w:bidi="en-US"/>
              </w:rPr>
            </w:pPr>
            <w:r w:rsidRPr="00C81289">
              <w:rPr>
                <w:rFonts w:eastAsia="Calibri" w:cs="Times New Roman"/>
                <w:b/>
                <w:bCs/>
                <w:color w:val="FFFFFF"/>
                <w:sz w:val="14"/>
                <w:szCs w:val="14"/>
                <w:lang w:bidi="en-US"/>
              </w:rPr>
              <w:t>Tytuł projektu</w:t>
            </w:r>
          </w:p>
        </w:tc>
        <w:tc>
          <w:tcPr>
            <w:tcW w:w="1196" w:type="dxa"/>
            <w:shd w:val="clear" w:color="auto" w:fill="C45911"/>
            <w:vAlign w:val="center"/>
          </w:tcPr>
          <w:p w14:paraId="0DD5D83E" w14:textId="77777777" w:rsidR="00C81289" w:rsidRPr="00C81289" w:rsidRDefault="00C81289" w:rsidP="00C81289">
            <w:pPr>
              <w:spacing w:after="0" w:line="259" w:lineRule="auto"/>
              <w:jc w:val="center"/>
              <w:rPr>
                <w:rFonts w:eastAsia="Calibri" w:cs="Times New Roman"/>
                <w:b/>
                <w:bCs/>
                <w:color w:val="FFFFFF"/>
                <w:sz w:val="14"/>
                <w:szCs w:val="14"/>
                <w:lang w:bidi="en-US"/>
              </w:rPr>
            </w:pPr>
            <w:r w:rsidRPr="00C81289">
              <w:rPr>
                <w:rFonts w:eastAsia="Calibri" w:cs="Times New Roman"/>
                <w:b/>
                <w:bCs/>
                <w:color w:val="FFFFFF"/>
                <w:sz w:val="14"/>
                <w:szCs w:val="14"/>
                <w:lang w:bidi="en-US"/>
              </w:rPr>
              <w:t>Podmiot realizujący projekt</w:t>
            </w:r>
          </w:p>
        </w:tc>
        <w:tc>
          <w:tcPr>
            <w:tcW w:w="8585" w:type="dxa"/>
            <w:shd w:val="clear" w:color="auto" w:fill="C45911"/>
            <w:vAlign w:val="center"/>
          </w:tcPr>
          <w:p w14:paraId="5FD57BB1" w14:textId="77777777" w:rsidR="00C81289" w:rsidRPr="00C81289" w:rsidRDefault="00C81289" w:rsidP="00C81289">
            <w:pPr>
              <w:spacing w:after="0" w:line="259" w:lineRule="auto"/>
              <w:jc w:val="center"/>
              <w:rPr>
                <w:rFonts w:eastAsia="Calibri" w:cs="Times New Roman"/>
                <w:b/>
                <w:bCs/>
                <w:color w:val="FFFFFF"/>
                <w:sz w:val="14"/>
                <w:szCs w:val="14"/>
                <w:lang w:bidi="en-US"/>
              </w:rPr>
            </w:pPr>
            <w:r w:rsidRPr="00C81289">
              <w:rPr>
                <w:rFonts w:eastAsia="Calibri" w:cs="Times New Roman"/>
                <w:b/>
                <w:bCs/>
                <w:color w:val="FFFFFF"/>
                <w:sz w:val="14"/>
                <w:szCs w:val="14"/>
                <w:lang w:bidi="en-US"/>
              </w:rPr>
              <w:t>Opis/zakres projektu</w:t>
            </w:r>
          </w:p>
        </w:tc>
      </w:tr>
      <w:tr w:rsidR="00C81289" w:rsidRPr="00C81289" w14:paraId="5E89F14D" w14:textId="77777777" w:rsidTr="00E717A0">
        <w:tc>
          <w:tcPr>
            <w:tcW w:w="428" w:type="dxa"/>
            <w:vAlign w:val="center"/>
          </w:tcPr>
          <w:p w14:paraId="7373A290" w14:textId="04961719"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w:t>
            </w:r>
            <w:r w:rsidR="00C81289" w:rsidRPr="00C81289">
              <w:rPr>
                <w:rFonts w:eastAsia="Calibri" w:cs="Times New Roman"/>
                <w:sz w:val="14"/>
                <w:szCs w:val="14"/>
                <w:lang w:bidi="en-US"/>
              </w:rPr>
              <w:t>.</w:t>
            </w:r>
          </w:p>
        </w:tc>
        <w:tc>
          <w:tcPr>
            <w:tcW w:w="1534" w:type="dxa"/>
            <w:vAlign w:val="center"/>
          </w:tcPr>
          <w:p w14:paraId="36305903" w14:textId="1B5253A4"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w:t>
            </w:r>
            <w:r w:rsidR="0037203D">
              <w:rPr>
                <w:rFonts w:eastAsia="Calibri" w:cs="Calibri Light"/>
                <w:sz w:val="14"/>
                <w:szCs w:val="14"/>
              </w:rPr>
              <w:t xml:space="preserve">1. </w:t>
            </w:r>
            <w:r w:rsidR="0037203D" w:rsidRPr="0037203D">
              <w:rPr>
                <w:rFonts w:eastAsia="Calibri" w:cs="Calibri Light"/>
                <w:sz w:val="14"/>
                <w:szCs w:val="14"/>
              </w:rPr>
              <w:t>Poprawa dostępności dla osób ze szczególnymi potrzebami</w:t>
            </w:r>
          </w:p>
        </w:tc>
        <w:tc>
          <w:tcPr>
            <w:tcW w:w="2268" w:type="dxa"/>
            <w:vAlign w:val="center"/>
          </w:tcPr>
          <w:p w14:paraId="77D394BD"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Likwidacja barier architektonicznych w budynkach użyteczności publicznej</w:t>
            </w:r>
          </w:p>
        </w:tc>
        <w:tc>
          <w:tcPr>
            <w:tcW w:w="1196" w:type="dxa"/>
            <w:vAlign w:val="center"/>
          </w:tcPr>
          <w:p w14:paraId="0AFE0FE6"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Gmina Opole Lubelskie </w:t>
            </w:r>
          </w:p>
        </w:tc>
        <w:tc>
          <w:tcPr>
            <w:tcW w:w="8585" w:type="dxa"/>
            <w:vAlign w:val="center"/>
          </w:tcPr>
          <w:p w14:paraId="4FB49A22"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Zakres projektu obejmował będzie dostosowanie obiektów użyteczności publicznej dla osób ze szczególnymi potrzebami w tym z niepełnosprawnościami. </w:t>
            </w:r>
          </w:p>
        </w:tc>
      </w:tr>
      <w:tr w:rsidR="00C81289" w:rsidRPr="00C81289" w14:paraId="477A3294" w14:textId="77777777" w:rsidTr="00E717A0">
        <w:tc>
          <w:tcPr>
            <w:tcW w:w="428" w:type="dxa"/>
            <w:vAlign w:val="center"/>
          </w:tcPr>
          <w:p w14:paraId="6CFB06D7" w14:textId="0D00CCA9" w:rsidR="00C81289" w:rsidRPr="00C81289" w:rsidRDefault="00C81289" w:rsidP="00C81289">
            <w:pPr>
              <w:spacing w:after="0" w:line="259" w:lineRule="auto"/>
              <w:jc w:val="center"/>
              <w:rPr>
                <w:rFonts w:eastAsia="Calibri" w:cs="Times New Roman"/>
                <w:sz w:val="14"/>
                <w:szCs w:val="14"/>
                <w:lang w:bidi="en-US"/>
              </w:rPr>
            </w:pPr>
            <w:r w:rsidRPr="00C81289">
              <w:rPr>
                <w:rFonts w:eastAsia="Calibri" w:cs="Times New Roman"/>
                <w:sz w:val="14"/>
                <w:szCs w:val="14"/>
                <w:lang w:bidi="en-US"/>
              </w:rPr>
              <w:t>2.</w:t>
            </w:r>
          </w:p>
        </w:tc>
        <w:tc>
          <w:tcPr>
            <w:tcW w:w="1534" w:type="dxa"/>
            <w:vAlign w:val="center"/>
          </w:tcPr>
          <w:p w14:paraId="75424736" w14:textId="130169B9"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1.2</w:t>
            </w:r>
            <w:r w:rsidR="0037203D">
              <w:rPr>
                <w:rFonts w:eastAsia="Calibri" w:cs="Calibri Light"/>
                <w:sz w:val="14"/>
                <w:szCs w:val="14"/>
              </w:rPr>
              <w:t xml:space="preserve">. </w:t>
            </w:r>
            <w:r w:rsidR="0037203D" w:rsidRPr="0037203D">
              <w:rPr>
                <w:rFonts w:eastAsia="Calibri" w:cs="Calibri Light"/>
                <w:sz w:val="14"/>
                <w:szCs w:val="14"/>
              </w:rPr>
              <w:t>Wzrost jakości usług i infrastruktury pomocy społecznej</w:t>
            </w:r>
          </w:p>
        </w:tc>
        <w:tc>
          <w:tcPr>
            <w:tcW w:w="2268" w:type="dxa"/>
            <w:vAlign w:val="center"/>
          </w:tcPr>
          <w:p w14:paraId="0AB2CC0B"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Usługi społeczne dla mieszkańców Gminy Opole Lubelskie</w:t>
            </w:r>
          </w:p>
        </w:tc>
        <w:tc>
          <w:tcPr>
            <w:tcW w:w="1196" w:type="dxa"/>
            <w:vAlign w:val="center"/>
          </w:tcPr>
          <w:p w14:paraId="084A8B5B"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Centrum Usług Społecznych</w:t>
            </w:r>
          </w:p>
        </w:tc>
        <w:tc>
          <w:tcPr>
            <w:tcW w:w="8585" w:type="dxa"/>
            <w:vAlign w:val="center"/>
          </w:tcPr>
          <w:p w14:paraId="2ED0CEDE" w14:textId="77777777" w:rsidR="00C81289" w:rsidRPr="00C81289" w:rsidRDefault="00C81289" w:rsidP="00C81289">
            <w:pPr>
              <w:suppressAutoHyphens/>
              <w:spacing w:before="120" w:after="0" w:line="259" w:lineRule="auto"/>
              <w:jc w:val="left"/>
              <w:rPr>
                <w:rFonts w:eastAsia="Calibri" w:cs="Calibri Light"/>
                <w:sz w:val="14"/>
                <w:szCs w:val="14"/>
              </w:rPr>
            </w:pPr>
            <w:r w:rsidRPr="00C81289">
              <w:rPr>
                <w:rFonts w:eastAsia="Calibri" w:cs="Calibri Light"/>
                <w:sz w:val="14"/>
                <w:szCs w:val="14"/>
              </w:rPr>
              <w:t>Realizacja usług społecznych przez Centrum Usług Społecznych w zakresie:</w:t>
            </w:r>
          </w:p>
          <w:p w14:paraId="1B9CE5F4" w14:textId="77777777" w:rsidR="00C81289" w:rsidRPr="00C81289" w:rsidRDefault="00C81289" w:rsidP="00C81289">
            <w:pPr>
              <w:suppressAutoHyphens/>
              <w:spacing w:after="0" w:line="259" w:lineRule="auto"/>
              <w:jc w:val="left"/>
              <w:rPr>
                <w:rFonts w:eastAsia="Calibri" w:cs="Calibri Light"/>
                <w:sz w:val="14"/>
                <w:szCs w:val="14"/>
              </w:rPr>
            </w:pPr>
            <w:r w:rsidRPr="00C81289">
              <w:rPr>
                <w:rFonts w:eastAsia="Calibri" w:cs="Calibri Light"/>
                <w:sz w:val="14"/>
                <w:szCs w:val="14"/>
              </w:rPr>
              <w:t>1. usługi dla osób starszych:</w:t>
            </w:r>
          </w:p>
          <w:p w14:paraId="6D2E8A2B" w14:textId="77777777" w:rsidR="00C57017" w:rsidRPr="00C81289" w:rsidRDefault="00EE73F1">
            <w:pPr>
              <w:numPr>
                <w:ilvl w:val="0"/>
                <w:numId w:val="48"/>
              </w:numPr>
              <w:suppressAutoHyphens/>
              <w:spacing w:after="0" w:line="259" w:lineRule="auto"/>
              <w:ind w:left="114" w:hanging="114"/>
              <w:jc w:val="left"/>
              <w:rPr>
                <w:rFonts w:eastAsia="Calibri" w:cs="Calibri Light"/>
                <w:sz w:val="14"/>
                <w:szCs w:val="14"/>
              </w:rPr>
            </w:pPr>
            <w:r w:rsidRPr="00C81289">
              <w:rPr>
                <w:rFonts w:eastAsia="Calibri" w:cs="Calibri Light"/>
                <w:sz w:val="14"/>
                <w:szCs w:val="14"/>
              </w:rPr>
              <w:t>dzienny dom pomocy społecznej;</w:t>
            </w:r>
          </w:p>
          <w:p w14:paraId="2D778D3B" w14:textId="77777777" w:rsidR="00C57017" w:rsidRPr="00C81289" w:rsidRDefault="00EE73F1">
            <w:pPr>
              <w:numPr>
                <w:ilvl w:val="0"/>
                <w:numId w:val="48"/>
              </w:numPr>
              <w:suppressAutoHyphens/>
              <w:spacing w:after="0" w:line="259" w:lineRule="auto"/>
              <w:ind w:left="114" w:hanging="114"/>
              <w:jc w:val="left"/>
              <w:rPr>
                <w:rFonts w:eastAsia="Calibri" w:cs="Calibri Light"/>
                <w:sz w:val="14"/>
                <w:szCs w:val="14"/>
              </w:rPr>
            </w:pPr>
            <w:r w:rsidRPr="00C81289">
              <w:rPr>
                <w:rFonts w:eastAsia="Calibri" w:cs="Calibri Light"/>
                <w:sz w:val="14"/>
                <w:szCs w:val="14"/>
              </w:rPr>
              <w:t>klub międzypokoleniowy;</w:t>
            </w:r>
          </w:p>
          <w:p w14:paraId="5E71E2C7" w14:textId="77777777" w:rsidR="00C57017" w:rsidRPr="00C81289" w:rsidRDefault="00EE73F1">
            <w:pPr>
              <w:numPr>
                <w:ilvl w:val="0"/>
                <w:numId w:val="48"/>
              </w:numPr>
              <w:suppressAutoHyphens/>
              <w:spacing w:after="0" w:line="259" w:lineRule="auto"/>
              <w:ind w:left="114" w:hanging="114"/>
              <w:jc w:val="left"/>
              <w:rPr>
                <w:rFonts w:eastAsia="Calibri" w:cs="Calibri Light"/>
                <w:sz w:val="14"/>
                <w:szCs w:val="14"/>
              </w:rPr>
            </w:pPr>
            <w:r w:rsidRPr="00C81289">
              <w:rPr>
                <w:rFonts w:eastAsia="Calibri" w:cs="Calibri Light"/>
                <w:sz w:val="14"/>
                <w:szCs w:val="14"/>
              </w:rPr>
              <w:t>usługi asystenta osobistego osoby niepełnosprawnej;</w:t>
            </w:r>
          </w:p>
          <w:p w14:paraId="5215DE09" w14:textId="77777777" w:rsidR="00C57017" w:rsidRPr="00C81289" w:rsidRDefault="00EE73F1">
            <w:pPr>
              <w:numPr>
                <w:ilvl w:val="0"/>
                <w:numId w:val="48"/>
              </w:numPr>
              <w:suppressAutoHyphens/>
              <w:spacing w:after="0" w:line="259" w:lineRule="auto"/>
              <w:ind w:left="114" w:hanging="114"/>
              <w:jc w:val="left"/>
              <w:rPr>
                <w:rFonts w:eastAsia="Calibri" w:cs="Calibri Light"/>
                <w:sz w:val="14"/>
                <w:szCs w:val="14"/>
              </w:rPr>
            </w:pPr>
            <w:r w:rsidRPr="00C81289">
              <w:rPr>
                <w:rFonts w:eastAsia="Calibri" w:cs="Calibri Light"/>
                <w:sz w:val="14"/>
                <w:szCs w:val="14"/>
              </w:rPr>
              <w:t>usługa opieki wytchnieniowej.</w:t>
            </w:r>
          </w:p>
          <w:p w14:paraId="2BF3CEC5" w14:textId="77777777" w:rsidR="00C81289" w:rsidRPr="00C81289" w:rsidRDefault="00C81289" w:rsidP="00C81289">
            <w:pPr>
              <w:suppressAutoHyphens/>
              <w:spacing w:after="0" w:line="259" w:lineRule="auto"/>
              <w:jc w:val="left"/>
              <w:rPr>
                <w:rFonts w:eastAsia="Calibri" w:cs="Calibri Light"/>
                <w:sz w:val="14"/>
                <w:szCs w:val="14"/>
              </w:rPr>
            </w:pPr>
            <w:r w:rsidRPr="00C81289">
              <w:rPr>
                <w:rFonts w:eastAsia="Calibri" w:cs="Calibri Light"/>
                <w:sz w:val="14"/>
                <w:szCs w:val="14"/>
              </w:rPr>
              <w:t>2. usługi zdrowotne dla wszystkich mieszkańców gminy:</w:t>
            </w:r>
          </w:p>
          <w:p w14:paraId="43502AB1" w14:textId="77777777" w:rsidR="00C57017" w:rsidRPr="00C81289" w:rsidRDefault="00EE73F1">
            <w:pPr>
              <w:numPr>
                <w:ilvl w:val="0"/>
                <w:numId w:val="48"/>
              </w:numPr>
              <w:suppressAutoHyphens/>
              <w:spacing w:after="0" w:line="259" w:lineRule="auto"/>
              <w:ind w:left="114" w:hanging="114"/>
              <w:jc w:val="left"/>
              <w:rPr>
                <w:rFonts w:eastAsia="Calibri" w:cs="Calibri Light"/>
                <w:sz w:val="14"/>
                <w:szCs w:val="14"/>
              </w:rPr>
            </w:pPr>
            <w:r w:rsidRPr="00C81289">
              <w:rPr>
                <w:rFonts w:eastAsia="Calibri" w:cs="Calibri Light"/>
                <w:sz w:val="14"/>
                <w:szCs w:val="14"/>
              </w:rPr>
              <w:t>z zakresu profilaktyki zdrowia – lekarze specjaliści, pielęgniarka;</w:t>
            </w:r>
          </w:p>
          <w:p w14:paraId="75829AF2" w14:textId="77777777" w:rsidR="00C81289" w:rsidRPr="00C81289" w:rsidRDefault="00C81289" w:rsidP="00C81289">
            <w:pPr>
              <w:suppressAutoHyphens/>
              <w:spacing w:after="0" w:line="259" w:lineRule="auto"/>
              <w:jc w:val="left"/>
              <w:rPr>
                <w:rFonts w:eastAsia="Calibri" w:cs="Calibri Light"/>
                <w:sz w:val="14"/>
                <w:szCs w:val="14"/>
              </w:rPr>
            </w:pPr>
            <w:r w:rsidRPr="00C81289">
              <w:rPr>
                <w:rFonts w:eastAsia="Calibri" w:cs="Calibri Light"/>
                <w:sz w:val="14"/>
                <w:szCs w:val="14"/>
              </w:rPr>
              <w:t>3. klub integracji społecznej – dla osób zagrożonych wykluczeniem społecznym</w:t>
            </w:r>
          </w:p>
          <w:p w14:paraId="2E7F1D2B" w14:textId="77777777" w:rsidR="00C81289" w:rsidRPr="00C81289" w:rsidRDefault="00C81289" w:rsidP="00C81289">
            <w:pPr>
              <w:suppressAutoHyphens/>
              <w:spacing w:after="0" w:line="259" w:lineRule="auto"/>
              <w:jc w:val="left"/>
              <w:rPr>
                <w:rFonts w:eastAsia="Calibri" w:cs="Calibri Light"/>
                <w:sz w:val="14"/>
                <w:szCs w:val="14"/>
              </w:rPr>
            </w:pPr>
            <w:r w:rsidRPr="00C81289">
              <w:rPr>
                <w:rFonts w:eastAsia="Calibri" w:cs="Calibri Light"/>
                <w:sz w:val="14"/>
                <w:szCs w:val="14"/>
              </w:rPr>
              <w:t>4. usługi dla dzieci i młodzieży:</w:t>
            </w:r>
          </w:p>
          <w:p w14:paraId="5D8EB9C9" w14:textId="77777777" w:rsidR="00C57017" w:rsidRPr="00C81289" w:rsidRDefault="00EE73F1">
            <w:pPr>
              <w:numPr>
                <w:ilvl w:val="0"/>
                <w:numId w:val="48"/>
              </w:numPr>
              <w:spacing w:line="259" w:lineRule="auto"/>
              <w:ind w:left="113" w:hanging="113"/>
              <w:jc w:val="left"/>
              <w:rPr>
                <w:rFonts w:eastAsia="Calibri" w:cs="Calibri Light"/>
                <w:sz w:val="14"/>
                <w:szCs w:val="14"/>
              </w:rPr>
            </w:pPr>
            <w:r w:rsidRPr="00C81289">
              <w:rPr>
                <w:rFonts w:eastAsia="Calibri" w:cs="Calibri Light"/>
                <w:sz w:val="14"/>
                <w:szCs w:val="14"/>
              </w:rPr>
              <w:t>działalność świetlic edukacyjno – terapeutycznych dla dzieci do 18 roku życia (zajęcia edukacyjne, animacyjne, logopedyczne, wsparcie psychologiczne)</w:t>
            </w:r>
          </w:p>
        </w:tc>
      </w:tr>
      <w:tr w:rsidR="00C81289" w:rsidRPr="00C81289" w14:paraId="596B8C76" w14:textId="77777777" w:rsidTr="00E717A0">
        <w:tc>
          <w:tcPr>
            <w:tcW w:w="428" w:type="dxa"/>
            <w:vAlign w:val="center"/>
          </w:tcPr>
          <w:p w14:paraId="35F33A72" w14:textId="72B83A2C" w:rsidR="00C81289" w:rsidRPr="00C81289" w:rsidRDefault="00C81289" w:rsidP="00C81289">
            <w:pPr>
              <w:spacing w:after="0" w:line="259" w:lineRule="auto"/>
              <w:jc w:val="center"/>
              <w:rPr>
                <w:rFonts w:eastAsia="Calibri" w:cs="Times New Roman"/>
                <w:sz w:val="14"/>
                <w:szCs w:val="14"/>
                <w:lang w:bidi="en-US"/>
              </w:rPr>
            </w:pPr>
            <w:r w:rsidRPr="00C81289">
              <w:rPr>
                <w:rFonts w:eastAsia="Calibri" w:cs="Times New Roman"/>
                <w:sz w:val="14"/>
                <w:szCs w:val="14"/>
                <w:lang w:bidi="en-US"/>
              </w:rPr>
              <w:t>3.</w:t>
            </w:r>
          </w:p>
        </w:tc>
        <w:tc>
          <w:tcPr>
            <w:tcW w:w="1534" w:type="dxa"/>
            <w:vAlign w:val="center"/>
          </w:tcPr>
          <w:p w14:paraId="4F1609B8" w14:textId="4923CEAC"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1.2</w:t>
            </w:r>
            <w:r w:rsidR="0037203D">
              <w:rPr>
                <w:rFonts w:eastAsia="Calibri" w:cs="Calibri Light"/>
                <w:sz w:val="14"/>
                <w:szCs w:val="14"/>
              </w:rPr>
              <w:t xml:space="preserve">. </w:t>
            </w:r>
            <w:r w:rsidR="0037203D" w:rsidRPr="0037203D">
              <w:rPr>
                <w:rFonts w:eastAsia="Calibri" w:cs="Calibri Light"/>
                <w:sz w:val="14"/>
                <w:szCs w:val="14"/>
              </w:rPr>
              <w:t>Wzrost jakości usług i infrastruktury pomocy społecznej</w:t>
            </w:r>
          </w:p>
        </w:tc>
        <w:tc>
          <w:tcPr>
            <w:tcW w:w="2268" w:type="dxa"/>
            <w:vAlign w:val="center"/>
          </w:tcPr>
          <w:p w14:paraId="1B7FBDAD"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Utworzenie instytucji „pierwszego kontaktu” dla osób ze szczególnymi potrzebami w tym z niepełnosprawnościami </w:t>
            </w:r>
          </w:p>
        </w:tc>
        <w:tc>
          <w:tcPr>
            <w:tcW w:w="1196" w:type="dxa"/>
            <w:vAlign w:val="center"/>
          </w:tcPr>
          <w:p w14:paraId="0E9C438F"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Gmina Opole Lubelskie</w:t>
            </w:r>
          </w:p>
        </w:tc>
        <w:tc>
          <w:tcPr>
            <w:tcW w:w="8585" w:type="dxa"/>
            <w:vAlign w:val="center"/>
          </w:tcPr>
          <w:p w14:paraId="1BD870C9"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Zakres projektu obejmuje utworzenie Centrum Koordynacji dla osób z niepełnosprawnościami, które ma na celu pomoc w otrzymaniu wsparcia, koordynację poszczególnych etapów wsparcia oraz udzielanie kompleksowych informacji o możliwościach i sposobach otrzymania pomocy. </w:t>
            </w:r>
          </w:p>
        </w:tc>
      </w:tr>
      <w:tr w:rsidR="00C81289" w:rsidRPr="00C81289" w14:paraId="01666B47" w14:textId="77777777" w:rsidTr="00E717A0">
        <w:tc>
          <w:tcPr>
            <w:tcW w:w="428" w:type="dxa"/>
            <w:vAlign w:val="center"/>
          </w:tcPr>
          <w:p w14:paraId="0DF8629D" w14:textId="228970E4"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4</w:t>
            </w:r>
            <w:r w:rsidR="00C81289" w:rsidRPr="00C81289">
              <w:rPr>
                <w:rFonts w:eastAsia="Calibri" w:cs="Times New Roman"/>
                <w:sz w:val="14"/>
                <w:szCs w:val="14"/>
                <w:lang w:bidi="en-US"/>
              </w:rPr>
              <w:t>.</w:t>
            </w:r>
          </w:p>
        </w:tc>
        <w:tc>
          <w:tcPr>
            <w:tcW w:w="1534" w:type="dxa"/>
            <w:vAlign w:val="center"/>
          </w:tcPr>
          <w:p w14:paraId="0CEBC90D" w14:textId="0DAABF90" w:rsidR="00C81289" w:rsidRPr="00C81289" w:rsidRDefault="00C81289" w:rsidP="007F76CD">
            <w:pPr>
              <w:spacing w:before="120" w:line="259" w:lineRule="auto"/>
              <w:jc w:val="left"/>
              <w:rPr>
                <w:rFonts w:eastAsia="Calibri" w:cs="Times New Roman"/>
                <w:bCs/>
                <w:sz w:val="14"/>
                <w:szCs w:val="14"/>
              </w:rPr>
            </w:pPr>
            <w:r w:rsidRPr="00C81289">
              <w:rPr>
                <w:rFonts w:eastAsia="Calibri" w:cs="Times New Roman"/>
                <w:bCs/>
                <w:sz w:val="14"/>
                <w:szCs w:val="14"/>
              </w:rPr>
              <w:t>1.3</w:t>
            </w:r>
            <w:r w:rsidR="0037203D">
              <w:rPr>
                <w:rFonts w:eastAsia="Calibri" w:cs="Times New Roman"/>
                <w:bCs/>
                <w:sz w:val="14"/>
                <w:szCs w:val="14"/>
              </w:rPr>
              <w:t xml:space="preserve">. </w:t>
            </w:r>
            <w:r w:rsidR="0037203D" w:rsidRPr="0037203D">
              <w:rPr>
                <w:rFonts w:eastAsia="Calibri" w:cs="Times New Roman"/>
                <w:bCs/>
                <w:sz w:val="14"/>
                <w:szCs w:val="14"/>
              </w:rPr>
              <w:t>Zwiększenie atrakcyjności obiektów kultury i ochrona dziedzictwa kulturowego</w:t>
            </w:r>
          </w:p>
        </w:tc>
        <w:tc>
          <w:tcPr>
            <w:tcW w:w="2268" w:type="dxa"/>
            <w:vAlign w:val="center"/>
          </w:tcPr>
          <w:p w14:paraId="4C8CAB0C" w14:textId="77777777" w:rsidR="00C81289" w:rsidRPr="00C81289" w:rsidRDefault="00C81289" w:rsidP="00C81289">
            <w:pPr>
              <w:spacing w:after="0" w:line="259" w:lineRule="auto"/>
              <w:jc w:val="left"/>
              <w:rPr>
                <w:rFonts w:eastAsia="Calibri" w:cs="Times New Roman"/>
                <w:bCs/>
                <w:sz w:val="14"/>
                <w:szCs w:val="14"/>
              </w:rPr>
            </w:pPr>
            <w:r w:rsidRPr="00C81289">
              <w:rPr>
                <w:rFonts w:eastAsia="Calibri" w:cs="Times New Roman"/>
                <w:bCs/>
                <w:sz w:val="14"/>
                <w:szCs w:val="14"/>
              </w:rPr>
              <w:t>Utworzenie Miniskansenu</w:t>
            </w:r>
          </w:p>
          <w:p w14:paraId="4B8AD575" w14:textId="77777777" w:rsidR="00C81289" w:rsidRPr="00C81289" w:rsidRDefault="00C81289" w:rsidP="00C81289">
            <w:pPr>
              <w:spacing w:after="0" w:line="259" w:lineRule="auto"/>
              <w:jc w:val="left"/>
              <w:rPr>
                <w:rFonts w:eastAsia="Calibri" w:cs="Times New Roman"/>
                <w:bCs/>
                <w:sz w:val="14"/>
                <w:szCs w:val="14"/>
              </w:rPr>
            </w:pPr>
            <w:r w:rsidRPr="00C81289">
              <w:rPr>
                <w:rFonts w:eastAsia="Calibri" w:cs="Times New Roman"/>
                <w:bCs/>
                <w:sz w:val="14"/>
                <w:szCs w:val="14"/>
              </w:rPr>
              <w:t>(lub Zagrody tematycznej lub sieci Zagród tematycznych</w:t>
            </w:r>
          </w:p>
          <w:p w14:paraId="282BCB23" w14:textId="77777777" w:rsidR="00C81289" w:rsidRPr="00C81289" w:rsidRDefault="00C81289" w:rsidP="00C81289">
            <w:pPr>
              <w:spacing w:after="0" w:line="259" w:lineRule="auto"/>
              <w:jc w:val="left"/>
              <w:rPr>
                <w:rFonts w:eastAsia="Calibri" w:cs="Times New Roman"/>
                <w:bCs/>
                <w:sz w:val="14"/>
                <w:szCs w:val="14"/>
              </w:rPr>
            </w:pPr>
            <w:r w:rsidRPr="00C81289">
              <w:rPr>
                <w:rFonts w:eastAsia="Calibri" w:cs="Times New Roman"/>
                <w:bCs/>
                <w:sz w:val="14"/>
                <w:szCs w:val="14"/>
              </w:rPr>
              <w:t>lub Małego Muzeum Wsi Opolskiej)</w:t>
            </w:r>
          </w:p>
          <w:p w14:paraId="331CCB31" w14:textId="77777777" w:rsidR="00C81289" w:rsidRPr="00C81289" w:rsidRDefault="00C81289" w:rsidP="00C81289">
            <w:pPr>
              <w:spacing w:before="120" w:line="259" w:lineRule="auto"/>
              <w:jc w:val="left"/>
              <w:rPr>
                <w:rFonts w:eastAsia="Calibri" w:cs="Calibri Light"/>
                <w:sz w:val="14"/>
                <w:szCs w:val="14"/>
              </w:rPr>
            </w:pPr>
          </w:p>
        </w:tc>
        <w:tc>
          <w:tcPr>
            <w:tcW w:w="1196" w:type="dxa"/>
            <w:vAlign w:val="center"/>
          </w:tcPr>
          <w:p w14:paraId="72ABE998"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Gmina Opole Lubelskie</w:t>
            </w:r>
          </w:p>
        </w:tc>
        <w:tc>
          <w:tcPr>
            <w:tcW w:w="8585" w:type="dxa"/>
            <w:vAlign w:val="center"/>
          </w:tcPr>
          <w:p w14:paraId="482D6168" w14:textId="77777777" w:rsidR="00C81289" w:rsidRPr="00C81289" w:rsidRDefault="00C81289" w:rsidP="00C81289">
            <w:pPr>
              <w:spacing w:before="120" w:after="0" w:line="259" w:lineRule="auto"/>
              <w:jc w:val="left"/>
              <w:rPr>
                <w:rFonts w:eastAsia="Calibri" w:cs="Times New Roman"/>
                <w:sz w:val="14"/>
                <w:szCs w:val="14"/>
                <w:u w:val="single"/>
              </w:rPr>
            </w:pPr>
            <w:r w:rsidRPr="00C81289">
              <w:rPr>
                <w:rFonts w:eastAsia="Calibri" w:cs="Times New Roman"/>
                <w:sz w:val="14"/>
                <w:szCs w:val="14"/>
                <w:u w:val="single"/>
              </w:rPr>
              <w:t>W ramach projektu:</w:t>
            </w:r>
          </w:p>
          <w:p w14:paraId="0FFEAFEC" w14:textId="77777777" w:rsidR="00C57017" w:rsidRPr="00C81289" w:rsidRDefault="00EE73F1">
            <w:pPr>
              <w:numPr>
                <w:ilvl w:val="0"/>
                <w:numId w:val="43"/>
              </w:numPr>
              <w:spacing w:after="0" w:line="259" w:lineRule="auto"/>
              <w:ind w:left="114" w:hanging="114"/>
              <w:jc w:val="left"/>
              <w:rPr>
                <w:rFonts w:eastAsia="Calibri" w:cs="Times New Roman"/>
                <w:sz w:val="14"/>
                <w:szCs w:val="14"/>
              </w:rPr>
            </w:pPr>
            <w:r w:rsidRPr="00C81289">
              <w:rPr>
                <w:rFonts w:eastAsia="Calibri" w:cs="Times New Roman"/>
                <w:sz w:val="14"/>
                <w:szCs w:val="14"/>
              </w:rPr>
              <w:t xml:space="preserve">będzie utworzony Miniskansen (lub Zagroda tematyczna lub sieć Zagród tematycznych lub Małe Muzeum Wsi Opolskiej), który będzie miał na celu ochronę, zachowanie i pokazanie wiejskiego dziedzictwa materialnego, np. budynki, budowle, oraz niematerialnego: zwyczaje, obrzędy, tańce i przyśpiewki ludowe, podania, legendy, gwara, przepisy kulinarne, rzemiosło tradycyjne i inne, </w:t>
            </w:r>
          </w:p>
          <w:p w14:paraId="38AF9BBE" w14:textId="77777777" w:rsidR="00C57017" w:rsidRPr="00C81289" w:rsidRDefault="00EE73F1">
            <w:pPr>
              <w:numPr>
                <w:ilvl w:val="0"/>
                <w:numId w:val="43"/>
              </w:numPr>
              <w:spacing w:after="0" w:line="259" w:lineRule="auto"/>
              <w:ind w:left="114" w:hanging="114"/>
              <w:jc w:val="left"/>
              <w:rPr>
                <w:rFonts w:eastAsia="Calibri" w:cs="Times New Roman"/>
                <w:sz w:val="14"/>
                <w:szCs w:val="14"/>
              </w:rPr>
            </w:pPr>
            <w:r w:rsidRPr="00C81289">
              <w:rPr>
                <w:rFonts w:eastAsia="Calibri" w:cs="Times New Roman"/>
                <w:sz w:val="14"/>
                <w:szCs w:val="14"/>
              </w:rPr>
              <w:t xml:space="preserve">zostanie wydana publikacja traktująca o przeszłości i dawnym życiu mieszkańców wsi opolskiej z wykorzystaniem wspomnień mieszkańców i dawnych fotografii w formie folderu, albumu lub plików multimedialnych udostępnionych na stronie internetowej Miniskansenu, </w:t>
            </w:r>
          </w:p>
          <w:p w14:paraId="43F6ABE7" w14:textId="77777777" w:rsidR="00C57017" w:rsidRPr="00C81289" w:rsidRDefault="00EE73F1">
            <w:pPr>
              <w:numPr>
                <w:ilvl w:val="0"/>
                <w:numId w:val="43"/>
              </w:numPr>
              <w:spacing w:after="0" w:line="259" w:lineRule="auto"/>
              <w:ind w:left="113" w:hanging="113"/>
              <w:jc w:val="left"/>
              <w:rPr>
                <w:rFonts w:eastAsia="Calibri" w:cs="Times New Roman"/>
                <w:sz w:val="14"/>
                <w:szCs w:val="14"/>
              </w:rPr>
            </w:pPr>
            <w:r w:rsidRPr="00C81289">
              <w:rPr>
                <w:rFonts w:eastAsia="Calibri" w:cs="Times New Roman"/>
                <w:sz w:val="14"/>
                <w:szCs w:val="14"/>
              </w:rPr>
              <w:t>młodzież nagra dźwiękowe wspomnienia oraz nakręci amatorskie filmy z uczestnictwem seniorów, którzy podzielą się swoimi wspomnieniami dotyczącymi życia na dawnej opolskiej wsi.</w:t>
            </w:r>
          </w:p>
          <w:p w14:paraId="692D9BA0" w14:textId="77777777" w:rsidR="00C81289" w:rsidRPr="00C81289" w:rsidRDefault="00C81289" w:rsidP="00C81289">
            <w:pPr>
              <w:spacing w:after="0" w:line="259" w:lineRule="auto"/>
              <w:jc w:val="left"/>
              <w:rPr>
                <w:rFonts w:eastAsia="Calibri" w:cs="Times New Roman"/>
                <w:sz w:val="14"/>
                <w:szCs w:val="14"/>
                <w:u w:val="single"/>
              </w:rPr>
            </w:pPr>
            <w:r w:rsidRPr="00C81289">
              <w:rPr>
                <w:rFonts w:eastAsia="Calibri" w:cs="Times New Roman"/>
                <w:sz w:val="14"/>
                <w:szCs w:val="14"/>
                <w:u w:val="single"/>
              </w:rPr>
              <w:t>Będzie tu można obejrzeć:</w:t>
            </w:r>
          </w:p>
          <w:p w14:paraId="15B839BF" w14:textId="77777777" w:rsidR="00C57017" w:rsidRPr="00C81289" w:rsidRDefault="00EE73F1">
            <w:pPr>
              <w:numPr>
                <w:ilvl w:val="0"/>
                <w:numId w:val="44"/>
              </w:numPr>
              <w:spacing w:after="0" w:line="259" w:lineRule="auto"/>
              <w:ind w:left="113" w:hanging="113"/>
              <w:jc w:val="left"/>
              <w:rPr>
                <w:rFonts w:eastAsia="Calibri" w:cs="Times New Roman"/>
                <w:sz w:val="14"/>
                <w:szCs w:val="14"/>
              </w:rPr>
            </w:pPr>
            <w:r w:rsidRPr="00C81289">
              <w:rPr>
                <w:rFonts w:eastAsia="Calibri" w:cs="Times New Roman"/>
                <w:sz w:val="14"/>
                <w:szCs w:val="14"/>
              </w:rPr>
              <w:t>ekspozycję przedmiotów codziennego użytku: wyposażenia dawnego domu i budynków gospodarskich oraz podwórza i ogrodu - przedmiotów codziennego użytku, narzędzi, strojów, itp.</w:t>
            </w:r>
          </w:p>
          <w:p w14:paraId="578C0816" w14:textId="77777777" w:rsidR="00C81289" w:rsidRPr="00C81289" w:rsidRDefault="00C81289" w:rsidP="00C81289">
            <w:pPr>
              <w:spacing w:after="0" w:line="259" w:lineRule="auto"/>
              <w:jc w:val="left"/>
              <w:rPr>
                <w:rFonts w:eastAsia="Calibri" w:cs="Times New Roman"/>
                <w:sz w:val="14"/>
                <w:szCs w:val="14"/>
                <w:u w:val="single"/>
              </w:rPr>
            </w:pPr>
            <w:r w:rsidRPr="00C81289">
              <w:rPr>
                <w:rFonts w:eastAsia="Calibri" w:cs="Times New Roman"/>
                <w:sz w:val="14"/>
                <w:szCs w:val="14"/>
                <w:u w:val="single"/>
              </w:rPr>
              <w:lastRenderedPageBreak/>
              <w:t>Będzie tu można czynnie uczestniczyć w:</w:t>
            </w:r>
          </w:p>
          <w:p w14:paraId="321F1A92"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pokazach ginących zawodów, np. plecionkarstwo (rogożyna), garncarstwo, itp.</w:t>
            </w:r>
          </w:p>
          <w:p w14:paraId="6E4B2010"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pokazach dawnych zajęć związanych z przyrodą oraz porami roku: w pracach domowych (np. mielenie mąki) i polowych (np. wykopki).</w:t>
            </w:r>
          </w:p>
          <w:p w14:paraId="5319FB86"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warsztatach kulinarnych, zielarskich, wykonywania ozdób              i innych związanych z rokiem obrzędowym i liturgicznym oraz zmieniającymi się porami roku, z naciskiem na ukazanie ścisłego związku człowieka z przyrodą: wykorzystanie w pracy materiału pochodzenia roślinnego dostępnego na wsi,</w:t>
            </w:r>
          </w:p>
          <w:p w14:paraId="26D32B4F"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imprezach plenerowych promujących wieś i jej dziedzictwo kulturowe,</w:t>
            </w:r>
          </w:p>
          <w:p w14:paraId="0E313132"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spotkaniach z lokalnymi artystami i twórcami ludowymi,</w:t>
            </w:r>
          </w:p>
          <w:p w14:paraId="1039072F"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występach zespołów ludowych i obrzędowych,</w:t>
            </w:r>
          </w:p>
          <w:p w14:paraId="76D55C81"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 xml:space="preserve">wystawach, pokazach multimedialnych, wykładach i innych, dotyczących dawnej wsi opolskiej. </w:t>
            </w:r>
          </w:p>
          <w:p w14:paraId="724AB72C" w14:textId="77777777" w:rsidR="00C81289" w:rsidRPr="00C81289" w:rsidRDefault="00C81289" w:rsidP="00C81289">
            <w:pPr>
              <w:spacing w:after="0" w:line="259" w:lineRule="auto"/>
              <w:jc w:val="left"/>
              <w:rPr>
                <w:rFonts w:eastAsia="Calibri" w:cs="Times New Roman"/>
                <w:sz w:val="14"/>
                <w:szCs w:val="14"/>
                <w:u w:val="single"/>
              </w:rPr>
            </w:pPr>
            <w:r w:rsidRPr="00C81289">
              <w:rPr>
                <w:rFonts w:eastAsia="Calibri" w:cs="Times New Roman"/>
                <w:sz w:val="14"/>
                <w:szCs w:val="14"/>
                <w:u w:val="single"/>
              </w:rPr>
              <w:t>Projekt skierowany jest do:</w:t>
            </w:r>
          </w:p>
          <w:p w14:paraId="37620BFF"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różnych grup wiekowych, od dzieci przedszkolnych, szkolnych, młodzieży po osoby dorosłe i seniorów.</w:t>
            </w:r>
          </w:p>
          <w:p w14:paraId="4772F699" w14:textId="77777777" w:rsidR="00C81289" w:rsidRPr="00C81289" w:rsidRDefault="00C81289" w:rsidP="00C81289">
            <w:pPr>
              <w:spacing w:after="0" w:line="259" w:lineRule="auto"/>
              <w:jc w:val="left"/>
              <w:rPr>
                <w:rFonts w:eastAsia="Calibri" w:cs="Times New Roman"/>
                <w:sz w:val="14"/>
                <w:szCs w:val="14"/>
                <w:u w:val="single"/>
              </w:rPr>
            </w:pPr>
            <w:r w:rsidRPr="00C81289">
              <w:rPr>
                <w:rFonts w:eastAsia="Calibri" w:cs="Times New Roman"/>
                <w:sz w:val="14"/>
                <w:szCs w:val="14"/>
                <w:u w:val="single"/>
              </w:rPr>
              <w:t>Efekty:</w:t>
            </w:r>
          </w:p>
          <w:p w14:paraId="206B37EE"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prezentacja i ochrona dziedzictwa dawnej wsi opolskiej poprzez zebranie w jednym miejscu najciekawszych pamiątek,</w:t>
            </w:r>
          </w:p>
          <w:p w14:paraId="4C4D71F6"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zapoznanie z tym dziedzictwem mieszkańców Gminy Opole Lubelskie, a szczególnie młodego pokolenia,</w:t>
            </w:r>
          </w:p>
          <w:p w14:paraId="5219D5AA"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kultywowanie tradycji,</w:t>
            </w:r>
          </w:p>
          <w:p w14:paraId="4426B8CB"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 xml:space="preserve">promowanie rozwoju rzemiosła i sztuki ludowej oraz lokalnego folkloru ludowego, </w:t>
            </w:r>
          </w:p>
          <w:p w14:paraId="1C8C1C04"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pobudzenie aktywności społecznej poprzez zaangażowanie lokalnej społeczności w poszukiwanie i gromadzenie pamiątek historycznych oraz relacji ustnych,</w:t>
            </w:r>
          </w:p>
          <w:p w14:paraId="461B77E1" w14:textId="77777777" w:rsidR="00C57017" w:rsidRPr="00C81289" w:rsidRDefault="00EE73F1">
            <w:pPr>
              <w:numPr>
                <w:ilvl w:val="0"/>
                <w:numId w:val="44"/>
              </w:numPr>
              <w:spacing w:after="0" w:line="259" w:lineRule="auto"/>
              <w:ind w:left="114" w:hanging="114"/>
              <w:jc w:val="left"/>
              <w:rPr>
                <w:rFonts w:eastAsia="Calibri" w:cs="Times New Roman"/>
                <w:sz w:val="14"/>
                <w:szCs w:val="14"/>
              </w:rPr>
            </w:pPr>
            <w:r w:rsidRPr="00C81289">
              <w:rPr>
                <w:rFonts w:eastAsia="Calibri" w:cs="Times New Roman"/>
                <w:sz w:val="14"/>
                <w:szCs w:val="14"/>
              </w:rPr>
              <w:t>nawiązanie współpracy międzypokoleniowej, a szczególnie między seniorami i młodzieżą,</w:t>
            </w:r>
          </w:p>
          <w:p w14:paraId="26D2D5F2" w14:textId="77777777" w:rsidR="00C57017" w:rsidRPr="00C81289" w:rsidRDefault="00EE73F1">
            <w:pPr>
              <w:numPr>
                <w:ilvl w:val="0"/>
                <w:numId w:val="44"/>
              </w:numPr>
              <w:spacing w:line="259" w:lineRule="auto"/>
              <w:ind w:left="113" w:hanging="113"/>
              <w:jc w:val="left"/>
              <w:rPr>
                <w:rFonts w:eastAsia="Calibri" w:cs="Calibri Light"/>
                <w:sz w:val="14"/>
                <w:szCs w:val="14"/>
              </w:rPr>
            </w:pPr>
            <w:r w:rsidRPr="00C81289">
              <w:rPr>
                <w:rFonts w:eastAsia="Calibri" w:cs="Times New Roman"/>
                <w:sz w:val="14"/>
                <w:szCs w:val="14"/>
              </w:rPr>
              <w:t>promocja zasobów Miniskansenu poza terenem Gminy Opole Lubelskie.</w:t>
            </w:r>
          </w:p>
        </w:tc>
      </w:tr>
      <w:tr w:rsidR="00C81289" w:rsidRPr="00C81289" w14:paraId="1880D7C3" w14:textId="77777777" w:rsidTr="00E717A0">
        <w:tc>
          <w:tcPr>
            <w:tcW w:w="428" w:type="dxa"/>
            <w:vAlign w:val="center"/>
          </w:tcPr>
          <w:p w14:paraId="512E2569" w14:textId="5AD4E76D"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lastRenderedPageBreak/>
              <w:t>5</w:t>
            </w:r>
            <w:r w:rsidR="00C81289" w:rsidRPr="00C81289">
              <w:rPr>
                <w:rFonts w:eastAsia="Calibri" w:cs="Times New Roman"/>
                <w:sz w:val="14"/>
                <w:szCs w:val="14"/>
                <w:lang w:bidi="en-US"/>
              </w:rPr>
              <w:t>.</w:t>
            </w:r>
          </w:p>
        </w:tc>
        <w:tc>
          <w:tcPr>
            <w:tcW w:w="1534" w:type="dxa"/>
            <w:vAlign w:val="center"/>
          </w:tcPr>
          <w:p w14:paraId="725E03D6" w14:textId="7CFD0FAC" w:rsidR="00C81289" w:rsidRPr="00C81289" w:rsidRDefault="00C81289" w:rsidP="007F76CD">
            <w:pPr>
              <w:spacing w:before="120" w:line="259" w:lineRule="auto"/>
              <w:jc w:val="left"/>
              <w:rPr>
                <w:rFonts w:eastAsia="Calibri" w:cs="Times New Roman"/>
                <w:sz w:val="14"/>
                <w:szCs w:val="14"/>
              </w:rPr>
            </w:pPr>
            <w:r w:rsidRPr="00C81289">
              <w:rPr>
                <w:rFonts w:eastAsia="Calibri" w:cs="Times New Roman"/>
                <w:sz w:val="14"/>
                <w:szCs w:val="14"/>
              </w:rPr>
              <w:t>1.3</w:t>
            </w:r>
            <w:r w:rsidR="0037203D">
              <w:rPr>
                <w:rFonts w:eastAsia="Calibri" w:cs="Times New Roman"/>
                <w:sz w:val="14"/>
                <w:szCs w:val="14"/>
              </w:rPr>
              <w:t xml:space="preserve">. </w:t>
            </w:r>
            <w:r w:rsidR="0037203D" w:rsidRPr="0037203D">
              <w:rPr>
                <w:rFonts w:eastAsia="Calibri" w:cs="Times New Roman"/>
                <w:sz w:val="14"/>
                <w:szCs w:val="14"/>
              </w:rPr>
              <w:t>Zwiększenie atrakcyjności obiektów kultury i ochrona dziedzictwa kulturowego</w:t>
            </w:r>
          </w:p>
        </w:tc>
        <w:tc>
          <w:tcPr>
            <w:tcW w:w="2268" w:type="dxa"/>
            <w:vAlign w:val="center"/>
          </w:tcPr>
          <w:p w14:paraId="1BC6141E" w14:textId="77777777" w:rsidR="00C81289" w:rsidRPr="00C81289" w:rsidRDefault="00C81289" w:rsidP="00C81289">
            <w:pPr>
              <w:spacing w:after="0" w:line="259" w:lineRule="auto"/>
              <w:jc w:val="left"/>
              <w:rPr>
                <w:rFonts w:eastAsia="Calibri" w:cs="Times New Roman"/>
                <w:sz w:val="14"/>
                <w:szCs w:val="14"/>
              </w:rPr>
            </w:pPr>
            <w:r w:rsidRPr="00C81289">
              <w:rPr>
                <w:rFonts w:eastAsia="Calibri" w:cs="Times New Roman"/>
                <w:sz w:val="14"/>
                <w:szCs w:val="14"/>
              </w:rPr>
              <w:t>Utworzenie Muzeum Regionalnego</w:t>
            </w:r>
          </w:p>
          <w:p w14:paraId="18FE819E"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Times New Roman"/>
                <w:sz w:val="14"/>
                <w:szCs w:val="14"/>
              </w:rPr>
              <w:t>(lub Izby Regionalnej)</w:t>
            </w:r>
          </w:p>
        </w:tc>
        <w:tc>
          <w:tcPr>
            <w:tcW w:w="1196" w:type="dxa"/>
            <w:vAlign w:val="center"/>
          </w:tcPr>
          <w:p w14:paraId="76BF3F25"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Gmina Opole Lubelskie</w:t>
            </w:r>
          </w:p>
        </w:tc>
        <w:tc>
          <w:tcPr>
            <w:tcW w:w="8585" w:type="dxa"/>
            <w:vAlign w:val="center"/>
          </w:tcPr>
          <w:p w14:paraId="21E669DA" w14:textId="77777777" w:rsidR="00C57017" w:rsidRPr="00C81289" w:rsidRDefault="00EE73F1" w:rsidP="00C81289">
            <w:pPr>
              <w:spacing w:before="120" w:after="0" w:line="259" w:lineRule="auto"/>
              <w:jc w:val="left"/>
              <w:rPr>
                <w:rFonts w:eastAsia="Calibri" w:cs="Times New Roman"/>
                <w:sz w:val="14"/>
                <w:szCs w:val="14"/>
                <w:u w:val="single"/>
              </w:rPr>
            </w:pPr>
            <w:r w:rsidRPr="00C81289">
              <w:rPr>
                <w:rFonts w:eastAsia="Calibri" w:cs="Times New Roman"/>
                <w:sz w:val="14"/>
                <w:szCs w:val="14"/>
                <w:u w:val="single"/>
              </w:rPr>
              <w:t>W ramach projektu:</w:t>
            </w:r>
          </w:p>
          <w:p w14:paraId="1F7789F8" w14:textId="77777777" w:rsidR="00C57017" w:rsidRPr="00C81289" w:rsidRDefault="00EE73F1">
            <w:pPr>
              <w:numPr>
                <w:ilvl w:val="0"/>
                <w:numId w:val="45"/>
              </w:numPr>
              <w:spacing w:after="0" w:line="259" w:lineRule="auto"/>
              <w:ind w:left="113" w:hanging="113"/>
              <w:jc w:val="left"/>
              <w:rPr>
                <w:rFonts w:eastAsia="Calibri" w:cs="Times New Roman"/>
                <w:sz w:val="14"/>
                <w:szCs w:val="14"/>
              </w:rPr>
            </w:pPr>
            <w:r w:rsidRPr="00C81289">
              <w:rPr>
                <w:rFonts w:eastAsia="Calibri" w:cs="Times New Roman"/>
                <w:sz w:val="14"/>
                <w:szCs w:val="14"/>
              </w:rPr>
              <w:t>będzie utworzone Muzeum Regionalne (lub Izba Regionalna) - miejsce, gdzie będą eksponowane i chronione zabytki dziedzictwa materialnego i niematerialnego miasta Opole Lubelskie, związane z dawnym życiem mieszkańców oraz bogatą opolską tradycją rzemieślniczą i kupiecką, jak również jego historią.</w:t>
            </w:r>
          </w:p>
          <w:p w14:paraId="47F4A44B" w14:textId="77777777" w:rsidR="00C57017" w:rsidRPr="00C81289" w:rsidRDefault="00EE73F1">
            <w:pPr>
              <w:numPr>
                <w:ilvl w:val="0"/>
                <w:numId w:val="45"/>
              </w:numPr>
              <w:spacing w:after="0" w:line="259" w:lineRule="auto"/>
              <w:ind w:left="114" w:hanging="114"/>
              <w:jc w:val="left"/>
              <w:rPr>
                <w:rFonts w:eastAsia="Calibri" w:cs="Times New Roman"/>
                <w:sz w:val="14"/>
                <w:szCs w:val="14"/>
              </w:rPr>
            </w:pPr>
            <w:r w:rsidRPr="00C81289">
              <w:rPr>
                <w:rFonts w:eastAsia="Calibri" w:cs="Times New Roman"/>
                <w:sz w:val="14"/>
                <w:szCs w:val="14"/>
              </w:rPr>
              <w:t xml:space="preserve">będzie wydana publikacja traktująca o przeszłości i dawnym życiu mieszkańców Opola z wykorzystaniem wspomnień mieszkańców i dawnych fotografii w formie folderu, albumu lub plików multimedialnych udostępnionych na stronie internetowej muzeum, </w:t>
            </w:r>
          </w:p>
          <w:p w14:paraId="0F4FA9BD" w14:textId="77777777" w:rsidR="00C57017" w:rsidRPr="00C81289" w:rsidRDefault="00EE73F1">
            <w:pPr>
              <w:numPr>
                <w:ilvl w:val="0"/>
                <w:numId w:val="45"/>
              </w:numPr>
              <w:spacing w:after="0" w:line="259" w:lineRule="auto"/>
              <w:ind w:left="114" w:hanging="114"/>
              <w:jc w:val="left"/>
              <w:rPr>
                <w:rFonts w:eastAsia="Calibri" w:cs="Times New Roman"/>
                <w:sz w:val="14"/>
                <w:szCs w:val="14"/>
              </w:rPr>
            </w:pPr>
            <w:r w:rsidRPr="00C81289">
              <w:rPr>
                <w:rFonts w:eastAsia="Calibri" w:cs="Times New Roman"/>
                <w:sz w:val="14"/>
                <w:szCs w:val="14"/>
              </w:rPr>
              <w:t xml:space="preserve">młodzież nagrana dźwiękowe wspomnienia – relacje historyczne oraz nakręci amatorskie filmy z uczestnictwem seniorów, którzy podzielą się swoimi wspomnieniami o dawnym życiu w mieście, </w:t>
            </w:r>
          </w:p>
          <w:p w14:paraId="7E2F7EFD" w14:textId="77777777" w:rsidR="00C57017" w:rsidRPr="00C81289" w:rsidRDefault="00EE73F1">
            <w:pPr>
              <w:numPr>
                <w:ilvl w:val="0"/>
                <w:numId w:val="45"/>
              </w:numPr>
              <w:spacing w:after="0" w:line="259" w:lineRule="auto"/>
              <w:ind w:left="114" w:hanging="114"/>
              <w:jc w:val="left"/>
              <w:rPr>
                <w:rFonts w:eastAsia="Calibri" w:cs="Times New Roman"/>
                <w:sz w:val="14"/>
                <w:szCs w:val="14"/>
              </w:rPr>
            </w:pPr>
            <w:r w:rsidRPr="00C81289">
              <w:rPr>
                <w:rFonts w:eastAsia="Calibri" w:cs="Times New Roman"/>
                <w:sz w:val="14"/>
                <w:szCs w:val="14"/>
              </w:rPr>
              <w:t>zostanie utworzone regionalne archiwum fotograficzne gromadzące zbiory związane z miastem Opole Lubelskie,</w:t>
            </w:r>
          </w:p>
          <w:p w14:paraId="7F27AD1D" w14:textId="77777777" w:rsidR="00C57017" w:rsidRPr="00C81289" w:rsidRDefault="00EE73F1">
            <w:pPr>
              <w:numPr>
                <w:ilvl w:val="0"/>
                <w:numId w:val="45"/>
              </w:numPr>
              <w:spacing w:after="0" w:line="259" w:lineRule="auto"/>
              <w:ind w:left="114" w:hanging="114"/>
              <w:jc w:val="left"/>
              <w:rPr>
                <w:rFonts w:eastAsia="Calibri" w:cs="Times New Roman"/>
                <w:sz w:val="14"/>
                <w:szCs w:val="14"/>
              </w:rPr>
            </w:pPr>
            <w:r w:rsidRPr="00C81289">
              <w:rPr>
                <w:rFonts w:eastAsia="Calibri" w:cs="Times New Roman"/>
                <w:sz w:val="14"/>
                <w:szCs w:val="14"/>
              </w:rPr>
              <w:t>będą organizowane tu warsztaty, pokazy multimedialne, wystawy, wykłady i inne wydarzenia dotyczące dawnego miasta oraz życia jego mieszkańców,</w:t>
            </w:r>
          </w:p>
          <w:p w14:paraId="30291F75" w14:textId="77777777" w:rsidR="00C57017" w:rsidRPr="00C81289" w:rsidRDefault="00EE73F1">
            <w:pPr>
              <w:numPr>
                <w:ilvl w:val="0"/>
                <w:numId w:val="45"/>
              </w:numPr>
              <w:spacing w:after="0" w:line="259" w:lineRule="auto"/>
              <w:ind w:left="113" w:hanging="113"/>
              <w:jc w:val="left"/>
              <w:rPr>
                <w:rFonts w:eastAsia="Calibri" w:cs="Times New Roman"/>
                <w:sz w:val="14"/>
                <w:szCs w:val="14"/>
              </w:rPr>
            </w:pPr>
            <w:r w:rsidRPr="00C81289">
              <w:rPr>
                <w:rFonts w:eastAsia="Calibri" w:cs="Times New Roman"/>
                <w:sz w:val="14"/>
                <w:szCs w:val="14"/>
              </w:rPr>
              <w:t>będą organizowane spotkania i imprezy kulturalne o tematyce regionalnej, w które zaangażowana będzie społeczność lokalna.</w:t>
            </w:r>
          </w:p>
          <w:p w14:paraId="34A890F7" w14:textId="77777777" w:rsidR="00C57017" w:rsidRPr="00C81289" w:rsidRDefault="00EE73F1">
            <w:pPr>
              <w:numPr>
                <w:ilvl w:val="0"/>
                <w:numId w:val="45"/>
              </w:numPr>
              <w:spacing w:after="0" w:line="259" w:lineRule="auto"/>
              <w:ind w:left="114" w:hanging="114"/>
              <w:jc w:val="left"/>
              <w:rPr>
                <w:rFonts w:eastAsia="Calibri" w:cs="Times New Roman"/>
                <w:sz w:val="14"/>
                <w:szCs w:val="14"/>
                <w:u w:val="single"/>
              </w:rPr>
            </w:pPr>
            <w:r w:rsidRPr="00C81289">
              <w:rPr>
                <w:rFonts w:eastAsia="Calibri" w:cs="Times New Roman"/>
                <w:sz w:val="14"/>
                <w:szCs w:val="14"/>
                <w:u w:val="single"/>
              </w:rPr>
              <w:t>Projekt skierowany jest do:</w:t>
            </w:r>
          </w:p>
          <w:p w14:paraId="41CE15D1" w14:textId="77777777" w:rsidR="00C57017" w:rsidRPr="00C81289" w:rsidRDefault="00EE73F1">
            <w:pPr>
              <w:numPr>
                <w:ilvl w:val="0"/>
                <w:numId w:val="45"/>
              </w:numPr>
              <w:spacing w:after="0" w:line="259" w:lineRule="auto"/>
              <w:ind w:left="113" w:hanging="113"/>
              <w:jc w:val="left"/>
              <w:rPr>
                <w:rFonts w:eastAsia="Calibri" w:cs="Times New Roman"/>
                <w:sz w:val="14"/>
                <w:szCs w:val="14"/>
              </w:rPr>
            </w:pPr>
            <w:r w:rsidRPr="00C81289">
              <w:rPr>
                <w:rFonts w:eastAsia="Calibri" w:cs="Times New Roman"/>
                <w:sz w:val="14"/>
                <w:szCs w:val="14"/>
              </w:rPr>
              <w:t>różnych grup wiekowych, od dzieci przedszkolnych, szkolnych, młodzieży po osoby dorosłe i seniorów.</w:t>
            </w:r>
          </w:p>
          <w:p w14:paraId="1A27D4B6" w14:textId="77777777" w:rsidR="00C57017" w:rsidRPr="00C81289" w:rsidRDefault="00EE73F1">
            <w:pPr>
              <w:numPr>
                <w:ilvl w:val="0"/>
                <w:numId w:val="45"/>
              </w:numPr>
              <w:spacing w:after="0" w:line="259" w:lineRule="auto"/>
              <w:ind w:left="114" w:hanging="114"/>
              <w:jc w:val="left"/>
              <w:rPr>
                <w:rFonts w:eastAsia="Calibri" w:cs="Times New Roman"/>
                <w:sz w:val="14"/>
                <w:szCs w:val="14"/>
                <w:u w:val="single"/>
              </w:rPr>
            </w:pPr>
            <w:r w:rsidRPr="00C81289">
              <w:rPr>
                <w:rFonts w:eastAsia="Calibri" w:cs="Times New Roman"/>
                <w:sz w:val="14"/>
                <w:szCs w:val="14"/>
                <w:u w:val="single"/>
              </w:rPr>
              <w:t>Efekty:</w:t>
            </w:r>
          </w:p>
          <w:p w14:paraId="0517FF2C" w14:textId="77777777" w:rsidR="00C57017" w:rsidRPr="00C81289" w:rsidRDefault="00EE73F1">
            <w:pPr>
              <w:numPr>
                <w:ilvl w:val="0"/>
                <w:numId w:val="45"/>
              </w:numPr>
              <w:spacing w:after="0" w:line="259" w:lineRule="auto"/>
              <w:ind w:left="114" w:hanging="114"/>
              <w:jc w:val="left"/>
              <w:rPr>
                <w:rFonts w:eastAsia="Calibri" w:cs="Times New Roman"/>
                <w:sz w:val="14"/>
                <w:szCs w:val="14"/>
              </w:rPr>
            </w:pPr>
            <w:r w:rsidRPr="00C81289">
              <w:rPr>
                <w:rFonts w:eastAsia="Calibri" w:cs="Times New Roman"/>
                <w:sz w:val="14"/>
                <w:szCs w:val="14"/>
              </w:rPr>
              <w:t>prezentacja i ochrona dziedzictwa materialnego</w:t>
            </w:r>
            <w:r w:rsidR="00C81289" w:rsidRPr="00C81289">
              <w:rPr>
                <w:rFonts w:eastAsia="Calibri" w:cs="Times New Roman"/>
                <w:sz w:val="14"/>
                <w:szCs w:val="14"/>
              </w:rPr>
              <w:t xml:space="preserve"> </w:t>
            </w:r>
            <w:r w:rsidRPr="00C81289">
              <w:rPr>
                <w:rFonts w:eastAsia="Calibri" w:cs="Times New Roman"/>
                <w:sz w:val="14"/>
                <w:szCs w:val="14"/>
              </w:rPr>
              <w:t>i niematerialnego miasta Opole Lubelskie, poprzez zebranie</w:t>
            </w:r>
            <w:r w:rsidR="00C81289" w:rsidRPr="00C81289">
              <w:rPr>
                <w:rFonts w:eastAsia="Calibri" w:cs="Times New Roman"/>
                <w:sz w:val="14"/>
                <w:szCs w:val="14"/>
              </w:rPr>
              <w:t xml:space="preserve"> </w:t>
            </w:r>
            <w:r w:rsidRPr="00C81289">
              <w:rPr>
                <w:rFonts w:eastAsia="Calibri" w:cs="Times New Roman"/>
                <w:sz w:val="14"/>
                <w:szCs w:val="14"/>
              </w:rPr>
              <w:t>w jednym miejscu najciekawszych pamiątek,</w:t>
            </w:r>
          </w:p>
          <w:p w14:paraId="04A4DF2E" w14:textId="77777777" w:rsidR="00C57017" w:rsidRPr="00C81289" w:rsidRDefault="00EE73F1">
            <w:pPr>
              <w:numPr>
                <w:ilvl w:val="0"/>
                <w:numId w:val="45"/>
              </w:numPr>
              <w:spacing w:after="0" w:line="259" w:lineRule="auto"/>
              <w:ind w:left="114" w:hanging="114"/>
              <w:jc w:val="left"/>
              <w:rPr>
                <w:rFonts w:eastAsia="Calibri" w:cs="Times New Roman"/>
                <w:sz w:val="14"/>
                <w:szCs w:val="14"/>
              </w:rPr>
            </w:pPr>
            <w:r w:rsidRPr="00C81289">
              <w:rPr>
                <w:rFonts w:eastAsia="Calibri" w:cs="Times New Roman"/>
                <w:sz w:val="14"/>
                <w:szCs w:val="14"/>
              </w:rPr>
              <w:t>pobudzenie aktywności społecznej poprzez zaangażowanie lokalnej społeczności w poszukiwania i gromadzenie pamiątek historycznych oraz relacji ustnych,</w:t>
            </w:r>
          </w:p>
          <w:p w14:paraId="441290EC" w14:textId="77777777" w:rsidR="00C57017" w:rsidRPr="00C81289" w:rsidRDefault="00EE73F1">
            <w:pPr>
              <w:numPr>
                <w:ilvl w:val="0"/>
                <w:numId w:val="45"/>
              </w:numPr>
              <w:spacing w:after="0" w:line="259" w:lineRule="auto"/>
              <w:ind w:left="114" w:hanging="114"/>
              <w:jc w:val="left"/>
              <w:rPr>
                <w:rFonts w:eastAsia="Calibri" w:cs="Times New Roman"/>
                <w:sz w:val="14"/>
                <w:szCs w:val="14"/>
              </w:rPr>
            </w:pPr>
            <w:r w:rsidRPr="00C81289">
              <w:rPr>
                <w:rFonts w:eastAsia="Calibri" w:cs="Times New Roman"/>
                <w:sz w:val="14"/>
                <w:szCs w:val="14"/>
              </w:rPr>
              <w:t>zapoznanie z tym dziedzictwem mieszkańców Opola Lubelskiego, a szczególnie młodego pokolenia,</w:t>
            </w:r>
          </w:p>
          <w:p w14:paraId="174E83D4" w14:textId="77777777" w:rsidR="00C57017" w:rsidRPr="00C81289" w:rsidRDefault="00EE73F1">
            <w:pPr>
              <w:numPr>
                <w:ilvl w:val="0"/>
                <w:numId w:val="45"/>
              </w:numPr>
              <w:spacing w:after="0" w:line="259" w:lineRule="auto"/>
              <w:ind w:left="114" w:hanging="114"/>
              <w:jc w:val="left"/>
              <w:rPr>
                <w:rFonts w:eastAsia="Calibri" w:cs="Times New Roman"/>
                <w:sz w:val="14"/>
                <w:szCs w:val="14"/>
              </w:rPr>
            </w:pPr>
            <w:r w:rsidRPr="00C81289">
              <w:rPr>
                <w:rFonts w:eastAsia="Calibri" w:cs="Times New Roman"/>
                <w:sz w:val="14"/>
                <w:szCs w:val="14"/>
              </w:rPr>
              <w:t>aktywizacja społeczności lokalnej, a szczególnie seniorów</w:t>
            </w:r>
            <w:r w:rsidR="00C81289" w:rsidRPr="00C81289">
              <w:rPr>
                <w:rFonts w:eastAsia="Calibri" w:cs="Times New Roman"/>
                <w:sz w:val="14"/>
                <w:szCs w:val="14"/>
              </w:rPr>
              <w:t xml:space="preserve"> </w:t>
            </w:r>
            <w:r w:rsidRPr="00C81289">
              <w:rPr>
                <w:rFonts w:eastAsia="Calibri" w:cs="Times New Roman"/>
                <w:sz w:val="14"/>
                <w:szCs w:val="14"/>
              </w:rPr>
              <w:t>i młodzieży - nawiązanie współpracy międzypokoleniowej,</w:t>
            </w:r>
          </w:p>
          <w:p w14:paraId="3A242A8B" w14:textId="77777777" w:rsidR="00C57017" w:rsidRPr="00C81289" w:rsidRDefault="00EE73F1">
            <w:pPr>
              <w:numPr>
                <w:ilvl w:val="0"/>
                <w:numId w:val="45"/>
              </w:numPr>
              <w:spacing w:line="259" w:lineRule="auto"/>
              <w:ind w:left="114" w:hanging="114"/>
              <w:jc w:val="left"/>
              <w:rPr>
                <w:rFonts w:eastAsia="Calibri" w:cs="Times New Roman"/>
                <w:sz w:val="14"/>
                <w:szCs w:val="14"/>
              </w:rPr>
            </w:pPr>
            <w:r w:rsidRPr="00C81289">
              <w:rPr>
                <w:rFonts w:eastAsia="Calibri" w:cs="Times New Roman"/>
                <w:sz w:val="14"/>
                <w:szCs w:val="14"/>
              </w:rPr>
              <w:t>promocja opolskiego dziedzictwa poza terenem miasta i Gminy Opole Lubelskie.</w:t>
            </w:r>
          </w:p>
        </w:tc>
      </w:tr>
      <w:tr w:rsidR="00C81289" w:rsidRPr="00C81289" w14:paraId="05CB0DDB" w14:textId="77777777" w:rsidTr="00E717A0">
        <w:tc>
          <w:tcPr>
            <w:tcW w:w="428" w:type="dxa"/>
            <w:vAlign w:val="center"/>
          </w:tcPr>
          <w:p w14:paraId="21E20F56" w14:textId="2FA5D857"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lastRenderedPageBreak/>
              <w:t>6</w:t>
            </w:r>
            <w:r w:rsidR="00C81289" w:rsidRPr="00C81289">
              <w:rPr>
                <w:rFonts w:eastAsia="Calibri" w:cs="Times New Roman"/>
                <w:sz w:val="14"/>
                <w:szCs w:val="14"/>
                <w:lang w:bidi="en-US"/>
              </w:rPr>
              <w:t>.</w:t>
            </w:r>
          </w:p>
        </w:tc>
        <w:tc>
          <w:tcPr>
            <w:tcW w:w="1534" w:type="dxa"/>
            <w:vAlign w:val="center"/>
          </w:tcPr>
          <w:p w14:paraId="78731242" w14:textId="0B889379" w:rsidR="00C81289" w:rsidRPr="00C81289" w:rsidRDefault="00C81289" w:rsidP="007F76CD">
            <w:pPr>
              <w:spacing w:before="120" w:line="259" w:lineRule="auto"/>
              <w:jc w:val="left"/>
              <w:rPr>
                <w:rFonts w:eastAsia="Calibri" w:cs="Times New Roman"/>
                <w:sz w:val="14"/>
                <w:szCs w:val="14"/>
              </w:rPr>
            </w:pPr>
            <w:r w:rsidRPr="00C81289">
              <w:rPr>
                <w:rFonts w:eastAsia="Calibri" w:cs="Times New Roman"/>
                <w:sz w:val="14"/>
                <w:szCs w:val="14"/>
              </w:rPr>
              <w:t>1.3</w:t>
            </w:r>
            <w:r w:rsidR="0037203D">
              <w:rPr>
                <w:rFonts w:eastAsia="Calibri" w:cs="Times New Roman"/>
                <w:sz w:val="14"/>
                <w:szCs w:val="14"/>
              </w:rPr>
              <w:t xml:space="preserve">. </w:t>
            </w:r>
            <w:r w:rsidR="0037203D" w:rsidRPr="0037203D">
              <w:rPr>
                <w:rFonts w:eastAsia="Calibri" w:cs="Times New Roman"/>
                <w:sz w:val="14"/>
                <w:szCs w:val="14"/>
              </w:rPr>
              <w:t>Zwiększenie atrakcyjności obiektów kultury i ochrona dziedzictwa kulturowego</w:t>
            </w:r>
          </w:p>
        </w:tc>
        <w:tc>
          <w:tcPr>
            <w:tcW w:w="2268" w:type="dxa"/>
            <w:vAlign w:val="center"/>
          </w:tcPr>
          <w:p w14:paraId="71905AC5"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Times New Roman"/>
                <w:sz w:val="14"/>
                <w:szCs w:val="14"/>
              </w:rPr>
              <w:t>Ochrona i remont zabytków na terenie miasta Opole Lubelskie – Program Remontu Kamienic</w:t>
            </w:r>
          </w:p>
        </w:tc>
        <w:tc>
          <w:tcPr>
            <w:tcW w:w="1196" w:type="dxa"/>
            <w:vAlign w:val="center"/>
          </w:tcPr>
          <w:p w14:paraId="49F72DE1"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Gmina Opole Lubelskie </w:t>
            </w:r>
          </w:p>
        </w:tc>
        <w:tc>
          <w:tcPr>
            <w:tcW w:w="8585" w:type="dxa"/>
            <w:vAlign w:val="center"/>
          </w:tcPr>
          <w:p w14:paraId="2AA7E363"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Times New Roman"/>
                <w:sz w:val="14"/>
                <w:szCs w:val="14"/>
              </w:rPr>
              <w:t>Zakres projektu obejmował będzie remont oraz prace konserwatorskie obiektów zabytkowych znajdujących się w centrum miasta Opole Lubelskie, w tym kamienic zlokalizowanych w centrum Opola Lubelskiego</w:t>
            </w:r>
          </w:p>
        </w:tc>
      </w:tr>
      <w:tr w:rsidR="00C81289" w:rsidRPr="00C81289" w14:paraId="033955ED" w14:textId="77777777" w:rsidTr="00E717A0">
        <w:tc>
          <w:tcPr>
            <w:tcW w:w="428" w:type="dxa"/>
            <w:vAlign w:val="center"/>
          </w:tcPr>
          <w:p w14:paraId="59DF4992" w14:textId="447DCA57"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7</w:t>
            </w:r>
            <w:r w:rsidR="00C81289" w:rsidRPr="00C81289">
              <w:rPr>
                <w:rFonts w:eastAsia="Calibri" w:cs="Times New Roman"/>
                <w:sz w:val="14"/>
                <w:szCs w:val="14"/>
                <w:lang w:bidi="en-US"/>
              </w:rPr>
              <w:t>.</w:t>
            </w:r>
          </w:p>
        </w:tc>
        <w:tc>
          <w:tcPr>
            <w:tcW w:w="1534" w:type="dxa"/>
            <w:vAlign w:val="center"/>
          </w:tcPr>
          <w:p w14:paraId="66165D06" w14:textId="2ED8915A"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1.4</w:t>
            </w:r>
            <w:r w:rsidR="0037203D">
              <w:rPr>
                <w:rFonts w:eastAsia="Calibri" w:cs="Calibri Light"/>
                <w:sz w:val="14"/>
                <w:szCs w:val="14"/>
              </w:rPr>
              <w:t xml:space="preserve">. </w:t>
            </w:r>
            <w:r w:rsidR="0037203D" w:rsidRPr="0037203D">
              <w:rPr>
                <w:rFonts w:eastAsia="Calibri" w:cs="Calibri Light"/>
                <w:sz w:val="14"/>
                <w:szCs w:val="14"/>
              </w:rPr>
              <w:t>Wzrost bezpieczeństwa publicznego</w:t>
            </w:r>
          </w:p>
        </w:tc>
        <w:tc>
          <w:tcPr>
            <w:tcW w:w="2268" w:type="dxa"/>
            <w:vAlign w:val="center"/>
          </w:tcPr>
          <w:p w14:paraId="02FB9A1B"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Bezpieczna Gmina</w:t>
            </w:r>
          </w:p>
        </w:tc>
        <w:tc>
          <w:tcPr>
            <w:tcW w:w="1196" w:type="dxa"/>
            <w:vAlign w:val="center"/>
          </w:tcPr>
          <w:p w14:paraId="0953B901"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Gmina Opole Lubelskie </w:t>
            </w:r>
          </w:p>
        </w:tc>
        <w:tc>
          <w:tcPr>
            <w:tcW w:w="8585" w:type="dxa"/>
            <w:vAlign w:val="center"/>
          </w:tcPr>
          <w:p w14:paraId="6BED21DF"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Zakres zadania obejmował będzie organizację szkoleń z zakresu pierwszej pomocy dla mieszkańców Gminy Opole Lubelskie oraz obsługi urządzeń służących do ratowania życia osoby poszkodowanej </w:t>
            </w:r>
          </w:p>
        </w:tc>
      </w:tr>
      <w:tr w:rsidR="00C81289" w:rsidRPr="00C81289" w14:paraId="3C483FFA" w14:textId="77777777" w:rsidTr="00E717A0">
        <w:tc>
          <w:tcPr>
            <w:tcW w:w="428" w:type="dxa"/>
            <w:vAlign w:val="center"/>
          </w:tcPr>
          <w:p w14:paraId="49A21B45" w14:textId="732FA737"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8</w:t>
            </w:r>
            <w:r w:rsidR="00C81289" w:rsidRPr="00C81289">
              <w:rPr>
                <w:rFonts w:eastAsia="Calibri" w:cs="Times New Roman"/>
                <w:sz w:val="14"/>
                <w:szCs w:val="14"/>
                <w:lang w:bidi="en-US"/>
              </w:rPr>
              <w:t>.</w:t>
            </w:r>
          </w:p>
        </w:tc>
        <w:tc>
          <w:tcPr>
            <w:tcW w:w="1534" w:type="dxa"/>
            <w:vAlign w:val="center"/>
          </w:tcPr>
          <w:p w14:paraId="6AFD0C6B" w14:textId="31C82AEF"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1.4</w:t>
            </w:r>
            <w:r w:rsidR="0037203D">
              <w:rPr>
                <w:rFonts w:eastAsia="Calibri" w:cs="Calibri Light"/>
                <w:sz w:val="14"/>
                <w:szCs w:val="14"/>
              </w:rPr>
              <w:t xml:space="preserve">. </w:t>
            </w:r>
            <w:r w:rsidR="0037203D" w:rsidRPr="0037203D">
              <w:rPr>
                <w:rFonts w:eastAsia="Calibri" w:cs="Calibri Light"/>
                <w:sz w:val="14"/>
                <w:szCs w:val="14"/>
              </w:rPr>
              <w:t>Wzrost bezpieczeństwa publicznego</w:t>
            </w:r>
          </w:p>
        </w:tc>
        <w:tc>
          <w:tcPr>
            <w:tcW w:w="2268" w:type="dxa"/>
            <w:vAlign w:val="center"/>
          </w:tcPr>
          <w:p w14:paraId="08D25A5D"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Budowa systemu monitoringu wizyjnego</w:t>
            </w:r>
          </w:p>
        </w:tc>
        <w:tc>
          <w:tcPr>
            <w:tcW w:w="1196" w:type="dxa"/>
            <w:vAlign w:val="center"/>
          </w:tcPr>
          <w:p w14:paraId="08E14E12"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Gmina Opole Lubelskie </w:t>
            </w:r>
          </w:p>
        </w:tc>
        <w:tc>
          <w:tcPr>
            <w:tcW w:w="8585" w:type="dxa"/>
            <w:vAlign w:val="center"/>
          </w:tcPr>
          <w:p w14:paraId="467CC96D"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Zakres zadania obejmuje m.in. zamontowaniu monitoringu wizyjnego na terenie miasta Opole Lubelskie, co przyczyni się do zwiększenia poczucia bezpieczeństwa mieszkańców, zmniejszenia przestępczości, przeciwdziałać będzie aktom wandalizmu i niszczeniu mienia.</w:t>
            </w:r>
          </w:p>
        </w:tc>
      </w:tr>
      <w:tr w:rsidR="00C81289" w:rsidRPr="00C81289" w14:paraId="4226BEF8" w14:textId="77777777" w:rsidTr="00E717A0">
        <w:tc>
          <w:tcPr>
            <w:tcW w:w="428" w:type="dxa"/>
            <w:vAlign w:val="center"/>
          </w:tcPr>
          <w:p w14:paraId="3ACB2A72" w14:textId="578A99BD"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9</w:t>
            </w:r>
            <w:r w:rsidR="00C81289" w:rsidRPr="00C81289">
              <w:rPr>
                <w:rFonts w:eastAsia="Calibri" w:cs="Times New Roman"/>
                <w:sz w:val="14"/>
                <w:szCs w:val="14"/>
                <w:lang w:bidi="en-US"/>
              </w:rPr>
              <w:t>.</w:t>
            </w:r>
          </w:p>
        </w:tc>
        <w:tc>
          <w:tcPr>
            <w:tcW w:w="1534" w:type="dxa"/>
            <w:vAlign w:val="center"/>
          </w:tcPr>
          <w:p w14:paraId="1F281BFA" w14:textId="4410420B"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1.5</w:t>
            </w:r>
            <w:r w:rsidR="0037203D">
              <w:rPr>
                <w:rFonts w:eastAsia="Calibri" w:cs="Calibri Light"/>
                <w:sz w:val="14"/>
                <w:szCs w:val="14"/>
              </w:rPr>
              <w:t xml:space="preserve">. </w:t>
            </w:r>
            <w:r w:rsidR="0037203D" w:rsidRPr="0037203D">
              <w:rPr>
                <w:rFonts w:eastAsia="Calibri" w:cs="Calibri Light"/>
                <w:sz w:val="14"/>
                <w:szCs w:val="14"/>
              </w:rPr>
              <w:t>Doskonalenie jakości edukacji oraz rozwój kompetencji</w:t>
            </w:r>
          </w:p>
        </w:tc>
        <w:tc>
          <w:tcPr>
            <w:tcW w:w="2268" w:type="dxa"/>
            <w:vAlign w:val="center"/>
          </w:tcPr>
          <w:p w14:paraId="60C60103"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Poprawa jakości edukacji dzieci i młodzieży </w:t>
            </w:r>
          </w:p>
        </w:tc>
        <w:tc>
          <w:tcPr>
            <w:tcW w:w="1196" w:type="dxa"/>
            <w:vAlign w:val="center"/>
          </w:tcPr>
          <w:p w14:paraId="2721BCF6"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Gmina Opole Lubelskie </w:t>
            </w:r>
          </w:p>
        </w:tc>
        <w:tc>
          <w:tcPr>
            <w:tcW w:w="8585" w:type="dxa"/>
            <w:vAlign w:val="center"/>
          </w:tcPr>
          <w:p w14:paraId="545B0048"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W ramach przedsięwzięcia utworzone zostaną pracownie do nauki języków obcych w formie indywidualnych stanowisk dla uczniów w Szkołach Podstawowych na terenie Gminy Opole Lubelskie oraz zakupione zostanie niezbędne wyposażenie.</w:t>
            </w:r>
          </w:p>
        </w:tc>
      </w:tr>
      <w:tr w:rsidR="00C81289" w:rsidRPr="00C81289" w14:paraId="038173C2" w14:textId="77777777" w:rsidTr="00E717A0">
        <w:tc>
          <w:tcPr>
            <w:tcW w:w="428" w:type="dxa"/>
            <w:vAlign w:val="center"/>
          </w:tcPr>
          <w:p w14:paraId="637910C0" w14:textId="31B5750E"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10</w:t>
            </w:r>
            <w:r w:rsidR="00C81289" w:rsidRPr="00C81289">
              <w:rPr>
                <w:rFonts w:eastAsia="Calibri" w:cs="Times New Roman"/>
                <w:sz w:val="14"/>
                <w:szCs w:val="14"/>
                <w:lang w:bidi="en-US"/>
              </w:rPr>
              <w:t>.</w:t>
            </w:r>
          </w:p>
        </w:tc>
        <w:tc>
          <w:tcPr>
            <w:tcW w:w="1534" w:type="dxa"/>
            <w:vAlign w:val="center"/>
          </w:tcPr>
          <w:p w14:paraId="36847BBA" w14:textId="2A4164AA"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1.5</w:t>
            </w:r>
            <w:r w:rsidR="0037203D">
              <w:rPr>
                <w:rFonts w:eastAsia="Calibri" w:cs="Calibri Light"/>
                <w:sz w:val="14"/>
                <w:szCs w:val="14"/>
              </w:rPr>
              <w:t xml:space="preserve">. </w:t>
            </w:r>
            <w:r w:rsidR="0037203D" w:rsidRPr="0037203D">
              <w:rPr>
                <w:rFonts w:eastAsia="Calibri" w:cs="Calibri Light"/>
                <w:sz w:val="14"/>
                <w:szCs w:val="14"/>
              </w:rPr>
              <w:t>Doskonalenie jakości edukacji oraz rozwój kompetencji</w:t>
            </w:r>
          </w:p>
        </w:tc>
        <w:tc>
          <w:tcPr>
            <w:tcW w:w="2268" w:type="dxa"/>
            <w:vAlign w:val="center"/>
          </w:tcPr>
          <w:p w14:paraId="138B7094"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Aktywizacja i rozwój umiejętności mieszkańców gminy</w:t>
            </w:r>
          </w:p>
        </w:tc>
        <w:tc>
          <w:tcPr>
            <w:tcW w:w="1196" w:type="dxa"/>
            <w:vAlign w:val="center"/>
          </w:tcPr>
          <w:p w14:paraId="676AA7B8"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Gmina Opole Lubelskie</w:t>
            </w:r>
          </w:p>
        </w:tc>
        <w:tc>
          <w:tcPr>
            <w:tcW w:w="8585" w:type="dxa"/>
            <w:vAlign w:val="center"/>
          </w:tcPr>
          <w:p w14:paraId="01B12267"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Zakres projektu obejmuje utworzenie kursu nauki języka obcego dla mieszkańców Gminy Opole Lubelskie </w:t>
            </w:r>
          </w:p>
        </w:tc>
      </w:tr>
      <w:tr w:rsidR="00C81289" w:rsidRPr="00C81289" w14:paraId="7F12FB6F" w14:textId="77777777" w:rsidTr="00E717A0">
        <w:tc>
          <w:tcPr>
            <w:tcW w:w="428" w:type="dxa"/>
            <w:vAlign w:val="center"/>
          </w:tcPr>
          <w:p w14:paraId="18427EA5" w14:textId="59F12405"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11</w:t>
            </w:r>
            <w:r w:rsidR="00C81289" w:rsidRPr="00C81289">
              <w:rPr>
                <w:rFonts w:eastAsia="Calibri" w:cs="Times New Roman"/>
                <w:sz w:val="14"/>
                <w:szCs w:val="14"/>
                <w:lang w:bidi="en-US"/>
              </w:rPr>
              <w:t>.</w:t>
            </w:r>
          </w:p>
        </w:tc>
        <w:tc>
          <w:tcPr>
            <w:tcW w:w="1534" w:type="dxa"/>
            <w:vAlign w:val="center"/>
          </w:tcPr>
          <w:p w14:paraId="4A014E02" w14:textId="253A41A8"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1.5</w:t>
            </w:r>
            <w:r w:rsidR="0037203D">
              <w:rPr>
                <w:rFonts w:eastAsia="Calibri" w:cs="Calibri Light"/>
                <w:sz w:val="14"/>
                <w:szCs w:val="14"/>
              </w:rPr>
              <w:t xml:space="preserve">. </w:t>
            </w:r>
            <w:r w:rsidR="0037203D" w:rsidRPr="0037203D">
              <w:rPr>
                <w:rFonts w:eastAsia="Calibri" w:cs="Calibri Light"/>
                <w:sz w:val="14"/>
                <w:szCs w:val="14"/>
              </w:rPr>
              <w:t>Doskonalenie jakości edukacji oraz rozwój kompetencji</w:t>
            </w:r>
          </w:p>
        </w:tc>
        <w:tc>
          <w:tcPr>
            <w:tcW w:w="2268" w:type="dxa"/>
            <w:vAlign w:val="center"/>
          </w:tcPr>
          <w:p w14:paraId="2F1A77A9"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Fabryka kompetencji kluczowych</w:t>
            </w:r>
          </w:p>
        </w:tc>
        <w:tc>
          <w:tcPr>
            <w:tcW w:w="1196" w:type="dxa"/>
            <w:vAlign w:val="center"/>
          </w:tcPr>
          <w:p w14:paraId="256D50C8"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Gmina Opole Lubelskie </w:t>
            </w:r>
          </w:p>
        </w:tc>
        <w:tc>
          <w:tcPr>
            <w:tcW w:w="8585" w:type="dxa"/>
            <w:vAlign w:val="center"/>
          </w:tcPr>
          <w:p w14:paraId="6DC0DFF2" w14:textId="77777777" w:rsidR="00C57017" w:rsidRPr="00C81289" w:rsidRDefault="00EE73F1">
            <w:pPr>
              <w:numPr>
                <w:ilvl w:val="0"/>
                <w:numId w:val="47"/>
              </w:numPr>
              <w:spacing w:before="120" w:after="0" w:line="259" w:lineRule="auto"/>
              <w:ind w:left="113" w:hanging="113"/>
              <w:jc w:val="left"/>
              <w:rPr>
                <w:rFonts w:eastAsia="Calibri" w:cs="Calibri Light"/>
                <w:sz w:val="14"/>
                <w:szCs w:val="14"/>
              </w:rPr>
            </w:pPr>
            <w:r w:rsidRPr="00C81289">
              <w:rPr>
                <w:rFonts w:eastAsia="Calibri" w:cs="Calibri Light"/>
                <w:sz w:val="14"/>
                <w:szCs w:val="14"/>
              </w:rPr>
              <w:t>wdrożenie kompleksowych programów indywidualizacji pracy z uczniem ze specjalnymi potrzebami edukacyjnymi,</w:t>
            </w:r>
          </w:p>
          <w:p w14:paraId="1B5C3835" w14:textId="77777777" w:rsidR="00C57017" w:rsidRPr="00C81289" w:rsidRDefault="00EE73F1">
            <w:pPr>
              <w:numPr>
                <w:ilvl w:val="0"/>
                <w:numId w:val="47"/>
              </w:numPr>
              <w:spacing w:after="0" w:line="259" w:lineRule="auto"/>
              <w:ind w:left="114" w:hanging="114"/>
              <w:jc w:val="left"/>
              <w:rPr>
                <w:rFonts w:eastAsia="Calibri" w:cs="Calibri Light"/>
                <w:sz w:val="14"/>
                <w:szCs w:val="14"/>
              </w:rPr>
            </w:pPr>
            <w:r w:rsidRPr="00C81289">
              <w:rPr>
                <w:rFonts w:eastAsia="Calibri" w:cs="Calibri Light"/>
                <w:sz w:val="14"/>
                <w:szCs w:val="14"/>
              </w:rPr>
              <w:t>objęcie uczniów klas VII-VIII szkół podstawowych ofertą doradztwa edukacyjno-zawodowego,</w:t>
            </w:r>
          </w:p>
          <w:p w14:paraId="3BE5154F" w14:textId="77777777" w:rsidR="00C57017" w:rsidRPr="00C81289" w:rsidRDefault="00EE73F1">
            <w:pPr>
              <w:numPr>
                <w:ilvl w:val="0"/>
                <w:numId w:val="47"/>
              </w:numPr>
              <w:spacing w:after="0" w:line="259" w:lineRule="auto"/>
              <w:ind w:left="114" w:hanging="114"/>
              <w:jc w:val="left"/>
              <w:rPr>
                <w:rFonts w:eastAsia="Calibri" w:cs="Calibri Light"/>
                <w:sz w:val="14"/>
                <w:szCs w:val="14"/>
              </w:rPr>
            </w:pPr>
            <w:r w:rsidRPr="00C81289">
              <w:rPr>
                <w:rFonts w:eastAsia="Calibri" w:cs="Calibri Light"/>
                <w:sz w:val="14"/>
                <w:szCs w:val="14"/>
              </w:rPr>
              <w:t>szkolenia zawodowe dla nauczycieli z zakresu stosowania indywidualizacji nauczania, rozwijania ich kompetencji cyfrowych sprzyjających nauczaniu przedmiotowemu z wykorzystaniem narzędzi TIK lub rozwijania kompetencji cyfrowych uczniów,</w:t>
            </w:r>
          </w:p>
          <w:p w14:paraId="5E6F392F" w14:textId="77777777" w:rsidR="00C57017" w:rsidRPr="00C81289" w:rsidRDefault="00EE73F1">
            <w:pPr>
              <w:numPr>
                <w:ilvl w:val="0"/>
                <w:numId w:val="47"/>
              </w:numPr>
              <w:spacing w:after="0" w:line="259" w:lineRule="auto"/>
              <w:ind w:left="114" w:hanging="114"/>
              <w:jc w:val="left"/>
              <w:rPr>
                <w:rFonts w:eastAsia="Calibri" w:cs="Calibri Light"/>
                <w:sz w:val="14"/>
                <w:szCs w:val="14"/>
              </w:rPr>
            </w:pPr>
            <w:r w:rsidRPr="00C81289">
              <w:rPr>
                <w:rFonts w:eastAsia="Calibri" w:cs="Calibri Light"/>
                <w:sz w:val="14"/>
                <w:szCs w:val="14"/>
              </w:rPr>
              <w:t xml:space="preserve">wsparcie systemu dydaktycznego szkół w celu wzmocnienia ich dostępności oraz rozwoju umiejętności uczniów </w:t>
            </w:r>
          </w:p>
          <w:p w14:paraId="6BF1B6D5" w14:textId="77777777" w:rsidR="00C57017" w:rsidRPr="00C81289" w:rsidRDefault="00C81289">
            <w:pPr>
              <w:numPr>
                <w:ilvl w:val="0"/>
                <w:numId w:val="47"/>
              </w:numPr>
              <w:spacing w:after="0" w:line="259" w:lineRule="auto"/>
              <w:ind w:left="114" w:hanging="114"/>
              <w:jc w:val="left"/>
              <w:rPr>
                <w:rFonts w:eastAsia="Calibri" w:cs="Calibri Light"/>
                <w:sz w:val="14"/>
                <w:szCs w:val="14"/>
              </w:rPr>
            </w:pPr>
            <w:r w:rsidRPr="00C81289">
              <w:rPr>
                <w:rFonts w:eastAsia="Calibri" w:cs="Calibri Light"/>
                <w:sz w:val="14"/>
                <w:szCs w:val="14"/>
              </w:rPr>
              <w:t>wzbogacenie oferty edukacyjnej o zajęcia z robotyki i programowania.</w:t>
            </w:r>
          </w:p>
          <w:p w14:paraId="330005C3" w14:textId="77777777" w:rsidR="00C57017" w:rsidRPr="00C81289" w:rsidRDefault="00C81289">
            <w:pPr>
              <w:numPr>
                <w:ilvl w:val="0"/>
                <w:numId w:val="47"/>
              </w:numPr>
              <w:spacing w:after="0" w:line="259" w:lineRule="auto"/>
              <w:ind w:left="114" w:hanging="114"/>
              <w:jc w:val="left"/>
              <w:rPr>
                <w:rFonts w:eastAsia="Calibri" w:cs="Calibri Light"/>
                <w:sz w:val="14"/>
                <w:szCs w:val="14"/>
              </w:rPr>
            </w:pPr>
            <w:r w:rsidRPr="00C81289">
              <w:rPr>
                <w:rFonts w:eastAsia="Calibri" w:cs="Calibri Light"/>
                <w:sz w:val="14"/>
                <w:szCs w:val="14"/>
              </w:rPr>
              <w:t>rozwijanie umiejętności uczniów o wiedzę z zakresu algorytmiki, robotyki i programowania.</w:t>
            </w:r>
          </w:p>
          <w:p w14:paraId="22E9D166" w14:textId="77777777" w:rsidR="00C57017" w:rsidRPr="00C81289" w:rsidRDefault="00C81289">
            <w:pPr>
              <w:numPr>
                <w:ilvl w:val="0"/>
                <w:numId w:val="47"/>
              </w:numPr>
              <w:spacing w:line="259" w:lineRule="auto"/>
              <w:ind w:left="113" w:hanging="113"/>
              <w:jc w:val="left"/>
              <w:rPr>
                <w:rFonts w:eastAsia="Calibri" w:cs="Calibri Light"/>
                <w:sz w:val="14"/>
                <w:szCs w:val="14"/>
              </w:rPr>
            </w:pPr>
            <w:r w:rsidRPr="00C81289">
              <w:rPr>
                <w:rFonts w:eastAsia="Calibri" w:cs="Calibri Light"/>
                <w:sz w:val="14"/>
                <w:szCs w:val="14"/>
              </w:rPr>
              <w:t>wzmacnianie motywacji wśród uczniów poprzez rozwijanie umiejętności z zakresu STEAM, czyli 5 bloków tematycznych łączonych: naukę, inżynierię, technologię, sztukę i matematykę.</w:t>
            </w:r>
          </w:p>
        </w:tc>
      </w:tr>
      <w:tr w:rsidR="00C81289" w:rsidRPr="00C81289" w14:paraId="151292D0" w14:textId="77777777" w:rsidTr="00E717A0">
        <w:tc>
          <w:tcPr>
            <w:tcW w:w="428" w:type="dxa"/>
            <w:vAlign w:val="center"/>
          </w:tcPr>
          <w:p w14:paraId="1644D92C" w14:textId="27712199"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12</w:t>
            </w:r>
            <w:r w:rsidR="00C81289" w:rsidRPr="00C81289">
              <w:rPr>
                <w:rFonts w:eastAsia="Calibri" w:cs="Times New Roman"/>
                <w:sz w:val="14"/>
                <w:szCs w:val="14"/>
                <w:lang w:bidi="en-US"/>
              </w:rPr>
              <w:t>.</w:t>
            </w:r>
          </w:p>
        </w:tc>
        <w:tc>
          <w:tcPr>
            <w:tcW w:w="1534" w:type="dxa"/>
            <w:vAlign w:val="center"/>
          </w:tcPr>
          <w:p w14:paraId="6A4C2C99" w14:textId="4347B343"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1.5</w:t>
            </w:r>
            <w:r w:rsidR="0037203D">
              <w:rPr>
                <w:rFonts w:eastAsia="Calibri" w:cs="Calibri Light"/>
                <w:sz w:val="14"/>
                <w:szCs w:val="14"/>
              </w:rPr>
              <w:t xml:space="preserve">. </w:t>
            </w:r>
            <w:r w:rsidR="0037203D" w:rsidRPr="0037203D">
              <w:rPr>
                <w:rFonts w:eastAsia="Calibri" w:cs="Calibri Light"/>
                <w:sz w:val="14"/>
                <w:szCs w:val="14"/>
              </w:rPr>
              <w:t>Doskonalenie jakości edukacji oraz rozwój kompetencji</w:t>
            </w:r>
          </w:p>
        </w:tc>
        <w:tc>
          <w:tcPr>
            <w:tcW w:w="2268" w:type="dxa"/>
            <w:vAlign w:val="center"/>
          </w:tcPr>
          <w:p w14:paraId="0757CB98"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Podniesienie jakości edukacji, wyrównywanie szans edukacyjnych, aktywizacja dzieci i młodzieży</w:t>
            </w:r>
          </w:p>
        </w:tc>
        <w:tc>
          <w:tcPr>
            <w:tcW w:w="1196" w:type="dxa"/>
            <w:vAlign w:val="center"/>
          </w:tcPr>
          <w:p w14:paraId="4E2A29CF"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Gmina Opole Lubelskie</w:t>
            </w:r>
          </w:p>
        </w:tc>
        <w:tc>
          <w:tcPr>
            <w:tcW w:w="8585" w:type="dxa"/>
            <w:vAlign w:val="center"/>
          </w:tcPr>
          <w:p w14:paraId="4292CEC1"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Zakres projektu obejmuje dostosowanie korytarzy szkolnych do osób ze specjalnymi potrzebami, w tym z niepełnosprawnościami oraz ich aranżację poprzez zakup wielofunkcyjnych mebli, odpowiednich dekoracji oraz gier edukacyjnych. </w:t>
            </w:r>
          </w:p>
        </w:tc>
      </w:tr>
      <w:tr w:rsidR="00C81289" w:rsidRPr="00C81289" w14:paraId="273AF03C" w14:textId="77777777" w:rsidTr="00E717A0">
        <w:tc>
          <w:tcPr>
            <w:tcW w:w="428" w:type="dxa"/>
            <w:vAlign w:val="center"/>
          </w:tcPr>
          <w:p w14:paraId="04970118" w14:textId="1BB30635"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13</w:t>
            </w:r>
            <w:r w:rsidR="00C81289" w:rsidRPr="00C81289">
              <w:rPr>
                <w:rFonts w:eastAsia="Calibri" w:cs="Times New Roman"/>
                <w:sz w:val="14"/>
                <w:szCs w:val="14"/>
                <w:lang w:bidi="en-US"/>
              </w:rPr>
              <w:t>.</w:t>
            </w:r>
          </w:p>
        </w:tc>
        <w:tc>
          <w:tcPr>
            <w:tcW w:w="1534" w:type="dxa"/>
            <w:vAlign w:val="center"/>
          </w:tcPr>
          <w:p w14:paraId="3011ACCB" w14:textId="2627A50E"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1.5</w:t>
            </w:r>
            <w:r w:rsidR="0037203D">
              <w:rPr>
                <w:rFonts w:eastAsia="Calibri" w:cs="Calibri Light"/>
                <w:sz w:val="14"/>
                <w:szCs w:val="14"/>
              </w:rPr>
              <w:t xml:space="preserve">. </w:t>
            </w:r>
            <w:r w:rsidR="0037203D" w:rsidRPr="0037203D">
              <w:rPr>
                <w:rFonts w:eastAsia="Calibri" w:cs="Calibri Light"/>
                <w:sz w:val="14"/>
                <w:szCs w:val="14"/>
              </w:rPr>
              <w:t xml:space="preserve">Doskonalenie jakości edukacji </w:t>
            </w:r>
            <w:r w:rsidR="0037203D" w:rsidRPr="0037203D">
              <w:rPr>
                <w:rFonts w:eastAsia="Calibri" w:cs="Calibri Light"/>
                <w:sz w:val="14"/>
                <w:szCs w:val="14"/>
              </w:rPr>
              <w:lastRenderedPageBreak/>
              <w:t>oraz rozwój kompetencji</w:t>
            </w:r>
          </w:p>
        </w:tc>
        <w:tc>
          <w:tcPr>
            <w:tcW w:w="2268" w:type="dxa"/>
            <w:vAlign w:val="center"/>
          </w:tcPr>
          <w:p w14:paraId="311EAEA1"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lastRenderedPageBreak/>
              <w:t xml:space="preserve">Bajkowy świat przedszkolaka. Modernizacja budynku </w:t>
            </w:r>
            <w:r w:rsidRPr="00C81289">
              <w:rPr>
                <w:rFonts w:eastAsia="Calibri" w:cs="Calibri Light"/>
                <w:sz w:val="14"/>
                <w:szCs w:val="14"/>
              </w:rPr>
              <w:lastRenderedPageBreak/>
              <w:t>Przedszkola Miejskiego w Opolu Lubelskim.</w:t>
            </w:r>
          </w:p>
        </w:tc>
        <w:tc>
          <w:tcPr>
            <w:tcW w:w="1196" w:type="dxa"/>
            <w:vAlign w:val="center"/>
          </w:tcPr>
          <w:p w14:paraId="011E29E3"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lastRenderedPageBreak/>
              <w:t xml:space="preserve">Gmina Opole Lubelskie </w:t>
            </w:r>
          </w:p>
        </w:tc>
        <w:tc>
          <w:tcPr>
            <w:tcW w:w="8585" w:type="dxa"/>
            <w:vAlign w:val="center"/>
          </w:tcPr>
          <w:p w14:paraId="7D39A34E"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Zakres projektu obejmował będzie dostosowanie obiektu do potrzeb osób ze specjalnymi potrzebami edukacyjnymi, w tym z niepełnosprawnościami, wymianę pieca, wyposażenie oraz remont pomieszczeń a także remont pochylni znajdującej się przed wejściem do budynku.</w:t>
            </w:r>
          </w:p>
        </w:tc>
      </w:tr>
      <w:tr w:rsidR="00C81289" w:rsidRPr="00C81289" w14:paraId="3AB75924" w14:textId="77777777" w:rsidTr="00E717A0">
        <w:tc>
          <w:tcPr>
            <w:tcW w:w="428" w:type="dxa"/>
            <w:vAlign w:val="center"/>
          </w:tcPr>
          <w:p w14:paraId="1B1EE76B" w14:textId="3D6165EF"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14</w:t>
            </w:r>
            <w:r w:rsidR="00C81289" w:rsidRPr="00C81289">
              <w:rPr>
                <w:rFonts w:eastAsia="Calibri" w:cs="Times New Roman"/>
                <w:sz w:val="14"/>
                <w:szCs w:val="14"/>
                <w:lang w:bidi="en-US"/>
              </w:rPr>
              <w:t>.</w:t>
            </w:r>
          </w:p>
        </w:tc>
        <w:tc>
          <w:tcPr>
            <w:tcW w:w="1534" w:type="dxa"/>
            <w:vAlign w:val="center"/>
          </w:tcPr>
          <w:p w14:paraId="0BA0C180" w14:textId="44B37DB2"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1.5</w:t>
            </w:r>
            <w:r w:rsidR="0037203D">
              <w:rPr>
                <w:rFonts w:eastAsia="Calibri" w:cs="Calibri Light"/>
                <w:sz w:val="14"/>
                <w:szCs w:val="14"/>
              </w:rPr>
              <w:t xml:space="preserve">. </w:t>
            </w:r>
            <w:r w:rsidR="0037203D" w:rsidRPr="0037203D">
              <w:rPr>
                <w:rFonts w:eastAsia="Calibri" w:cs="Calibri Light"/>
                <w:sz w:val="14"/>
                <w:szCs w:val="14"/>
              </w:rPr>
              <w:t>Doskonalenie jakości edukacji oraz rozwój kompetencji</w:t>
            </w:r>
          </w:p>
        </w:tc>
        <w:tc>
          <w:tcPr>
            <w:tcW w:w="2268" w:type="dxa"/>
            <w:vAlign w:val="center"/>
          </w:tcPr>
          <w:p w14:paraId="312C05DF"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Aktywizacja osób nieaktywnych zawodowo </w:t>
            </w:r>
          </w:p>
        </w:tc>
        <w:tc>
          <w:tcPr>
            <w:tcW w:w="1196" w:type="dxa"/>
            <w:vAlign w:val="center"/>
          </w:tcPr>
          <w:p w14:paraId="00EA0299"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Gmina Opole Lubelskie</w:t>
            </w:r>
          </w:p>
        </w:tc>
        <w:tc>
          <w:tcPr>
            <w:tcW w:w="8585" w:type="dxa"/>
            <w:vAlign w:val="center"/>
          </w:tcPr>
          <w:p w14:paraId="2C725F1B"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Zakres projektu obejmował będzie organizację szkoleń, doradztwa zawodowego oraz staży dla osób bezrobotnych, kobiet, osób o niskich kwalifikacjach zawodowych. </w:t>
            </w:r>
          </w:p>
        </w:tc>
      </w:tr>
      <w:tr w:rsidR="00C81289" w:rsidRPr="00C81289" w14:paraId="7B931684" w14:textId="77777777" w:rsidTr="00E717A0">
        <w:tc>
          <w:tcPr>
            <w:tcW w:w="428" w:type="dxa"/>
            <w:vAlign w:val="center"/>
          </w:tcPr>
          <w:p w14:paraId="26E38040" w14:textId="38DD11E7"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15</w:t>
            </w:r>
            <w:r w:rsidR="00C81289" w:rsidRPr="00C81289">
              <w:rPr>
                <w:rFonts w:eastAsia="Calibri" w:cs="Times New Roman"/>
                <w:sz w:val="14"/>
                <w:szCs w:val="14"/>
                <w:lang w:bidi="en-US"/>
              </w:rPr>
              <w:t>.</w:t>
            </w:r>
          </w:p>
        </w:tc>
        <w:tc>
          <w:tcPr>
            <w:tcW w:w="1534" w:type="dxa"/>
            <w:vAlign w:val="center"/>
          </w:tcPr>
          <w:p w14:paraId="00BBE208" w14:textId="75E7B32C"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1.6</w:t>
            </w:r>
            <w:r w:rsidR="0037203D">
              <w:rPr>
                <w:rFonts w:eastAsia="Calibri" w:cs="Calibri Light"/>
                <w:sz w:val="14"/>
                <w:szCs w:val="14"/>
              </w:rPr>
              <w:t xml:space="preserve">. </w:t>
            </w:r>
            <w:r w:rsidR="0037203D" w:rsidRPr="0037203D">
              <w:rPr>
                <w:rFonts w:eastAsia="Calibri" w:cs="Calibri Light"/>
                <w:sz w:val="14"/>
                <w:szCs w:val="14"/>
              </w:rPr>
              <w:t>Wsparcie dla funkcjonowania organizacji pozarządowych</w:t>
            </w:r>
          </w:p>
        </w:tc>
        <w:tc>
          <w:tcPr>
            <w:tcW w:w="2268" w:type="dxa"/>
            <w:vAlign w:val="center"/>
          </w:tcPr>
          <w:p w14:paraId="42DB0B06"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Utworzenie Centrum Wsparcia dla organizacji pozarządowych </w:t>
            </w:r>
          </w:p>
        </w:tc>
        <w:tc>
          <w:tcPr>
            <w:tcW w:w="1196" w:type="dxa"/>
            <w:vAlign w:val="center"/>
          </w:tcPr>
          <w:p w14:paraId="6842AEE8"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Gmina Opole Lubelskie</w:t>
            </w:r>
          </w:p>
        </w:tc>
        <w:tc>
          <w:tcPr>
            <w:tcW w:w="8585" w:type="dxa"/>
            <w:vAlign w:val="center"/>
          </w:tcPr>
          <w:p w14:paraId="613CFBC1"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Zakres zadania obejmuje stworzenie miejsca, w którym organizacje pozarządowe będą mogły skorzystać z pomocy prawnej, pomocy w obsłudze finansowo – księgowej, pomocy w opracowywaniu i rozliczaniu projektów a także będą brały udział w organizowanych szkoleniach. </w:t>
            </w:r>
          </w:p>
        </w:tc>
      </w:tr>
      <w:tr w:rsidR="00C81289" w:rsidRPr="00C81289" w14:paraId="69B4FDB3" w14:textId="77777777" w:rsidTr="00E717A0">
        <w:tc>
          <w:tcPr>
            <w:tcW w:w="428" w:type="dxa"/>
            <w:vAlign w:val="center"/>
          </w:tcPr>
          <w:p w14:paraId="54D3CC60" w14:textId="0859BA98"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16.</w:t>
            </w:r>
          </w:p>
        </w:tc>
        <w:tc>
          <w:tcPr>
            <w:tcW w:w="1534" w:type="dxa"/>
            <w:vAlign w:val="center"/>
          </w:tcPr>
          <w:p w14:paraId="5C54539E" w14:textId="24D63EC9"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2.1</w:t>
            </w:r>
            <w:r w:rsidR="0037203D">
              <w:rPr>
                <w:rFonts w:eastAsia="Calibri" w:cs="Calibri Light"/>
                <w:sz w:val="14"/>
                <w:szCs w:val="14"/>
              </w:rPr>
              <w:t xml:space="preserve">. </w:t>
            </w:r>
            <w:r w:rsidR="0037203D" w:rsidRPr="0037203D">
              <w:rPr>
                <w:rFonts w:eastAsia="Calibri" w:cs="Calibri Light"/>
                <w:sz w:val="14"/>
                <w:szCs w:val="14"/>
              </w:rPr>
              <w:t>Zrównoważona gospodarka wodno - ściekowa</w:t>
            </w:r>
          </w:p>
        </w:tc>
        <w:tc>
          <w:tcPr>
            <w:tcW w:w="2268" w:type="dxa"/>
            <w:vAlign w:val="center"/>
          </w:tcPr>
          <w:p w14:paraId="2A18BEF3"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Modernizacja oczyszczalni ścieków </w:t>
            </w:r>
          </w:p>
        </w:tc>
        <w:tc>
          <w:tcPr>
            <w:tcW w:w="1196" w:type="dxa"/>
            <w:vAlign w:val="center"/>
          </w:tcPr>
          <w:p w14:paraId="12622EFF"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Opolskie Przedsiębiorstwo Komunalne</w:t>
            </w:r>
          </w:p>
        </w:tc>
        <w:tc>
          <w:tcPr>
            <w:tcW w:w="8585" w:type="dxa"/>
            <w:vAlign w:val="center"/>
          </w:tcPr>
          <w:p w14:paraId="5BB1A163" w14:textId="77777777" w:rsidR="00C81289" w:rsidRPr="00C81289" w:rsidRDefault="00C81289" w:rsidP="00C81289">
            <w:pPr>
              <w:spacing w:before="120" w:after="0" w:line="259" w:lineRule="auto"/>
              <w:jc w:val="left"/>
              <w:rPr>
                <w:rFonts w:eastAsia="Calibri" w:cs="Calibri Light"/>
                <w:sz w:val="14"/>
                <w:szCs w:val="14"/>
              </w:rPr>
            </w:pPr>
            <w:r w:rsidRPr="00C81289">
              <w:rPr>
                <w:rFonts w:eastAsia="Calibri" w:cs="Calibri Light"/>
                <w:sz w:val="14"/>
                <w:szCs w:val="14"/>
              </w:rPr>
              <w:t>Modernizacja składa się z 2. zasadniczych etapów:</w:t>
            </w:r>
          </w:p>
          <w:p w14:paraId="48892802" w14:textId="77777777" w:rsidR="00C57017" w:rsidRPr="00C81289" w:rsidRDefault="00EE73F1">
            <w:pPr>
              <w:numPr>
                <w:ilvl w:val="0"/>
                <w:numId w:val="52"/>
              </w:numPr>
              <w:spacing w:after="0" w:line="259" w:lineRule="auto"/>
              <w:ind w:left="255" w:hanging="255"/>
              <w:jc w:val="left"/>
              <w:rPr>
                <w:rFonts w:eastAsia="Calibri" w:cs="Calibri Light"/>
                <w:sz w:val="14"/>
                <w:szCs w:val="14"/>
              </w:rPr>
            </w:pPr>
            <w:r w:rsidRPr="00C81289">
              <w:rPr>
                <w:rFonts w:eastAsia="Calibri" w:cs="Calibri Light"/>
                <w:sz w:val="14"/>
                <w:szCs w:val="14"/>
              </w:rPr>
              <w:t>Modernizacja istniejącej infrastruktury do poziomu techniczno-technologicznego zgodnego z obecnymi wymaganiami</w:t>
            </w:r>
          </w:p>
          <w:p w14:paraId="50D0B4C9" w14:textId="77777777" w:rsidR="00C57017" w:rsidRPr="00C81289" w:rsidRDefault="00EE73F1">
            <w:pPr>
              <w:numPr>
                <w:ilvl w:val="0"/>
                <w:numId w:val="52"/>
              </w:numPr>
              <w:spacing w:before="120" w:after="0" w:line="259" w:lineRule="auto"/>
              <w:ind w:left="256" w:hanging="256"/>
              <w:jc w:val="left"/>
              <w:rPr>
                <w:rFonts w:eastAsia="Calibri" w:cs="Calibri Light"/>
                <w:sz w:val="14"/>
                <w:szCs w:val="14"/>
              </w:rPr>
            </w:pPr>
            <w:r w:rsidRPr="00C81289">
              <w:rPr>
                <w:rFonts w:eastAsia="Calibri" w:cs="Calibri Light"/>
                <w:sz w:val="14"/>
                <w:szCs w:val="14"/>
              </w:rPr>
              <w:t>Budowa bębnowej kompostowni osadów ustabilizowanych z wykorzystaniem całej biomasy zbieranej na terenie Gminy Opole Lubelskie – działanie w kierunku gospodarki zeroemisyjnej</w:t>
            </w:r>
          </w:p>
          <w:p w14:paraId="71B4579C" w14:textId="77777777" w:rsidR="00C57017" w:rsidRPr="00C81289" w:rsidRDefault="00EE73F1">
            <w:pPr>
              <w:numPr>
                <w:ilvl w:val="0"/>
                <w:numId w:val="52"/>
              </w:numPr>
              <w:spacing w:after="0" w:line="259" w:lineRule="auto"/>
              <w:ind w:left="256" w:hanging="256"/>
              <w:jc w:val="left"/>
              <w:rPr>
                <w:rFonts w:eastAsia="Calibri" w:cs="Calibri Light"/>
                <w:sz w:val="14"/>
                <w:szCs w:val="14"/>
              </w:rPr>
            </w:pPr>
            <w:r w:rsidRPr="00C81289">
              <w:rPr>
                <w:rFonts w:eastAsia="Calibri" w:cs="Calibri Light"/>
                <w:sz w:val="14"/>
                <w:szCs w:val="14"/>
              </w:rPr>
              <w:t>Zakup nowoczesnego sprzętu:</w:t>
            </w:r>
          </w:p>
          <w:p w14:paraId="2E91FEA6" w14:textId="77777777" w:rsidR="00C81289" w:rsidRPr="00C81289" w:rsidRDefault="00C81289">
            <w:pPr>
              <w:numPr>
                <w:ilvl w:val="0"/>
                <w:numId w:val="53"/>
              </w:numPr>
              <w:spacing w:after="0" w:line="259" w:lineRule="auto"/>
              <w:ind w:left="398" w:hanging="142"/>
              <w:jc w:val="left"/>
              <w:rPr>
                <w:rFonts w:eastAsia="Calibri" w:cs="Calibri Light"/>
                <w:sz w:val="14"/>
                <w:szCs w:val="14"/>
              </w:rPr>
            </w:pPr>
            <w:r w:rsidRPr="00C81289">
              <w:rPr>
                <w:rFonts w:eastAsia="Calibri" w:cs="Calibri Light"/>
                <w:sz w:val="14"/>
                <w:szCs w:val="14"/>
              </w:rPr>
              <w:t xml:space="preserve">beczka asenizacyjna </w:t>
            </w:r>
          </w:p>
          <w:p w14:paraId="31E2ED43" w14:textId="77777777" w:rsidR="00C57017" w:rsidRPr="00C81289" w:rsidRDefault="00C81289">
            <w:pPr>
              <w:numPr>
                <w:ilvl w:val="0"/>
                <w:numId w:val="53"/>
              </w:numPr>
              <w:spacing w:after="0" w:line="259" w:lineRule="auto"/>
              <w:ind w:left="397" w:hanging="142"/>
              <w:jc w:val="left"/>
              <w:rPr>
                <w:rFonts w:eastAsia="Calibri" w:cs="Calibri Light"/>
                <w:sz w:val="14"/>
                <w:szCs w:val="14"/>
              </w:rPr>
            </w:pPr>
            <w:r w:rsidRPr="00C81289">
              <w:rPr>
                <w:rFonts w:eastAsia="Calibri" w:cs="Calibri Light"/>
                <w:sz w:val="14"/>
                <w:szCs w:val="14"/>
              </w:rPr>
              <w:t>samochód WUKO</w:t>
            </w:r>
          </w:p>
        </w:tc>
      </w:tr>
      <w:tr w:rsidR="00C81289" w:rsidRPr="00C81289" w14:paraId="6CC5808C" w14:textId="77777777" w:rsidTr="00E717A0">
        <w:tc>
          <w:tcPr>
            <w:tcW w:w="428" w:type="dxa"/>
            <w:vAlign w:val="center"/>
          </w:tcPr>
          <w:p w14:paraId="5F75BE7A" w14:textId="1FA80730"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17</w:t>
            </w:r>
            <w:r w:rsidR="00C81289" w:rsidRPr="00C81289">
              <w:rPr>
                <w:rFonts w:eastAsia="Calibri" w:cs="Times New Roman"/>
                <w:sz w:val="14"/>
                <w:szCs w:val="14"/>
                <w:lang w:bidi="en-US"/>
              </w:rPr>
              <w:t>.</w:t>
            </w:r>
          </w:p>
        </w:tc>
        <w:tc>
          <w:tcPr>
            <w:tcW w:w="1534" w:type="dxa"/>
            <w:vAlign w:val="center"/>
          </w:tcPr>
          <w:p w14:paraId="4319313A" w14:textId="32739D28"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2.1</w:t>
            </w:r>
            <w:r w:rsidR="0037203D">
              <w:rPr>
                <w:rFonts w:eastAsia="Calibri" w:cs="Calibri Light"/>
                <w:sz w:val="14"/>
                <w:szCs w:val="14"/>
              </w:rPr>
              <w:t xml:space="preserve">. </w:t>
            </w:r>
            <w:r w:rsidR="0037203D" w:rsidRPr="0037203D">
              <w:rPr>
                <w:rFonts w:eastAsia="Calibri" w:cs="Calibri Light"/>
                <w:sz w:val="14"/>
                <w:szCs w:val="14"/>
              </w:rPr>
              <w:t>Zrównoważona gospodarka wodno - ściekowa</w:t>
            </w:r>
          </w:p>
        </w:tc>
        <w:tc>
          <w:tcPr>
            <w:tcW w:w="2268" w:type="dxa"/>
            <w:vAlign w:val="center"/>
          </w:tcPr>
          <w:p w14:paraId="38824EEB"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Zdalny odczyt poboru wody i zrzutu ścieków</w:t>
            </w:r>
          </w:p>
        </w:tc>
        <w:tc>
          <w:tcPr>
            <w:tcW w:w="1196" w:type="dxa"/>
            <w:vAlign w:val="center"/>
          </w:tcPr>
          <w:p w14:paraId="7A1A66D5"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Opolskie Przedsiębiorstwo Komunalne</w:t>
            </w:r>
          </w:p>
        </w:tc>
        <w:tc>
          <w:tcPr>
            <w:tcW w:w="8585" w:type="dxa"/>
            <w:vAlign w:val="center"/>
          </w:tcPr>
          <w:p w14:paraId="61E7F4EF" w14:textId="77777777" w:rsidR="00C81289" w:rsidRPr="00C81289" w:rsidRDefault="00C81289" w:rsidP="00C81289">
            <w:pPr>
              <w:spacing w:before="120" w:after="0" w:line="259" w:lineRule="auto"/>
              <w:jc w:val="left"/>
              <w:rPr>
                <w:rFonts w:eastAsia="Calibri" w:cs="Calibri Light"/>
                <w:sz w:val="14"/>
                <w:szCs w:val="14"/>
              </w:rPr>
            </w:pPr>
            <w:r w:rsidRPr="00C81289">
              <w:rPr>
                <w:rFonts w:eastAsia="Calibri" w:cs="Calibri Light"/>
                <w:sz w:val="14"/>
                <w:szCs w:val="14"/>
              </w:rPr>
              <w:t>Zadanie polegające na zamontowaniu nakładek na istniejące wodomierze (4700 szt.) umożliwiające kontrolę zużycia wody i ilość zrzucanych ścieków z pozycji urządzenia w biurze Spółki. Pobierane wyniki umożliwią:</w:t>
            </w:r>
          </w:p>
          <w:p w14:paraId="1AAC62E5" w14:textId="77777777" w:rsidR="00C81289" w:rsidRPr="00C81289" w:rsidRDefault="00C81289">
            <w:pPr>
              <w:numPr>
                <w:ilvl w:val="0"/>
                <w:numId w:val="16"/>
              </w:numPr>
              <w:spacing w:after="0" w:line="259" w:lineRule="auto"/>
              <w:ind w:left="256" w:hanging="256"/>
              <w:jc w:val="left"/>
              <w:rPr>
                <w:rFonts w:eastAsia="Calibri" w:cs="Calibri Light"/>
                <w:sz w:val="14"/>
                <w:szCs w:val="14"/>
              </w:rPr>
            </w:pPr>
            <w:r w:rsidRPr="00C81289">
              <w:rPr>
                <w:rFonts w:eastAsia="Calibri" w:cs="Calibri Light"/>
                <w:sz w:val="14"/>
                <w:szCs w:val="14"/>
              </w:rPr>
              <w:t>Tworzenie faktur dla odbiorców</w:t>
            </w:r>
          </w:p>
          <w:p w14:paraId="625ABE83" w14:textId="77777777" w:rsidR="00C81289" w:rsidRPr="00C81289" w:rsidRDefault="00C81289">
            <w:pPr>
              <w:numPr>
                <w:ilvl w:val="0"/>
                <w:numId w:val="16"/>
              </w:numPr>
              <w:spacing w:after="0" w:line="259" w:lineRule="auto"/>
              <w:ind w:left="256" w:hanging="256"/>
              <w:jc w:val="left"/>
              <w:rPr>
                <w:rFonts w:eastAsia="Calibri" w:cs="Calibri Light"/>
                <w:sz w:val="14"/>
                <w:szCs w:val="14"/>
              </w:rPr>
            </w:pPr>
            <w:r w:rsidRPr="00C81289">
              <w:rPr>
                <w:rFonts w:eastAsia="Calibri" w:cs="Calibri Light"/>
                <w:sz w:val="14"/>
                <w:szCs w:val="14"/>
              </w:rPr>
              <w:t>Sygnalizowanie wycieków na sieci wewnętrznej Klienta i zewnętrznej Spółki</w:t>
            </w:r>
          </w:p>
          <w:p w14:paraId="4E4B80D4" w14:textId="77777777" w:rsidR="00C81289" w:rsidRPr="00C81289" w:rsidRDefault="00C81289">
            <w:pPr>
              <w:numPr>
                <w:ilvl w:val="0"/>
                <w:numId w:val="16"/>
              </w:numPr>
              <w:spacing w:after="0" w:line="259" w:lineRule="auto"/>
              <w:ind w:left="256" w:hanging="256"/>
              <w:jc w:val="left"/>
              <w:rPr>
                <w:rFonts w:eastAsia="Calibri" w:cs="Calibri Light"/>
                <w:sz w:val="14"/>
                <w:szCs w:val="14"/>
              </w:rPr>
            </w:pPr>
            <w:r w:rsidRPr="00C81289">
              <w:rPr>
                <w:rFonts w:eastAsia="Calibri" w:cs="Calibri Light"/>
                <w:sz w:val="14"/>
                <w:szCs w:val="14"/>
              </w:rPr>
              <w:t>Likwidację „ręcznego” odczytu i problemów z tym związanych</w:t>
            </w:r>
          </w:p>
          <w:p w14:paraId="419A2BAB" w14:textId="77777777" w:rsidR="00C81289" w:rsidRPr="00C81289" w:rsidRDefault="00C81289">
            <w:pPr>
              <w:numPr>
                <w:ilvl w:val="0"/>
                <w:numId w:val="16"/>
              </w:numPr>
              <w:spacing w:after="0" w:line="259" w:lineRule="auto"/>
              <w:ind w:left="256" w:hanging="256"/>
              <w:jc w:val="left"/>
              <w:rPr>
                <w:rFonts w:eastAsia="Calibri" w:cs="Calibri Light"/>
                <w:sz w:val="14"/>
                <w:szCs w:val="14"/>
              </w:rPr>
            </w:pPr>
            <w:r w:rsidRPr="00C81289">
              <w:rPr>
                <w:rFonts w:eastAsia="Calibri" w:cs="Calibri Light"/>
                <w:sz w:val="14"/>
                <w:szCs w:val="14"/>
              </w:rPr>
              <w:t>Cyfryzację usługi / zdalny odczyt – elektroniczna faktura – wysyłka drogą elektroniczną – zapłata poprzez aplikację Klienta</w:t>
            </w:r>
          </w:p>
          <w:p w14:paraId="528A131D" w14:textId="77777777" w:rsidR="00C81289" w:rsidRPr="00C81289" w:rsidRDefault="00C81289">
            <w:pPr>
              <w:numPr>
                <w:ilvl w:val="0"/>
                <w:numId w:val="16"/>
              </w:numPr>
              <w:spacing w:after="0" w:line="259" w:lineRule="auto"/>
              <w:ind w:left="256" w:hanging="256"/>
              <w:jc w:val="left"/>
              <w:rPr>
                <w:rFonts w:eastAsia="Calibri" w:cs="Calibri Light"/>
                <w:sz w:val="14"/>
                <w:szCs w:val="14"/>
              </w:rPr>
            </w:pPr>
            <w:r w:rsidRPr="00C81289">
              <w:rPr>
                <w:rFonts w:eastAsia="Calibri" w:cs="Calibri Light"/>
                <w:sz w:val="14"/>
                <w:szCs w:val="14"/>
              </w:rPr>
              <w:t>Ograniczenie kradzieży wody</w:t>
            </w:r>
          </w:p>
          <w:p w14:paraId="160C3121" w14:textId="77777777" w:rsidR="00C81289" w:rsidRPr="00C81289" w:rsidRDefault="00C81289" w:rsidP="00C81289">
            <w:pPr>
              <w:spacing w:line="259" w:lineRule="auto"/>
              <w:jc w:val="left"/>
              <w:rPr>
                <w:rFonts w:eastAsia="Calibri" w:cs="Times New Roman"/>
                <w:sz w:val="14"/>
                <w:szCs w:val="14"/>
                <w:lang w:bidi="en-US"/>
              </w:rPr>
            </w:pPr>
            <w:r w:rsidRPr="00C81289">
              <w:rPr>
                <w:rFonts w:eastAsia="Calibri" w:cs="Calibri Light"/>
                <w:sz w:val="14"/>
                <w:szCs w:val="14"/>
              </w:rPr>
              <w:t>Racjonalizację zużycia wody dzięki aplikacji na smartfon Klienta</w:t>
            </w:r>
          </w:p>
        </w:tc>
      </w:tr>
      <w:tr w:rsidR="00C81289" w:rsidRPr="00C81289" w14:paraId="307C0408" w14:textId="77777777" w:rsidTr="00E717A0">
        <w:tc>
          <w:tcPr>
            <w:tcW w:w="428" w:type="dxa"/>
            <w:vAlign w:val="center"/>
          </w:tcPr>
          <w:p w14:paraId="6FE17896" w14:textId="33F892CF"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18</w:t>
            </w:r>
            <w:r w:rsidR="00C81289" w:rsidRPr="00C81289">
              <w:rPr>
                <w:rFonts w:eastAsia="Calibri" w:cs="Times New Roman"/>
                <w:sz w:val="14"/>
                <w:szCs w:val="14"/>
                <w:lang w:bidi="en-US"/>
              </w:rPr>
              <w:t>.</w:t>
            </w:r>
          </w:p>
        </w:tc>
        <w:tc>
          <w:tcPr>
            <w:tcW w:w="1534" w:type="dxa"/>
            <w:vAlign w:val="center"/>
          </w:tcPr>
          <w:p w14:paraId="37DC0AE7" w14:textId="0215A187"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2.1</w:t>
            </w:r>
            <w:r w:rsidR="0037203D">
              <w:rPr>
                <w:rFonts w:eastAsia="Calibri" w:cs="Calibri Light"/>
                <w:sz w:val="14"/>
                <w:szCs w:val="14"/>
              </w:rPr>
              <w:t xml:space="preserve">. </w:t>
            </w:r>
            <w:r w:rsidR="0037203D" w:rsidRPr="0037203D">
              <w:rPr>
                <w:rFonts w:eastAsia="Calibri" w:cs="Calibri Light"/>
                <w:sz w:val="14"/>
                <w:szCs w:val="14"/>
              </w:rPr>
              <w:t>Zrównoważona gospodarka wodno - ściekowa</w:t>
            </w:r>
          </w:p>
        </w:tc>
        <w:tc>
          <w:tcPr>
            <w:tcW w:w="2268" w:type="dxa"/>
            <w:vAlign w:val="center"/>
          </w:tcPr>
          <w:p w14:paraId="0F9B15DD"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Budowa i modernizacja sieci wod-kan</w:t>
            </w:r>
          </w:p>
        </w:tc>
        <w:tc>
          <w:tcPr>
            <w:tcW w:w="1196" w:type="dxa"/>
            <w:vAlign w:val="center"/>
          </w:tcPr>
          <w:p w14:paraId="4BA27FDF"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Opolskie Przedsiębiorstwo Komunalne </w:t>
            </w:r>
          </w:p>
        </w:tc>
        <w:tc>
          <w:tcPr>
            <w:tcW w:w="8585" w:type="dxa"/>
            <w:vAlign w:val="center"/>
          </w:tcPr>
          <w:p w14:paraId="34107DE1" w14:textId="77777777" w:rsidR="00C81289" w:rsidRPr="00C81289" w:rsidRDefault="00C81289" w:rsidP="00C81289">
            <w:pPr>
              <w:spacing w:before="120" w:after="0" w:line="259" w:lineRule="auto"/>
              <w:jc w:val="left"/>
              <w:rPr>
                <w:rFonts w:eastAsia="Calibri" w:cs="Calibri Light"/>
                <w:sz w:val="14"/>
                <w:szCs w:val="14"/>
              </w:rPr>
            </w:pPr>
            <w:r w:rsidRPr="00C81289">
              <w:rPr>
                <w:rFonts w:eastAsia="Calibri" w:cs="Calibri Light"/>
                <w:sz w:val="14"/>
                <w:szCs w:val="14"/>
              </w:rPr>
              <w:t xml:space="preserve">Zadanie polegające na modernizacji i budowie nowych sieci wod -kan: </w:t>
            </w:r>
          </w:p>
          <w:p w14:paraId="77BA01D8"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- 5 km sieci wodociągowych </w:t>
            </w:r>
          </w:p>
          <w:p w14:paraId="35E5A4E5"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- 3 km sieci kanalizacyjnych</w:t>
            </w:r>
          </w:p>
          <w:p w14:paraId="45F3AE8C" w14:textId="77777777" w:rsidR="00C81289" w:rsidRPr="00C81289" w:rsidRDefault="00C81289" w:rsidP="00C81289">
            <w:pPr>
              <w:spacing w:line="259" w:lineRule="auto"/>
              <w:jc w:val="left"/>
              <w:rPr>
                <w:rFonts w:eastAsia="Calibri" w:cs="Calibri Light"/>
                <w:sz w:val="14"/>
                <w:szCs w:val="14"/>
              </w:rPr>
            </w:pPr>
            <w:r w:rsidRPr="00C81289">
              <w:rPr>
                <w:rFonts w:eastAsia="Calibri" w:cs="Calibri Light"/>
                <w:sz w:val="14"/>
                <w:szCs w:val="14"/>
              </w:rPr>
              <w:t>To zadanie powinno poprzedzać przebudowy i budowy nowych dróg tam, gdzie instalacje biegną pod drogami</w:t>
            </w:r>
          </w:p>
        </w:tc>
      </w:tr>
      <w:tr w:rsidR="00C81289" w:rsidRPr="00C81289" w14:paraId="1969B5FB" w14:textId="77777777" w:rsidTr="00E717A0">
        <w:tc>
          <w:tcPr>
            <w:tcW w:w="428" w:type="dxa"/>
            <w:vAlign w:val="center"/>
          </w:tcPr>
          <w:p w14:paraId="20B37236" w14:textId="13C1E82C"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19</w:t>
            </w:r>
            <w:r w:rsidR="00C81289" w:rsidRPr="00C81289">
              <w:rPr>
                <w:rFonts w:eastAsia="Calibri" w:cs="Times New Roman"/>
                <w:sz w:val="14"/>
                <w:szCs w:val="14"/>
                <w:lang w:bidi="en-US"/>
              </w:rPr>
              <w:t>.</w:t>
            </w:r>
          </w:p>
        </w:tc>
        <w:tc>
          <w:tcPr>
            <w:tcW w:w="1534" w:type="dxa"/>
            <w:vAlign w:val="center"/>
          </w:tcPr>
          <w:p w14:paraId="1F314A26" w14:textId="31A36127"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2.1</w:t>
            </w:r>
            <w:r w:rsidR="0037203D">
              <w:rPr>
                <w:rFonts w:eastAsia="Calibri" w:cs="Calibri Light"/>
                <w:sz w:val="14"/>
                <w:szCs w:val="14"/>
              </w:rPr>
              <w:t xml:space="preserve">. </w:t>
            </w:r>
            <w:r w:rsidR="0037203D" w:rsidRPr="0037203D">
              <w:rPr>
                <w:rFonts w:eastAsia="Calibri" w:cs="Calibri Light"/>
                <w:sz w:val="14"/>
                <w:szCs w:val="14"/>
              </w:rPr>
              <w:t>Zrównoważona gospodarka wodno - ściekowa</w:t>
            </w:r>
          </w:p>
        </w:tc>
        <w:tc>
          <w:tcPr>
            <w:tcW w:w="2268" w:type="dxa"/>
            <w:vAlign w:val="center"/>
          </w:tcPr>
          <w:p w14:paraId="40F6670D"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Budowa przydomowych oczyszczalni ścieków na terenie Gminy Opole Lubelskie</w:t>
            </w:r>
          </w:p>
        </w:tc>
        <w:tc>
          <w:tcPr>
            <w:tcW w:w="1196" w:type="dxa"/>
            <w:vAlign w:val="center"/>
          </w:tcPr>
          <w:p w14:paraId="47DC2FFE"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Gmina Opole Lubelskie</w:t>
            </w:r>
          </w:p>
        </w:tc>
        <w:tc>
          <w:tcPr>
            <w:tcW w:w="8585" w:type="dxa"/>
            <w:vAlign w:val="center"/>
          </w:tcPr>
          <w:p w14:paraId="652A0E0B"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Zakres projektu obejmuje budowę przydomowych oczyszczalni ścieków dla gospodarstw domowych dla których nie ma technicznych możliwości budowy sieci kanalizacji sanitarnej. </w:t>
            </w:r>
          </w:p>
        </w:tc>
      </w:tr>
      <w:tr w:rsidR="00C81289" w:rsidRPr="00C81289" w14:paraId="164704B5" w14:textId="77777777" w:rsidTr="00E717A0">
        <w:tc>
          <w:tcPr>
            <w:tcW w:w="428" w:type="dxa"/>
            <w:vAlign w:val="center"/>
          </w:tcPr>
          <w:p w14:paraId="07772CF0" w14:textId="0D088F94"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20</w:t>
            </w:r>
            <w:r w:rsidR="00C81289" w:rsidRPr="00C81289">
              <w:rPr>
                <w:rFonts w:eastAsia="Calibri" w:cs="Times New Roman"/>
                <w:sz w:val="14"/>
                <w:szCs w:val="14"/>
                <w:lang w:bidi="en-US"/>
              </w:rPr>
              <w:t>.</w:t>
            </w:r>
          </w:p>
        </w:tc>
        <w:tc>
          <w:tcPr>
            <w:tcW w:w="1534" w:type="dxa"/>
            <w:vAlign w:val="center"/>
          </w:tcPr>
          <w:p w14:paraId="0203A2FF" w14:textId="1DA1AFDB"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2.2</w:t>
            </w:r>
            <w:r w:rsidR="0037203D">
              <w:rPr>
                <w:rFonts w:eastAsia="Calibri" w:cs="Calibri Light"/>
                <w:sz w:val="14"/>
                <w:szCs w:val="14"/>
              </w:rPr>
              <w:t xml:space="preserve">. </w:t>
            </w:r>
            <w:r w:rsidR="0037203D" w:rsidRPr="0037203D">
              <w:rPr>
                <w:rFonts w:eastAsia="Calibri" w:cs="Calibri Light"/>
                <w:sz w:val="14"/>
                <w:szCs w:val="14"/>
              </w:rPr>
              <w:t xml:space="preserve">Poprawa dostępności zielonych </w:t>
            </w:r>
            <w:r w:rsidR="0037203D" w:rsidRPr="0037203D">
              <w:rPr>
                <w:rFonts w:eastAsia="Calibri" w:cs="Calibri Light"/>
                <w:sz w:val="14"/>
                <w:szCs w:val="14"/>
              </w:rPr>
              <w:lastRenderedPageBreak/>
              <w:t>przestrzeni publicznych</w:t>
            </w:r>
          </w:p>
        </w:tc>
        <w:tc>
          <w:tcPr>
            <w:tcW w:w="2268" w:type="dxa"/>
            <w:vAlign w:val="center"/>
          </w:tcPr>
          <w:p w14:paraId="6090BFC4"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lastRenderedPageBreak/>
              <w:t xml:space="preserve">Budowa parków kieszonkowych </w:t>
            </w:r>
          </w:p>
        </w:tc>
        <w:tc>
          <w:tcPr>
            <w:tcW w:w="1196" w:type="dxa"/>
            <w:vAlign w:val="center"/>
          </w:tcPr>
          <w:p w14:paraId="2C19A5B6"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Gmina Opole Lubelskie </w:t>
            </w:r>
          </w:p>
        </w:tc>
        <w:tc>
          <w:tcPr>
            <w:tcW w:w="8585" w:type="dxa"/>
            <w:vAlign w:val="center"/>
          </w:tcPr>
          <w:p w14:paraId="6EF709FC"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Zakres projektu obejmował będzie utworzenie parków kieszonkowych na terenie miasta Opole Lubelskie</w:t>
            </w:r>
          </w:p>
        </w:tc>
      </w:tr>
      <w:tr w:rsidR="00C81289" w:rsidRPr="00C81289" w14:paraId="6DA49DA2" w14:textId="77777777" w:rsidTr="00E717A0">
        <w:tc>
          <w:tcPr>
            <w:tcW w:w="428" w:type="dxa"/>
            <w:vAlign w:val="center"/>
          </w:tcPr>
          <w:p w14:paraId="3D8C467B" w14:textId="5E11E446"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21</w:t>
            </w:r>
            <w:r w:rsidR="00C81289" w:rsidRPr="00C81289">
              <w:rPr>
                <w:rFonts w:eastAsia="Calibri" w:cs="Times New Roman"/>
                <w:sz w:val="14"/>
                <w:szCs w:val="14"/>
                <w:lang w:bidi="en-US"/>
              </w:rPr>
              <w:t>.</w:t>
            </w:r>
          </w:p>
        </w:tc>
        <w:tc>
          <w:tcPr>
            <w:tcW w:w="1534" w:type="dxa"/>
            <w:vAlign w:val="center"/>
          </w:tcPr>
          <w:p w14:paraId="4978B566" w14:textId="7D5D6D62"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2.2</w:t>
            </w:r>
            <w:r w:rsidR="0037203D">
              <w:rPr>
                <w:rFonts w:eastAsia="Calibri" w:cs="Calibri Light"/>
                <w:sz w:val="14"/>
                <w:szCs w:val="14"/>
              </w:rPr>
              <w:t xml:space="preserve">. </w:t>
            </w:r>
            <w:r w:rsidR="0037203D" w:rsidRPr="0037203D">
              <w:rPr>
                <w:rFonts w:eastAsia="Calibri" w:cs="Calibri Light"/>
                <w:sz w:val="14"/>
                <w:szCs w:val="14"/>
              </w:rPr>
              <w:t>Poprawa dostępności zielonych przestrzeni publicznych</w:t>
            </w:r>
          </w:p>
        </w:tc>
        <w:tc>
          <w:tcPr>
            <w:tcW w:w="2268" w:type="dxa"/>
            <w:vAlign w:val="center"/>
          </w:tcPr>
          <w:p w14:paraId="36D3E64B"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Utworzenie ogrodów sensorycznych </w:t>
            </w:r>
          </w:p>
        </w:tc>
        <w:tc>
          <w:tcPr>
            <w:tcW w:w="1196" w:type="dxa"/>
            <w:vAlign w:val="center"/>
          </w:tcPr>
          <w:p w14:paraId="7A3695B9"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Gmina Opole Lubelskie </w:t>
            </w:r>
          </w:p>
        </w:tc>
        <w:tc>
          <w:tcPr>
            <w:tcW w:w="8585" w:type="dxa"/>
            <w:vAlign w:val="center"/>
          </w:tcPr>
          <w:p w14:paraId="1B1AC92E"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Zakres projektu obejmował będzie utworzenie ogrodów sensorycznych na terenie miasta Opole Lubelskie </w:t>
            </w:r>
          </w:p>
        </w:tc>
      </w:tr>
      <w:tr w:rsidR="00C81289" w:rsidRPr="00C81289" w14:paraId="6D0CC2BA" w14:textId="77777777" w:rsidTr="00E717A0">
        <w:tc>
          <w:tcPr>
            <w:tcW w:w="428" w:type="dxa"/>
            <w:vAlign w:val="center"/>
          </w:tcPr>
          <w:p w14:paraId="5F404B55" w14:textId="2C3F50DA"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22</w:t>
            </w:r>
            <w:r w:rsidR="00C81289" w:rsidRPr="00C81289">
              <w:rPr>
                <w:rFonts w:eastAsia="Calibri" w:cs="Times New Roman"/>
                <w:sz w:val="14"/>
                <w:szCs w:val="14"/>
                <w:lang w:bidi="en-US"/>
              </w:rPr>
              <w:t>.</w:t>
            </w:r>
          </w:p>
        </w:tc>
        <w:tc>
          <w:tcPr>
            <w:tcW w:w="1534" w:type="dxa"/>
            <w:vAlign w:val="center"/>
          </w:tcPr>
          <w:p w14:paraId="4096E2E8" w14:textId="117BF883"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2.2</w:t>
            </w:r>
            <w:r w:rsidR="0037203D">
              <w:rPr>
                <w:rFonts w:eastAsia="Calibri" w:cs="Calibri Light"/>
                <w:sz w:val="14"/>
                <w:szCs w:val="14"/>
              </w:rPr>
              <w:t xml:space="preserve">. </w:t>
            </w:r>
            <w:r w:rsidR="0037203D" w:rsidRPr="0037203D">
              <w:rPr>
                <w:rFonts w:eastAsia="Calibri" w:cs="Calibri Light"/>
                <w:sz w:val="14"/>
                <w:szCs w:val="14"/>
              </w:rPr>
              <w:t>Poprawa dostępności zielonych przestrzeni publicznych</w:t>
            </w:r>
          </w:p>
        </w:tc>
        <w:tc>
          <w:tcPr>
            <w:tcW w:w="2268" w:type="dxa"/>
            <w:vAlign w:val="center"/>
          </w:tcPr>
          <w:p w14:paraId="778BAEC0"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Zielone przystanki na terenie miasta </w:t>
            </w:r>
          </w:p>
        </w:tc>
        <w:tc>
          <w:tcPr>
            <w:tcW w:w="1196" w:type="dxa"/>
            <w:vAlign w:val="center"/>
          </w:tcPr>
          <w:p w14:paraId="44BBFF19"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Gmina Opole Lubelskie </w:t>
            </w:r>
          </w:p>
        </w:tc>
        <w:tc>
          <w:tcPr>
            <w:tcW w:w="8585" w:type="dxa"/>
            <w:vAlign w:val="center"/>
          </w:tcPr>
          <w:p w14:paraId="7B364BF4" w14:textId="77777777" w:rsidR="00C81289" w:rsidRPr="00C81289" w:rsidRDefault="00C81289" w:rsidP="00C81289">
            <w:pPr>
              <w:spacing w:before="120" w:after="0" w:line="259" w:lineRule="auto"/>
              <w:jc w:val="left"/>
              <w:rPr>
                <w:rFonts w:eastAsia="Calibri" w:cs="Times New Roman"/>
                <w:sz w:val="14"/>
                <w:szCs w:val="14"/>
                <w:lang w:bidi="en-US"/>
              </w:rPr>
            </w:pPr>
            <w:r w:rsidRPr="00C81289">
              <w:rPr>
                <w:rFonts w:eastAsia="Calibri" w:cs="Calibri Light"/>
                <w:sz w:val="14"/>
                <w:szCs w:val="14"/>
              </w:rPr>
              <w:t xml:space="preserve">Zakres projektu obejmuje wymianę istniejących wiat przystankowych na terenie miasta Opole Lubelskie na ekologiczne przystanki oraz obejmuje wykonanie nasadzeń. </w:t>
            </w:r>
          </w:p>
        </w:tc>
      </w:tr>
      <w:tr w:rsidR="00C81289" w:rsidRPr="00C81289" w14:paraId="5CB1A027" w14:textId="77777777" w:rsidTr="00E717A0">
        <w:tc>
          <w:tcPr>
            <w:tcW w:w="428" w:type="dxa"/>
            <w:vAlign w:val="center"/>
          </w:tcPr>
          <w:p w14:paraId="1D9759C6" w14:textId="3905DEFD"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23</w:t>
            </w:r>
            <w:r w:rsidR="00C81289" w:rsidRPr="00C81289">
              <w:rPr>
                <w:rFonts w:eastAsia="Calibri" w:cs="Times New Roman"/>
                <w:sz w:val="14"/>
                <w:szCs w:val="14"/>
                <w:lang w:bidi="en-US"/>
              </w:rPr>
              <w:t>.</w:t>
            </w:r>
          </w:p>
        </w:tc>
        <w:tc>
          <w:tcPr>
            <w:tcW w:w="1534" w:type="dxa"/>
            <w:vAlign w:val="center"/>
          </w:tcPr>
          <w:p w14:paraId="525BD2AD" w14:textId="3979DF75"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2.2</w:t>
            </w:r>
            <w:r w:rsidR="0037203D">
              <w:rPr>
                <w:rFonts w:eastAsia="Calibri" w:cs="Calibri Light"/>
                <w:sz w:val="14"/>
                <w:szCs w:val="14"/>
              </w:rPr>
              <w:t xml:space="preserve">. </w:t>
            </w:r>
            <w:r w:rsidR="0037203D" w:rsidRPr="0037203D">
              <w:rPr>
                <w:rFonts w:eastAsia="Calibri" w:cs="Calibri Light"/>
                <w:sz w:val="14"/>
                <w:szCs w:val="14"/>
              </w:rPr>
              <w:t>Poprawa dostępności zielonych przestrzeni publicznych</w:t>
            </w:r>
          </w:p>
        </w:tc>
        <w:tc>
          <w:tcPr>
            <w:tcW w:w="2268" w:type="dxa"/>
            <w:vAlign w:val="center"/>
          </w:tcPr>
          <w:p w14:paraId="27AE1735"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Ochrona bioróżnorodności, siedlisk zwierząt i gatunków roślina na terenie Parku Miejskiego w Opolu Lubelskim </w:t>
            </w:r>
          </w:p>
        </w:tc>
        <w:tc>
          <w:tcPr>
            <w:tcW w:w="1196" w:type="dxa"/>
            <w:vAlign w:val="center"/>
          </w:tcPr>
          <w:p w14:paraId="5CBD165B"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Gmina Opole Lubelskie </w:t>
            </w:r>
          </w:p>
        </w:tc>
        <w:tc>
          <w:tcPr>
            <w:tcW w:w="8585" w:type="dxa"/>
            <w:vAlign w:val="center"/>
          </w:tcPr>
          <w:p w14:paraId="5D0F938C" w14:textId="77777777" w:rsidR="00C81289" w:rsidRPr="00C81289" w:rsidRDefault="00C81289" w:rsidP="00C81289">
            <w:pPr>
              <w:spacing w:before="120" w:after="0" w:line="259" w:lineRule="auto"/>
              <w:jc w:val="left"/>
              <w:rPr>
                <w:rFonts w:eastAsia="Calibri" w:cs="Calibri Light"/>
                <w:sz w:val="14"/>
                <w:szCs w:val="14"/>
              </w:rPr>
            </w:pPr>
            <w:r w:rsidRPr="00C81289">
              <w:rPr>
                <w:rFonts w:eastAsia="Calibri" w:cs="Calibri Light"/>
                <w:sz w:val="14"/>
                <w:szCs w:val="14"/>
              </w:rPr>
              <w:t>Ochrona siedlisk i gatunków chronionych poprzez skanalizowanie ruchu turystycznego:</w:t>
            </w:r>
          </w:p>
          <w:p w14:paraId="399C50AE" w14:textId="77777777" w:rsidR="00C57017" w:rsidRPr="00C81289" w:rsidRDefault="00EE73F1">
            <w:pPr>
              <w:numPr>
                <w:ilvl w:val="0"/>
                <w:numId w:val="49"/>
              </w:numPr>
              <w:spacing w:after="0" w:line="259" w:lineRule="auto"/>
              <w:ind w:left="117" w:hanging="117"/>
              <w:jc w:val="left"/>
              <w:rPr>
                <w:rFonts w:eastAsia="Calibri" w:cs="Calibri Light"/>
                <w:sz w:val="14"/>
                <w:szCs w:val="14"/>
              </w:rPr>
            </w:pPr>
            <w:r w:rsidRPr="00C81289">
              <w:rPr>
                <w:rFonts w:eastAsia="Calibri" w:cs="Calibri Light"/>
                <w:sz w:val="14"/>
                <w:szCs w:val="14"/>
              </w:rPr>
              <w:t>utworzenie centrum edukacyjnego ochrony bioróżnorodności „Parkowa”</w:t>
            </w:r>
          </w:p>
          <w:p w14:paraId="3CCFEF7D" w14:textId="77777777" w:rsidR="00C57017" w:rsidRPr="00C81289" w:rsidRDefault="00EE73F1">
            <w:pPr>
              <w:numPr>
                <w:ilvl w:val="0"/>
                <w:numId w:val="49"/>
              </w:numPr>
              <w:spacing w:after="0" w:line="259" w:lineRule="auto"/>
              <w:ind w:left="117" w:hanging="117"/>
              <w:jc w:val="left"/>
              <w:rPr>
                <w:rFonts w:eastAsia="Calibri" w:cs="Calibri Light"/>
                <w:sz w:val="14"/>
                <w:szCs w:val="14"/>
              </w:rPr>
            </w:pPr>
            <w:r w:rsidRPr="00C81289">
              <w:rPr>
                <w:rFonts w:eastAsia="Calibri" w:cs="Calibri Light"/>
                <w:sz w:val="14"/>
                <w:szCs w:val="14"/>
              </w:rPr>
              <w:t xml:space="preserve">utworzenie miejsc lęgowych dla gatunków ptaków podlegających ochronie poprzez remont amfiteatru </w:t>
            </w:r>
          </w:p>
          <w:p w14:paraId="102364CE" w14:textId="77777777" w:rsidR="00C57017" w:rsidRPr="00C81289" w:rsidRDefault="00EE73F1">
            <w:pPr>
              <w:numPr>
                <w:ilvl w:val="0"/>
                <w:numId w:val="49"/>
              </w:numPr>
              <w:spacing w:after="0" w:line="259" w:lineRule="auto"/>
              <w:ind w:left="117" w:hanging="117"/>
              <w:jc w:val="left"/>
              <w:rPr>
                <w:rFonts w:eastAsia="Calibri" w:cs="Calibri Light"/>
                <w:sz w:val="14"/>
                <w:szCs w:val="14"/>
              </w:rPr>
            </w:pPr>
            <w:r w:rsidRPr="00C81289">
              <w:rPr>
                <w:rFonts w:eastAsia="Calibri" w:cs="Calibri Light"/>
                <w:sz w:val="14"/>
                <w:szCs w:val="14"/>
              </w:rPr>
              <w:t>zagospodarowanie wyspy na dużym stawie (drewniane leżaki, alejka z nawierzchni mineralnej i oświetlenie niskimi słupkami) oraz budowa kładki na wyspę</w:t>
            </w:r>
          </w:p>
          <w:p w14:paraId="38DEF6DF" w14:textId="77777777" w:rsidR="00C57017" w:rsidRPr="00C81289" w:rsidRDefault="00EE73F1">
            <w:pPr>
              <w:numPr>
                <w:ilvl w:val="0"/>
                <w:numId w:val="49"/>
              </w:numPr>
              <w:spacing w:line="259" w:lineRule="auto"/>
              <w:ind w:left="119" w:hanging="119"/>
              <w:jc w:val="left"/>
              <w:rPr>
                <w:rFonts w:eastAsia="Calibri" w:cs="Calibri Light"/>
                <w:sz w:val="14"/>
                <w:szCs w:val="14"/>
              </w:rPr>
            </w:pPr>
            <w:r w:rsidRPr="00C81289">
              <w:rPr>
                <w:rFonts w:eastAsia="Calibri" w:cs="Calibri Light"/>
                <w:sz w:val="14"/>
                <w:szCs w:val="14"/>
              </w:rPr>
              <w:t xml:space="preserve">remont placu zabaw (wymiana urządzeń do zabaw – wykonane z drewna naturalnego, ekologiczne) </w:t>
            </w:r>
          </w:p>
        </w:tc>
      </w:tr>
      <w:tr w:rsidR="00C81289" w:rsidRPr="00C81289" w14:paraId="15468246" w14:textId="77777777" w:rsidTr="00E717A0">
        <w:tc>
          <w:tcPr>
            <w:tcW w:w="428" w:type="dxa"/>
            <w:vAlign w:val="center"/>
          </w:tcPr>
          <w:p w14:paraId="2559DB86" w14:textId="35613F60"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24</w:t>
            </w:r>
            <w:r w:rsidR="00C81289" w:rsidRPr="00C81289">
              <w:rPr>
                <w:rFonts w:eastAsia="Calibri" w:cs="Times New Roman"/>
                <w:sz w:val="14"/>
                <w:szCs w:val="14"/>
                <w:lang w:bidi="en-US"/>
              </w:rPr>
              <w:t>.</w:t>
            </w:r>
          </w:p>
        </w:tc>
        <w:tc>
          <w:tcPr>
            <w:tcW w:w="1534" w:type="dxa"/>
            <w:vAlign w:val="center"/>
          </w:tcPr>
          <w:p w14:paraId="034777FA" w14:textId="61C5001E"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2.3</w:t>
            </w:r>
            <w:r w:rsidR="0037203D">
              <w:rPr>
                <w:rFonts w:eastAsia="Calibri" w:cs="Calibri Light"/>
                <w:sz w:val="14"/>
                <w:szCs w:val="14"/>
              </w:rPr>
              <w:t xml:space="preserve">. </w:t>
            </w:r>
            <w:r w:rsidR="0037203D" w:rsidRPr="0037203D">
              <w:rPr>
                <w:rFonts w:eastAsia="Calibri" w:cs="Calibri Light"/>
                <w:sz w:val="14"/>
                <w:szCs w:val="14"/>
              </w:rPr>
              <w:t>Wspieranie efektywności energetycznej i odnawialnych źródeł energii</w:t>
            </w:r>
          </w:p>
        </w:tc>
        <w:tc>
          <w:tcPr>
            <w:tcW w:w="2268" w:type="dxa"/>
            <w:vAlign w:val="center"/>
          </w:tcPr>
          <w:p w14:paraId="67D2728E"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Solarne słupy informacyjno-ogłoszeniowe na terenie miasta Opole Lubelskie</w:t>
            </w:r>
          </w:p>
        </w:tc>
        <w:tc>
          <w:tcPr>
            <w:tcW w:w="1196" w:type="dxa"/>
            <w:vAlign w:val="center"/>
          </w:tcPr>
          <w:p w14:paraId="0F81AF65"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Gmina Opole Lubelskie</w:t>
            </w:r>
          </w:p>
        </w:tc>
        <w:tc>
          <w:tcPr>
            <w:tcW w:w="8585" w:type="dxa"/>
            <w:vAlign w:val="center"/>
          </w:tcPr>
          <w:p w14:paraId="7D327F31"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Zakres projektu obejmuje zakup i montaż słupów ogłoszeniowych zasilanych panelami słonecznymi </w:t>
            </w:r>
          </w:p>
        </w:tc>
      </w:tr>
      <w:tr w:rsidR="00C81289" w:rsidRPr="00C81289" w14:paraId="5A07AA53" w14:textId="77777777" w:rsidTr="00E717A0">
        <w:tc>
          <w:tcPr>
            <w:tcW w:w="428" w:type="dxa"/>
            <w:vAlign w:val="center"/>
          </w:tcPr>
          <w:p w14:paraId="4D007A7D" w14:textId="199D9ED2"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25</w:t>
            </w:r>
            <w:r w:rsidR="00C81289" w:rsidRPr="00C81289">
              <w:rPr>
                <w:rFonts w:eastAsia="Calibri" w:cs="Times New Roman"/>
                <w:sz w:val="14"/>
                <w:szCs w:val="14"/>
                <w:lang w:bidi="en-US"/>
              </w:rPr>
              <w:t>.</w:t>
            </w:r>
          </w:p>
        </w:tc>
        <w:tc>
          <w:tcPr>
            <w:tcW w:w="1534" w:type="dxa"/>
            <w:vAlign w:val="center"/>
          </w:tcPr>
          <w:p w14:paraId="2667FD0E" w14:textId="3E6CB8B8"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2.3</w:t>
            </w:r>
            <w:r w:rsidR="0037203D">
              <w:rPr>
                <w:rFonts w:eastAsia="Calibri" w:cs="Calibri Light"/>
                <w:sz w:val="14"/>
                <w:szCs w:val="14"/>
              </w:rPr>
              <w:t xml:space="preserve">. </w:t>
            </w:r>
            <w:r w:rsidR="0037203D" w:rsidRPr="0037203D">
              <w:rPr>
                <w:rFonts w:eastAsia="Calibri" w:cs="Calibri Light"/>
                <w:sz w:val="14"/>
                <w:szCs w:val="14"/>
              </w:rPr>
              <w:t>Wspieranie efektywności energetycznej i odnawialnych źródeł energii</w:t>
            </w:r>
          </w:p>
        </w:tc>
        <w:tc>
          <w:tcPr>
            <w:tcW w:w="2268" w:type="dxa"/>
            <w:vAlign w:val="center"/>
          </w:tcPr>
          <w:p w14:paraId="7E63CE49"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Budowa instalacji odnawialnych źródeł energii na budynkach użyteczności publicznej </w:t>
            </w:r>
          </w:p>
        </w:tc>
        <w:tc>
          <w:tcPr>
            <w:tcW w:w="1196" w:type="dxa"/>
            <w:vAlign w:val="center"/>
          </w:tcPr>
          <w:p w14:paraId="55EDBC4E"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Gmina Opole Lubelskie </w:t>
            </w:r>
          </w:p>
        </w:tc>
        <w:tc>
          <w:tcPr>
            <w:tcW w:w="8585" w:type="dxa"/>
            <w:vAlign w:val="center"/>
          </w:tcPr>
          <w:p w14:paraId="1C5DEADC"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Zakres projektu obejmuje budowę instalacji fotowoltaicznych na budynkach szkół, świetlic wiejskich i budynkach administracji publicznej, instalację kolektorów słonecznych oraz pomp ciepła </w:t>
            </w:r>
          </w:p>
        </w:tc>
      </w:tr>
      <w:tr w:rsidR="00C81289" w:rsidRPr="00C81289" w14:paraId="5B2110DF" w14:textId="77777777" w:rsidTr="00E717A0">
        <w:tc>
          <w:tcPr>
            <w:tcW w:w="428" w:type="dxa"/>
            <w:vAlign w:val="center"/>
          </w:tcPr>
          <w:p w14:paraId="731E1907" w14:textId="5FB02E03"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26</w:t>
            </w:r>
            <w:r w:rsidR="00C81289" w:rsidRPr="00C81289">
              <w:rPr>
                <w:rFonts w:eastAsia="Calibri" w:cs="Times New Roman"/>
                <w:sz w:val="14"/>
                <w:szCs w:val="14"/>
                <w:lang w:bidi="en-US"/>
              </w:rPr>
              <w:t>.</w:t>
            </w:r>
          </w:p>
        </w:tc>
        <w:tc>
          <w:tcPr>
            <w:tcW w:w="1534" w:type="dxa"/>
            <w:vAlign w:val="center"/>
          </w:tcPr>
          <w:p w14:paraId="64B30A71" w14:textId="0D0DFBB7"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2.3</w:t>
            </w:r>
            <w:r w:rsidR="0037203D">
              <w:rPr>
                <w:rFonts w:eastAsia="Calibri" w:cs="Calibri Light"/>
                <w:sz w:val="14"/>
                <w:szCs w:val="14"/>
              </w:rPr>
              <w:t xml:space="preserve">. </w:t>
            </w:r>
            <w:r w:rsidR="0037203D" w:rsidRPr="0037203D">
              <w:rPr>
                <w:rFonts w:eastAsia="Calibri" w:cs="Calibri Light"/>
                <w:sz w:val="14"/>
                <w:szCs w:val="14"/>
              </w:rPr>
              <w:t>Wspieranie efektywności energetycznej i odnawialnych źródeł energii</w:t>
            </w:r>
          </w:p>
        </w:tc>
        <w:tc>
          <w:tcPr>
            <w:tcW w:w="2268" w:type="dxa"/>
            <w:vAlign w:val="center"/>
          </w:tcPr>
          <w:p w14:paraId="43A47647"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Budowa instalacji odnawialnych źródeł energii na budynkach prywatnych</w:t>
            </w:r>
          </w:p>
        </w:tc>
        <w:tc>
          <w:tcPr>
            <w:tcW w:w="1196" w:type="dxa"/>
            <w:vAlign w:val="center"/>
          </w:tcPr>
          <w:p w14:paraId="175A6AD8"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Gmina Opole Lubelskie</w:t>
            </w:r>
          </w:p>
        </w:tc>
        <w:tc>
          <w:tcPr>
            <w:tcW w:w="8585" w:type="dxa"/>
            <w:vAlign w:val="center"/>
          </w:tcPr>
          <w:p w14:paraId="02C1AD46"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Zakres projektu obejmuje budowę instalacji fotowoltaicznych na budynkach prywatnych mieszkańców Gminy Opole Lubelskie </w:t>
            </w:r>
          </w:p>
        </w:tc>
      </w:tr>
      <w:tr w:rsidR="00C81289" w:rsidRPr="00C81289" w14:paraId="190D948D" w14:textId="77777777" w:rsidTr="00E717A0">
        <w:tc>
          <w:tcPr>
            <w:tcW w:w="428" w:type="dxa"/>
            <w:vAlign w:val="center"/>
          </w:tcPr>
          <w:p w14:paraId="1E912EEE" w14:textId="29D80229"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27</w:t>
            </w:r>
            <w:r w:rsidR="00C81289" w:rsidRPr="00C81289">
              <w:rPr>
                <w:rFonts w:eastAsia="Calibri" w:cs="Times New Roman"/>
                <w:sz w:val="14"/>
                <w:szCs w:val="14"/>
                <w:lang w:bidi="en-US"/>
              </w:rPr>
              <w:t>.</w:t>
            </w:r>
          </w:p>
        </w:tc>
        <w:tc>
          <w:tcPr>
            <w:tcW w:w="1534" w:type="dxa"/>
            <w:vAlign w:val="center"/>
          </w:tcPr>
          <w:p w14:paraId="42C22ADD" w14:textId="7C8A0E46"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2.3</w:t>
            </w:r>
            <w:r w:rsidR="0037203D">
              <w:rPr>
                <w:rFonts w:eastAsia="Calibri" w:cs="Calibri Light"/>
                <w:sz w:val="14"/>
                <w:szCs w:val="14"/>
              </w:rPr>
              <w:t xml:space="preserve">. </w:t>
            </w:r>
            <w:r w:rsidR="0037203D" w:rsidRPr="0037203D">
              <w:rPr>
                <w:rFonts w:eastAsia="Calibri" w:cs="Calibri Light"/>
                <w:sz w:val="14"/>
                <w:szCs w:val="14"/>
              </w:rPr>
              <w:t xml:space="preserve">Wspieranie efektywności energetycznej i </w:t>
            </w:r>
            <w:r w:rsidR="0037203D" w:rsidRPr="0037203D">
              <w:rPr>
                <w:rFonts w:eastAsia="Calibri" w:cs="Calibri Light"/>
                <w:sz w:val="14"/>
                <w:szCs w:val="14"/>
              </w:rPr>
              <w:lastRenderedPageBreak/>
              <w:t>odnawialnych źródeł energii</w:t>
            </w:r>
          </w:p>
        </w:tc>
        <w:tc>
          <w:tcPr>
            <w:tcW w:w="2268" w:type="dxa"/>
            <w:vAlign w:val="center"/>
          </w:tcPr>
          <w:p w14:paraId="2DF34849"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lastRenderedPageBreak/>
              <w:t>Wymiana źródeł ciepła w budynkach jednorodzinnych na terenie Gminy Opole Lubelskie</w:t>
            </w:r>
          </w:p>
        </w:tc>
        <w:tc>
          <w:tcPr>
            <w:tcW w:w="1196" w:type="dxa"/>
            <w:vAlign w:val="center"/>
          </w:tcPr>
          <w:p w14:paraId="6928F6DA"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Gmina Opole Lubelskie</w:t>
            </w:r>
          </w:p>
        </w:tc>
        <w:tc>
          <w:tcPr>
            <w:tcW w:w="8585" w:type="dxa"/>
            <w:vAlign w:val="center"/>
          </w:tcPr>
          <w:p w14:paraId="6392FD55"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Projekt obejmuje wymianę indywidualnych systemów węglowych na efektywne jednostki grzewcze, w tym pompy ciepła w celu ograniczenia emisji zanieczyszczeń powstających ze spalania paliw na potrzeby ogrzewania obiektów mieszkalnych na terenie Gminy Opole Lubelskie. </w:t>
            </w:r>
          </w:p>
        </w:tc>
      </w:tr>
      <w:tr w:rsidR="00C81289" w:rsidRPr="00C81289" w14:paraId="390AAC27" w14:textId="77777777" w:rsidTr="00E717A0">
        <w:tc>
          <w:tcPr>
            <w:tcW w:w="428" w:type="dxa"/>
            <w:vAlign w:val="center"/>
          </w:tcPr>
          <w:p w14:paraId="3908A390" w14:textId="0FF18E5C" w:rsidR="00C81289" w:rsidRPr="00C81289" w:rsidRDefault="00C81289" w:rsidP="00C81289">
            <w:pPr>
              <w:spacing w:after="0" w:line="259" w:lineRule="auto"/>
              <w:jc w:val="center"/>
              <w:rPr>
                <w:rFonts w:eastAsia="Calibri" w:cs="Times New Roman"/>
                <w:sz w:val="14"/>
                <w:szCs w:val="14"/>
                <w:lang w:bidi="en-US"/>
              </w:rPr>
            </w:pPr>
            <w:r w:rsidRPr="00C81289">
              <w:rPr>
                <w:rFonts w:eastAsia="Calibri" w:cs="Times New Roman"/>
                <w:sz w:val="14"/>
                <w:szCs w:val="14"/>
                <w:lang w:bidi="en-US"/>
              </w:rPr>
              <w:t>2</w:t>
            </w:r>
            <w:r w:rsidR="000508B8">
              <w:rPr>
                <w:rFonts w:eastAsia="Calibri" w:cs="Times New Roman"/>
                <w:sz w:val="14"/>
                <w:szCs w:val="14"/>
                <w:lang w:bidi="en-US"/>
              </w:rPr>
              <w:t>8</w:t>
            </w:r>
            <w:r w:rsidRPr="00C81289">
              <w:rPr>
                <w:rFonts w:eastAsia="Calibri" w:cs="Times New Roman"/>
                <w:sz w:val="14"/>
                <w:szCs w:val="14"/>
                <w:lang w:bidi="en-US"/>
              </w:rPr>
              <w:t>.</w:t>
            </w:r>
          </w:p>
        </w:tc>
        <w:tc>
          <w:tcPr>
            <w:tcW w:w="1534" w:type="dxa"/>
            <w:vAlign w:val="center"/>
          </w:tcPr>
          <w:p w14:paraId="1B77A9F3" w14:textId="1C4D5FE1"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2.3</w:t>
            </w:r>
            <w:r w:rsidR="0037203D">
              <w:rPr>
                <w:rFonts w:eastAsia="Calibri" w:cs="Calibri Light"/>
                <w:sz w:val="14"/>
                <w:szCs w:val="14"/>
              </w:rPr>
              <w:t xml:space="preserve">. </w:t>
            </w:r>
            <w:r w:rsidR="0037203D" w:rsidRPr="0037203D">
              <w:rPr>
                <w:rFonts w:eastAsia="Calibri" w:cs="Calibri Light"/>
                <w:sz w:val="14"/>
                <w:szCs w:val="14"/>
              </w:rPr>
              <w:t>Wspieranie efektywności energetycznej i odnawialnych źródeł energii</w:t>
            </w:r>
          </w:p>
        </w:tc>
        <w:tc>
          <w:tcPr>
            <w:tcW w:w="2268" w:type="dxa"/>
            <w:vAlign w:val="center"/>
          </w:tcPr>
          <w:p w14:paraId="58BF9290"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Termomodernizacja budynku przy ul. Ogrodowej 9</w:t>
            </w:r>
          </w:p>
        </w:tc>
        <w:tc>
          <w:tcPr>
            <w:tcW w:w="1196" w:type="dxa"/>
            <w:vAlign w:val="center"/>
          </w:tcPr>
          <w:p w14:paraId="48667C7F"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Centrum Usług Społecznych</w:t>
            </w:r>
          </w:p>
        </w:tc>
        <w:tc>
          <w:tcPr>
            <w:tcW w:w="8585" w:type="dxa"/>
            <w:vAlign w:val="center"/>
          </w:tcPr>
          <w:p w14:paraId="1EC2FA57"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Termomodernizacja oraz remont budynku Siedziny Centrum Usług Społecznych przy ul. Ogrodowej 9 wraz z wykorzystaniem OZE</w:t>
            </w:r>
          </w:p>
        </w:tc>
      </w:tr>
      <w:tr w:rsidR="00E717A0" w:rsidRPr="00C81289" w14:paraId="7269629A" w14:textId="77777777" w:rsidTr="00E717A0">
        <w:tc>
          <w:tcPr>
            <w:tcW w:w="428" w:type="dxa"/>
            <w:vAlign w:val="center"/>
          </w:tcPr>
          <w:p w14:paraId="074402E4" w14:textId="413375D8" w:rsidR="00E717A0" w:rsidRPr="00C81289" w:rsidRDefault="00E717A0" w:rsidP="00C81289">
            <w:pPr>
              <w:spacing w:after="0" w:line="259" w:lineRule="auto"/>
              <w:jc w:val="center"/>
              <w:rPr>
                <w:rFonts w:eastAsia="Calibri" w:cs="Times New Roman"/>
                <w:sz w:val="14"/>
                <w:szCs w:val="14"/>
                <w:lang w:bidi="en-US"/>
              </w:rPr>
            </w:pPr>
            <w:r>
              <w:rPr>
                <w:rFonts w:eastAsia="Calibri" w:cs="Times New Roman"/>
                <w:sz w:val="14"/>
                <w:szCs w:val="14"/>
                <w:lang w:bidi="en-US"/>
              </w:rPr>
              <w:t>29.</w:t>
            </w:r>
          </w:p>
        </w:tc>
        <w:tc>
          <w:tcPr>
            <w:tcW w:w="1534" w:type="dxa"/>
            <w:vAlign w:val="center"/>
          </w:tcPr>
          <w:p w14:paraId="572FA830" w14:textId="7ED8B13D" w:rsidR="00E717A0" w:rsidRPr="00C81289" w:rsidRDefault="00E717A0" w:rsidP="007F76CD">
            <w:pPr>
              <w:spacing w:before="120" w:line="259" w:lineRule="auto"/>
              <w:jc w:val="left"/>
              <w:rPr>
                <w:rFonts w:eastAsia="Calibri" w:cs="Calibri Light"/>
                <w:sz w:val="14"/>
                <w:szCs w:val="14"/>
              </w:rPr>
            </w:pPr>
            <w:r w:rsidRPr="00C81289">
              <w:rPr>
                <w:rFonts w:eastAsia="Calibri" w:cs="Calibri Light"/>
                <w:sz w:val="14"/>
                <w:szCs w:val="14"/>
              </w:rPr>
              <w:t>2.3</w:t>
            </w:r>
            <w:r>
              <w:rPr>
                <w:rFonts w:eastAsia="Calibri" w:cs="Calibri Light"/>
                <w:sz w:val="14"/>
                <w:szCs w:val="14"/>
              </w:rPr>
              <w:t xml:space="preserve">. </w:t>
            </w:r>
            <w:r w:rsidRPr="0037203D">
              <w:rPr>
                <w:rFonts w:eastAsia="Calibri" w:cs="Calibri Light"/>
                <w:sz w:val="14"/>
                <w:szCs w:val="14"/>
              </w:rPr>
              <w:t>Wspieranie efektywności energetycznej i odnawialnych źródeł energii</w:t>
            </w:r>
          </w:p>
        </w:tc>
        <w:tc>
          <w:tcPr>
            <w:tcW w:w="2268" w:type="dxa"/>
            <w:vAlign w:val="center"/>
          </w:tcPr>
          <w:p w14:paraId="5A541E97" w14:textId="1B6C3AC7" w:rsidR="00E717A0" w:rsidRPr="00C81289" w:rsidRDefault="00E717A0" w:rsidP="00C81289">
            <w:pPr>
              <w:spacing w:before="120" w:line="259" w:lineRule="auto"/>
              <w:jc w:val="left"/>
              <w:rPr>
                <w:rFonts w:eastAsia="Calibri" w:cs="Calibri Light"/>
                <w:sz w:val="14"/>
                <w:szCs w:val="14"/>
              </w:rPr>
            </w:pPr>
            <w:r w:rsidRPr="00E717A0">
              <w:rPr>
                <w:rFonts w:eastAsia="Calibri" w:cs="Calibri Light"/>
                <w:sz w:val="14"/>
                <w:szCs w:val="14"/>
              </w:rPr>
              <w:t>Termomodernizacja szkół na terenie Gminy Opole Lubelskie</w:t>
            </w:r>
          </w:p>
        </w:tc>
        <w:tc>
          <w:tcPr>
            <w:tcW w:w="1196" w:type="dxa"/>
            <w:vAlign w:val="center"/>
          </w:tcPr>
          <w:p w14:paraId="682668EF" w14:textId="6FEE5C61" w:rsidR="00E717A0" w:rsidRPr="00C81289" w:rsidRDefault="00E717A0" w:rsidP="00C81289">
            <w:pPr>
              <w:spacing w:after="0" w:line="259" w:lineRule="auto"/>
              <w:jc w:val="left"/>
              <w:rPr>
                <w:rFonts w:eastAsia="Calibri" w:cs="Calibri Light"/>
                <w:sz w:val="14"/>
                <w:szCs w:val="14"/>
              </w:rPr>
            </w:pPr>
            <w:r w:rsidRPr="00E717A0">
              <w:rPr>
                <w:rFonts w:eastAsia="Calibri" w:cs="Calibri Light"/>
                <w:sz w:val="14"/>
                <w:szCs w:val="14"/>
              </w:rPr>
              <w:t>Gmina Opole Lubelskie</w:t>
            </w:r>
          </w:p>
        </w:tc>
        <w:tc>
          <w:tcPr>
            <w:tcW w:w="8585" w:type="dxa"/>
            <w:vAlign w:val="center"/>
          </w:tcPr>
          <w:p w14:paraId="2494901D" w14:textId="4DF7CC20" w:rsidR="00E717A0" w:rsidRPr="00C81289" w:rsidRDefault="00E717A0" w:rsidP="00C81289">
            <w:pPr>
              <w:spacing w:after="0" w:line="259" w:lineRule="auto"/>
              <w:jc w:val="left"/>
              <w:rPr>
                <w:rFonts w:eastAsia="Calibri" w:cs="Calibri Light"/>
                <w:sz w:val="14"/>
                <w:szCs w:val="14"/>
              </w:rPr>
            </w:pPr>
            <w:r w:rsidRPr="00E717A0">
              <w:rPr>
                <w:rFonts w:eastAsia="Calibri" w:cs="Calibri Light"/>
                <w:sz w:val="14"/>
                <w:szCs w:val="14"/>
              </w:rPr>
              <w:t>Zakres projektu obejmował będzie termomodernizację budynków, wymianę źródeł ciepła oraz miał na celu poprawę efektywności energetycznej szkół.</w:t>
            </w:r>
          </w:p>
        </w:tc>
      </w:tr>
      <w:tr w:rsidR="00C81289" w:rsidRPr="00C81289" w14:paraId="6F784D39" w14:textId="77777777" w:rsidTr="00E717A0">
        <w:tc>
          <w:tcPr>
            <w:tcW w:w="428" w:type="dxa"/>
            <w:vAlign w:val="center"/>
          </w:tcPr>
          <w:p w14:paraId="697B381F" w14:textId="669B1087" w:rsidR="00C81289" w:rsidRPr="00C81289" w:rsidRDefault="00E717A0" w:rsidP="00C81289">
            <w:pPr>
              <w:spacing w:after="0" w:line="259" w:lineRule="auto"/>
              <w:jc w:val="center"/>
              <w:rPr>
                <w:rFonts w:eastAsia="Calibri" w:cs="Times New Roman"/>
                <w:sz w:val="14"/>
                <w:szCs w:val="14"/>
                <w:lang w:bidi="en-US"/>
              </w:rPr>
            </w:pPr>
            <w:r>
              <w:rPr>
                <w:rFonts w:eastAsia="Calibri" w:cs="Times New Roman"/>
                <w:sz w:val="14"/>
                <w:szCs w:val="14"/>
                <w:lang w:bidi="en-US"/>
              </w:rPr>
              <w:t>30.</w:t>
            </w:r>
          </w:p>
        </w:tc>
        <w:tc>
          <w:tcPr>
            <w:tcW w:w="1534" w:type="dxa"/>
            <w:vAlign w:val="center"/>
          </w:tcPr>
          <w:p w14:paraId="3724E2F1" w14:textId="46CF5D9F"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2.4</w:t>
            </w:r>
            <w:r w:rsidR="0037203D">
              <w:rPr>
                <w:rFonts w:eastAsia="Calibri" w:cs="Calibri Light"/>
                <w:sz w:val="14"/>
                <w:szCs w:val="14"/>
              </w:rPr>
              <w:t xml:space="preserve">. </w:t>
            </w:r>
            <w:r w:rsidR="003644CE" w:rsidRPr="003644CE">
              <w:rPr>
                <w:rFonts w:eastAsia="Calibri" w:cs="Calibri Light"/>
                <w:sz w:val="14"/>
                <w:szCs w:val="14"/>
              </w:rPr>
              <w:t>Poprawa jakość i dostępności infrastruktury rekreacyjnej i sportowej</w:t>
            </w:r>
          </w:p>
        </w:tc>
        <w:tc>
          <w:tcPr>
            <w:tcW w:w="2268" w:type="dxa"/>
            <w:vAlign w:val="center"/>
          </w:tcPr>
          <w:p w14:paraId="1D22FDB0"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Budowa krytej pływalni na terenie Gminy Opole Lubelskie</w:t>
            </w:r>
          </w:p>
        </w:tc>
        <w:tc>
          <w:tcPr>
            <w:tcW w:w="1196" w:type="dxa"/>
            <w:vAlign w:val="center"/>
          </w:tcPr>
          <w:p w14:paraId="626AFD03"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Gmina Opole Lubelskie</w:t>
            </w:r>
          </w:p>
        </w:tc>
        <w:tc>
          <w:tcPr>
            <w:tcW w:w="8585" w:type="dxa"/>
            <w:vAlign w:val="center"/>
          </w:tcPr>
          <w:p w14:paraId="3D793F25"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Realizacja projektu zakłada budowę basenu miejskiego na terenie miasta Opole Lubelskie wraz z infrastrukturą towarzyszącą. </w:t>
            </w:r>
          </w:p>
        </w:tc>
      </w:tr>
      <w:tr w:rsidR="00C81289" w:rsidRPr="00C81289" w14:paraId="19B3DB33" w14:textId="77777777" w:rsidTr="00E717A0">
        <w:tc>
          <w:tcPr>
            <w:tcW w:w="428" w:type="dxa"/>
            <w:vAlign w:val="center"/>
          </w:tcPr>
          <w:p w14:paraId="75377B4A" w14:textId="5B866F14"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3</w:t>
            </w:r>
            <w:r w:rsidR="00E717A0">
              <w:rPr>
                <w:rFonts w:eastAsia="Calibri" w:cs="Times New Roman"/>
                <w:sz w:val="14"/>
                <w:szCs w:val="14"/>
                <w:lang w:bidi="en-US"/>
              </w:rPr>
              <w:t>1</w:t>
            </w:r>
            <w:r w:rsidR="00C81289" w:rsidRPr="00C81289">
              <w:rPr>
                <w:rFonts w:eastAsia="Calibri" w:cs="Times New Roman"/>
                <w:sz w:val="14"/>
                <w:szCs w:val="14"/>
                <w:lang w:bidi="en-US"/>
              </w:rPr>
              <w:t>.</w:t>
            </w:r>
          </w:p>
        </w:tc>
        <w:tc>
          <w:tcPr>
            <w:tcW w:w="1534" w:type="dxa"/>
            <w:vAlign w:val="center"/>
          </w:tcPr>
          <w:p w14:paraId="6C81C230" w14:textId="77B3AFE2"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2.5</w:t>
            </w:r>
            <w:r w:rsidR="0037203D">
              <w:rPr>
                <w:rFonts w:eastAsia="Calibri" w:cs="Calibri Light"/>
                <w:sz w:val="14"/>
                <w:szCs w:val="14"/>
              </w:rPr>
              <w:t>.</w:t>
            </w:r>
            <w:r w:rsidR="003644CE">
              <w:rPr>
                <w:rFonts w:eastAsia="Calibri" w:cs="Calibri Light"/>
                <w:sz w:val="14"/>
                <w:szCs w:val="14"/>
              </w:rPr>
              <w:t xml:space="preserve"> </w:t>
            </w:r>
            <w:r w:rsidR="003644CE" w:rsidRPr="003644CE">
              <w:rPr>
                <w:rFonts w:eastAsia="Calibri" w:cs="Calibri Light"/>
                <w:sz w:val="14"/>
                <w:szCs w:val="14"/>
              </w:rPr>
              <w:t>Wspieranie gospodarki o obiegu zamkniętym</w:t>
            </w:r>
          </w:p>
        </w:tc>
        <w:tc>
          <w:tcPr>
            <w:tcW w:w="2268" w:type="dxa"/>
            <w:vAlign w:val="center"/>
          </w:tcPr>
          <w:p w14:paraId="49039277"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Modernizacja Punktu Selektywnej Zbiórki Odpadów Komunalnych </w:t>
            </w:r>
          </w:p>
        </w:tc>
        <w:tc>
          <w:tcPr>
            <w:tcW w:w="1196" w:type="dxa"/>
            <w:vAlign w:val="center"/>
          </w:tcPr>
          <w:p w14:paraId="2916AFC8"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Gmina Opole Lubelskie</w:t>
            </w:r>
          </w:p>
        </w:tc>
        <w:tc>
          <w:tcPr>
            <w:tcW w:w="8585" w:type="dxa"/>
            <w:vAlign w:val="center"/>
          </w:tcPr>
          <w:p w14:paraId="6662493F" w14:textId="77777777" w:rsidR="00C81289" w:rsidRPr="00C81289" w:rsidRDefault="00C81289" w:rsidP="00C81289">
            <w:pPr>
              <w:spacing w:before="120" w:after="0" w:line="259" w:lineRule="auto"/>
              <w:jc w:val="left"/>
              <w:rPr>
                <w:rFonts w:eastAsia="Calibri" w:cs="Calibri Light"/>
                <w:sz w:val="14"/>
                <w:szCs w:val="14"/>
              </w:rPr>
            </w:pPr>
            <w:r w:rsidRPr="00C81289">
              <w:rPr>
                <w:rFonts w:eastAsia="Calibri" w:cs="Calibri Light"/>
                <w:sz w:val="14"/>
                <w:szCs w:val="14"/>
              </w:rPr>
              <w:t>Zakres zadania obejmował będzie modernizację Punktu Selektywnej Zbiórki Odpadów Komunalnych (PSZOK) w miejscowości Ożarów II wraz z wymianą wyposażenia:</w:t>
            </w:r>
          </w:p>
          <w:p w14:paraId="63A0DB90" w14:textId="77777777" w:rsidR="00C57017" w:rsidRPr="00C81289" w:rsidRDefault="00EE73F1">
            <w:pPr>
              <w:numPr>
                <w:ilvl w:val="0"/>
                <w:numId w:val="50"/>
              </w:numPr>
              <w:spacing w:after="0" w:line="259" w:lineRule="auto"/>
              <w:ind w:left="117" w:hanging="117"/>
              <w:jc w:val="left"/>
              <w:rPr>
                <w:rFonts w:eastAsia="Calibri" w:cs="Times New Roman"/>
                <w:sz w:val="14"/>
                <w:szCs w:val="14"/>
                <w:lang w:bidi="en-US"/>
              </w:rPr>
            </w:pPr>
            <w:r w:rsidRPr="00C81289">
              <w:rPr>
                <w:rFonts w:eastAsia="Calibri" w:cs="Times New Roman"/>
                <w:sz w:val="14"/>
                <w:szCs w:val="14"/>
                <w:lang w:bidi="en-US"/>
              </w:rPr>
              <w:t>zakup niezbędnego wyposażenia do prawidłowego funkcjonowania PSZOK tj: kontenery KP 7, pojemniki na odpady; (1100 l., 240 l., pojemniki PET, pojemniki na odpady niebezpieczne, leki, baterie);</w:t>
            </w:r>
          </w:p>
          <w:p w14:paraId="2D140FCF" w14:textId="77777777" w:rsidR="00C57017" w:rsidRPr="00C81289" w:rsidRDefault="00EE73F1">
            <w:pPr>
              <w:numPr>
                <w:ilvl w:val="0"/>
                <w:numId w:val="50"/>
              </w:numPr>
              <w:spacing w:after="0" w:line="259" w:lineRule="auto"/>
              <w:ind w:left="117" w:hanging="117"/>
              <w:jc w:val="left"/>
              <w:rPr>
                <w:rFonts w:eastAsia="Calibri" w:cs="Times New Roman"/>
                <w:sz w:val="14"/>
                <w:szCs w:val="14"/>
                <w:lang w:bidi="en-US"/>
              </w:rPr>
            </w:pPr>
            <w:r w:rsidRPr="00C81289">
              <w:rPr>
                <w:rFonts w:eastAsia="Calibri" w:cs="Times New Roman"/>
                <w:sz w:val="14"/>
                <w:szCs w:val="14"/>
                <w:lang w:bidi="en-US"/>
              </w:rPr>
              <w:t>remont drogi dojazdowej do PSZOK (zmiana nawierzchni) ok. 200 m;</w:t>
            </w:r>
          </w:p>
          <w:p w14:paraId="75AF52A2" w14:textId="77777777" w:rsidR="00C57017" w:rsidRPr="00C81289" w:rsidRDefault="00EE73F1">
            <w:pPr>
              <w:numPr>
                <w:ilvl w:val="0"/>
                <w:numId w:val="50"/>
              </w:numPr>
              <w:spacing w:after="0" w:line="259" w:lineRule="auto"/>
              <w:ind w:left="117" w:hanging="117"/>
              <w:jc w:val="left"/>
              <w:rPr>
                <w:rFonts w:eastAsia="Calibri" w:cs="Times New Roman"/>
                <w:sz w:val="14"/>
                <w:szCs w:val="14"/>
                <w:lang w:bidi="en-US"/>
              </w:rPr>
            </w:pPr>
            <w:r w:rsidRPr="00C81289">
              <w:rPr>
                <w:rFonts w:eastAsia="Calibri" w:cs="Times New Roman"/>
                <w:sz w:val="14"/>
                <w:szCs w:val="14"/>
                <w:lang w:bidi="en-US"/>
              </w:rPr>
              <w:t>wymiana ogrodzenia obiektu ok. 1100 m;</w:t>
            </w:r>
          </w:p>
          <w:p w14:paraId="62021A45" w14:textId="77777777" w:rsidR="00C57017" w:rsidRPr="00C81289" w:rsidRDefault="00EE73F1">
            <w:pPr>
              <w:numPr>
                <w:ilvl w:val="0"/>
                <w:numId w:val="50"/>
              </w:numPr>
              <w:spacing w:after="0" w:line="259" w:lineRule="auto"/>
              <w:ind w:left="117" w:hanging="117"/>
              <w:jc w:val="left"/>
              <w:rPr>
                <w:rFonts w:eastAsia="Calibri" w:cs="Times New Roman"/>
                <w:sz w:val="14"/>
                <w:szCs w:val="14"/>
                <w:lang w:bidi="en-US"/>
              </w:rPr>
            </w:pPr>
            <w:r w:rsidRPr="00C81289">
              <w:rPr>
                <w:rFonts w:eastAsia="Calibri" w:cs="Times New Roman"/>
                <w:sz w:val="14"/>
                <w:szCs w:val="14"/>
                <w:lang w:bidi="en-US"/>
              </w:rPr>
              <w:t>modernizacja istniejącego oświetlenia (wymiana lamp);</w:t>
            </w:r>
          </w:p>
          <w:p w14:paraId="05B6A801" w14:textId="77777777" w:rsidR="00C57017" w:rsidRPr="00C81289" w:rsidRDefault="00EE73F1">
            <w:pPr>
              <w:numPr>
                <w:ilvl w:val="0"/>
                <w:numId w:val="50"/>
              </w:numPr>
              <w:spacing w:after="0" w:line="259" w:lineRule="auto"/>
              <w:ind w:left="117" w:hanging="117"/>
              <w:jc w:val="left"/>
              <w:rPr>
                <w:rFonts w:eastAsia="Calibri" w:cs="Times New Roman"/>
                <w:sz w:val="14"/>
                <w:szCs w:val="14"/>
                <w:lang w:bidi="en-US"/>
              </w:rPr>
            </w:pPr>
            <w:r w:rsidRPr="00C81289">
              <w:rPr>
                <w:rFonts w:eastAsia="Calibri" w:cs="Times New Roman"/>
                <w:sz w:val="14"/>
                <w:szCs w:val="14"/>
                <w:lang w:bidi="en-US"/>
              </w:rPr>
              <w:t>remont budynku socjalnego;</w:t>
            </w:r>
          </w:p>
          <w:p w14:paraId="4B57E729" w14:textId="77777777" w:rsidR="00C57017" w:rsidRPr="00C81289" w:rsidRDefault="00EE73F1">
            <w:pPr>
              <w:numPr>
                <w:ilvl w:val="0"/>
                <w:numId w:val="50"/>
              </w:numPr>
              <w:spacing w:after="0" w:line="259" w:lineRule="auto"/>
              <w:ind w:left="117" w:hanging="117"/>
              <w:jc w:val="left"/>
              <w:rPr>
                <w:rFonts w:eastAsia="Calibri" w:cs="Times New Roman"/>
                <w:sz w:val="14"/>
                <w:szCs w:val="14"/>
                <w:lang w:bidi="en-US"/>
              </w:rPr>
            </w:pPr>
            <w:r w:rsidRPr="00C81289">
              <w:rPr>
                <w:rFonts w:eastAsia="Calibri" w:cs="Times New Roman"/>
                <w:sz w:val="14"/>
                <w:szCs w:val="14"/>
                <w:lang w:bidi="en-US"/>
              </w:rPr>
              <w:t>wyposażenie w tablice informacyjne;</w:t>
            </w:r>
          </w:p>
          <w:p w14:paraId="064BDD99" w14:textId="77777777" w:rsidR="00C57017" w:rsidRPr="00C81289" w:rsidRDefault="00EE73F1">
            <w:pPr>
              <w:numPr>
                <w:ilvl w:val="0"/>
                <w:numId w:val="50"/>
              </w:numPr>
              <w:spacing w:after="0" w:line="259" w:lineRule="auto"/>
              <w:ind w:left="117" w:hanging="117"/>
              <w:jc w:val="left"/>
              <w:rPr>
                <w:rFonts w:eastAsia="Calibri" w:cs="Times New Roman"/>
                <w:sz w:val="14"/>
                <w:szCs w:val="14"/>
                <w:lang w:bidi="en-US"/>
              </w:rPr>
            </w:pPr>
            <w:r w:rsidRPr="00C81289">
              <w:rPr>
                <w:rFonts w:eastAsia="Calibri" w:cs="Times New Roman"/>
                <w:sz w:val="14"/>
                <w:szCs w:val="14"/>
                <w:lang w:bidi="en-US"/>
              </w:rPr>
              <w:t>zakup narzędzi służących do pielęgnacji obiektu PSZOK (kosa spalinowa, kosiarka spalinowa);</w:t>
            </w:r>
          </w:p>
          <w:p w14:paraId="2780F7EC" w14:textId="77777777" w:rsidR="00C57017" w:rsidRPr="00C81289" w:rsidRDefault="00EE73F1">
            <w:pPr>
              <w:numPr>
                <w:ilvl w:val="0"/>
                <w:numId w:val="50"/>
              </w:numPr>
              <w:spacing w:line="259" w:lineRule="auto"/>
              <w:ind w:left="119" w:hanging="119"/>
              <w:jc w:val="left"/>
              <w:rPr>
                <w:rFonts w:eastAsia="Calibri" w:cs="Times New Roman"/>
                <w:sz w:val="14"/>
                <w:szCs w:val="14"/>
                <w:lang w:bidi="en-US"/>
              </w:rPr>
            </w:pPr>
            <w:r w:rsidRPr="00C81289">
              <w:rPr>
                <w:rFonts w:eastAsia="Calibri" w:cs="Times New Roman"/>
                <w:sz w:val="14"/>
                <w:szCs w:val="14"/>
                <w:lang w:bidi="en-US"/>
              </w:rPr>
              <w:t>zakup sprzętu komputerowego niezbędnego do prowadzenia ewidencji odpadów przyjętych w PSZOK (komputer, drukarka, monitor, akcesoria komputerowe)</w:t>
            </w:r>
          </w:p>
        </w:tc>
      </w:tr>
      <w:tr w:rsidR="00C81289" w:rsidRPr="00C81289" w14:paraId="0C91F86A" w14:textId="77777777" w:rsidTr="00E717A0">
        <w:tc>
          <w:tcPr>
            <w:tcW w:w="428" w:type="dxa"/>
            <w:vAlign w:val="center"/>
          </w:tcPr>
          <w:p w14:paraId="23ECEB6D" w14:textId="3C236475"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3</w:t>
            </w:r>
            <w:r w:rsidR="00E717A0">
              <w:rPr>
                <w:rFonts w:eastAsia="Calibri" w:cs="Times New Roman"/>
                <w:sz w:val="14"/>
                <w:szCs w:val="14"/>
                <w:lang w:bidi="en-US"/>
              </w:rPr>
              <w:t>2</w:t>
            </w:r>
            <w:r w:rsidR="00C81289" w:rsidRPr="00C81289">
              <w:rPr>
                <w:rFonts w:eastAsia="Calibri" w:cs="Times New Roman"/>
                <w:sz w:val="14"/>
                <w:szCs w:val="14"/>
                <w:lang w:bidi="en-US"/>
              </w:rPr>
              <w:t>.</w:t>
            </w:r>
          </w:p>
        </w:tc>
        <w:tc>
          <w:tcPr>
            <w:tcW w:w="1534" w:type="dxa"/>
            <w:vAlign w:val="center"/>
          </w:tcPr>
          <w:p w14:paraId="53107B67" w14:textId="5A7BFC5F"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3.1</w:t>
            </w:r>
            <w:r w:rsidR="0037203D">
              <w:rPr>
                <w:rFonts w:eastAsia="Calibri" w:cs="Calibri Light"/>
                <w:sz w:val="14"/>
                <w:szCs w:val="14"/>
              </w:rPr>
              <w:t>.</w:t>
            </w:r>
            <w:r w:rsidR="003644CE">
              <w:rPr>
                <w:rFonts w:eastAsia="Calibri" w:cs="Calibri Light"/>
                <w:sz w:val="14"/>
                <w:szCs w:val="14"/>
              </w:rPr>
              <w:t xml:space="preserve"> </w:t>
            </w:r>
            <w:r w:rsidR="003644CE" w:rsidRPr="003644CE">
              <w:rPr>
                <w:rFonts w:eastAsia="Calibri" w:cs="Calibri Light"/>
                <w:sz w:val="14"/>
                <w:szCs w:val="14"/>
              </w:rPr>
              <w:t>Rozwój infrastruktury i usług turystycznych</w:t>
            </w:r>
          </w:p>
        </w:tc>
        <w:tc>
          <w:tcPr>
            <w:tcW w:w="2268" w:type="dxa"/>
            <w:vAlign w:val="center"/>
          </w:tcPr>
          <w:p w14:paraId="3A5B1135"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Budowa infrastruktury turystycznej i rekreacyjnej </w:t>
            </w:r>
          </w:p>
        </w:tc>
        <w:tc>
          <w:tcPr>
            <w:tcW w:w="1196" w:type="dxa"/>
            <w:vAlign w:val="center"/>
          </w:tcPr>
          <w:p w14:paraId="52B00295"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Gmina Opole Lubelskie</w:t>
            </w:r>
          </w:p>
        </w:tc>
        <w:tc>
          <w:tcPr>
            <w:tcW w:w="8585" w:type="dxa"/>
            <w:vAlign w:val="center"/>
          </w:tcPr>
          <w:p w14:paraId="455FF049"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W ramach przedsięwzięcia stworzone zostaną odcinki dróg rowerowych na terenie Gminy Opole Lubelskie wraz z wypożyczalnią rowerów. </w:t>
            </w:r>
          </w:p>
        </w:tc>
      </w:tr>
      <w:tr w:rsidR="00C81289" w:rsidRPr="00C81289" w14:paraId="63329715" w14:textId="77777777" w:rsidTr="00E717A0">
        <w:tc>
          <w:tcPr>
            <w:tcW w:w="428" w:type="dxa"/>
            <w:vAlign w:val="center"/>
          </w:tcPr>
          <w:p w14:paraId="56F3B075" w14:textId="6BFCA342"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3</w:t>
            </w:r>
            <w:r w:rsidR="00E717A0">
              <w:rPr>
                <w:rFonts w:eastAsia="Calibri" w:cs="Times New Roman"/>
                <w:sz w:val="14"/>
                <w:szCs w:val="14"/>
                <w:lang w:bidi="en-US"/>
              </w:rPr>
              <w:t>3</w:t>
            </w:r>
            <w:r w:rsidR="00C81289" w:rsidRPr="00C81289">
              <w:rPr>
                <w:rFonts w:eastAsia="Calibri" w:cs="Times New Roman"/>
                <w:sz w:val="14"/>
                <w:szCs w:val="14"/>
                <w:lang w:bidi="en-US"/>
              </w:rPr>
              <w:t>.</w:t>
            </w:r>
          </w:p>
        </w:tc>
        <w:tc>
          <w:tcPr>
            <w:tcW w:w="1534" w:type="dxa"/>
            <w:vAlign w:val="center"/>
          </w:tcPr>
          <w:p w14:paraId="5DC549F3" w14:textId="12908E7A"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3.1</w:t>
            </w:r>
            <w:r w:rsidR="0037203D">
              <w:rPr>
                <w:rFonts w:eastAsia="Calibri" w:cs="Calibri Light"/>
                <w:sz w:val="14"/>
                <w:szCs w:val="14"/>
              </w:rPr>
              <w:t>.</w:t>
            </w:r>
            <w:r w:rsidR="003644CE">
              <w:rPr>
                <w:rFonts w:eastAsia="Calibri" w:cs="Calibri Light"/>
                <w:sz w:val="14"/>
                <w:szCs w:val="14"/>
              </w:rPr>
              <w:t xml:space="preserve"> </w:t>
            </w:r>
            <w:r w:rsidR="003644CE" w:rsidRPr="003644CE">
              <w:rPr>
                <w:rFonts w:eastAsia="Calibri" w:cs="Calibri Light"/>
                <w:sz w:val="14"/>
                <w:szCs w:val="14"/>
              </w:rPr>
              <w:t>Rozwój infrastruktury i usług turystycznych</w:t>
            </w:r>
          </w:p>
        </w:tc>
        <w:tc>
          <w:tcPr>
            <w:tcW w:w="2268" w:type="dxa"/>
            <w:vAlign w:val="center"/>
          </w:tcPr>
          <w:p w14:paraId="74B2DA1F"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Organizacja ruchu turystycznego i ochrona bioróżnorodności na obszarze cennym przyrodniczo Gminy Opole Lubelskie </w:t>
            </w:r>
          </w:p>
        </w:tc>
        <w:tc>
          <w:tcPr>
            <w:tcW w:w="1196" w:type="dxa"/>
            <w:vAlign w:val="center"/>
          </w:tcPr>
          <w:p w14:paraId="0C66D837"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Gmina Opole Lubelskie </w:t>
            </w:r>
          </w:p>
        </w:tc>
        <w:tc>
          <w:tcPr>
            <w:tcW w:w="8585" w:type="dxa"/>
            <w:vAlign w:val="center"/>
          </w:tcPr>
          <w:p w14:paraId="608180AF"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Zakres zadania obejmuje utworzenie edukacyjnego placu wodnego dla dzieci jako wielofunkcyjnej przestrzeni publicznej na terenie Kąpieliska Miejskiego w Opolu Lubelskim. </w:t>
            </w:r>
          </w:p>
        </w:tc>
      </w:tr>
      <w:tr w:rsidR="00C81289" w:rsidRPr="00C81289" w14:paraId="1094552B" w14:textId="77777777" w:rsidTr="00E717A0">
        <w:tc>
          <w:tcPr>
            <w:tcW w:w="428" w:type="dxa"/>
            <w:vAlign w:val="center"/>
          </w:tcPr>
          <w:p w14:paraId="26DAF4D8" w14:textId="10517CFD" w:rsidR="00C81289" w:rsidRPr="00C81289" w:rsidRDefault="00E717A0" w:rsidP="00C81289">
            <w:pPr>
              <w:spacing w:after="0" w:line="259" w:lineRule="auto"/>
              <w:jc w:val="center"/>
              <w:rPr>
                <w:rFonts w:eastAsia="Calibri" w:cs="Times New Roman"/>
                <w:sz w:val="14"/>
                <w:szCs w:val="14"/>
                <w:lang w:bidi="en-US"/>
              </w:rPr>
            </w:pPr>
            <w:r>
              <w:rPr>
                <w:rFonts w:eastAsia="Calibri" w:cs="Times New Roman"/>
                <w:sz w:val="14"/>
                <w:szCs w:val="14"/>
                <w:lang w:bidi="en-US"/>
              </w:rPr>
              <w:lastRenderedPageBreak/>
              <w:t>34.</w:t>
            </w:r>
          </w:p>
        </w:tc>
        <w:tc>
          <w:tcPr>
            <w:tcW w:w="1534" w:type="dxa"/>
            <w:vAlign w:val="center"/>
          </w:tcPr>
          <w:p w14:paraId="38EFD1BE" w14:textId="10271D25"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3.2</w:t>
            </w:r>
            <w:r w:rsidR="0037203D">
              <w:rPr>
                <w:rFonts w:eastAsia="Calibri" w:cs="Calibri Light"/>
                <w:sz w:val="14"/>
                <w:szCs w:val="14"/>
              </w:rPr>
              <w:t>.</w:t>
            </w:r>
            <w:r w:rsidR="003644CE">
              <w:rPr>
                <w:rFonts w:eastAsia="Calibri" w:cs="Calibri Light"/>
                <w:sz w:val="14"/>
                <w:szCs w:val="14"/>
              </w:rPr>
              <w:t xml:space="preserve"> </w:t>
            </w:r>
            <w:r w:rsidR="003644CE" w:rsidRPr="003644CE">
              <w:rPr>
                <w:rFonts w:eastAsia="Calibri" w:cs="Calibri Light"/>
                <w:sz w:val="14"/>
                <w:szCs w:val="14"/>
              </w:rPr>
              <w:t>Rozwój marki terytorialnej oraz promocja atrakcyjności inwestycyjnej</w:t>
            </w:r>
          </w:p>
        </w:tc>
        <w:tc>
          <w:tcPr>
            <w:tcW w:w="2268" w:type="dxa"/>
            <w:vAlign w:val="center"/>
          </w:tcPr>
          <w:p w14:paraId="634E469B"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Przygotowanie i promocja ofert inwestycyjnych gminy w ramach Centrum Obsługi Inwestora </w:t>
            </w:r>
          </w:p>
        </w:tc>
        <w:tc>
          <w:tcPr>
            <w:tcW w:w="1196" w:type="dxa"/>
            <w:vAlign w:val="center"/>
          </w:tcPr>
          <w:p w14:paraId="4CF78751"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Centrum Obsługi Inwestora </w:t>
            </w:r>
          </w:p>
        </w:tc>
        <w:tc>
          <w:tcPr>
            <w:tcW w:w="8585" w:type="dxa"/>
            <w:vAlign w:val="center"/>
          </w:tcPr>
          <w:p w14:paraId="4F0F148D"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Zakres projektu obejmuje przygotowywanie ofert inwestycyjnych, ich promocja na rynku regionalnym oraz ogólnokrajowym w sposób zachęcający potencjalnych inwestorów do rozpoczęcia działalności na terenie Gminy Opole Lubelskie. </w:t>
            </w:r>
          </w:p>
        </w:tc>
      </w:tr>
      <w:tr w:rsidR="00C81289" w:rsidRPr="00C81289" w14:paraId="15C3A9D7" w14:textId="77777777" w:rsidTr="00E717A0">
        <w:tc>
          <w:tcPr>
            <w:tcW w:w="428" w:type="dxa"/>
            <w:vAlign w:val="center"/>
          </w:tcPr>
          <w:p w14:paraId="25941456" w14:textId="7B533825"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3</w:t>
            </w:r>
            <w:r w:rsidR="00E717A0">
              <w:rPr>
                <w:rFonts w:eastAsia="Calibri" w:cs="Times New Roman"/>
                <w:sz w:val="14"/>
                <w:szCs w:val="14"/>
                <w:lang w:bidi="en-US"/>
              </w:rPr>
              <w:t>5</w:t>
            </w:r>
            <w:r w:rsidR="00C81289" w:rsidRPr="00C81289">
              <w:rPr>
                <w:rFonts w:eastAsia="Calibri" w:cs="Times New Roman"/>
                <w:sz w:val="14"/>
                <w:szCs w:val="14"/>
                <w:lang w:bidi="en-US"/>
              </w:rPr>
              <w:t>.</w:t>
            </w:r>
          </w:p>
        </w:tc>
        <w:tc>
          <w:tcPr>
            <w:tcW w:w="1534" w:type="dxa"/>
            <w:vAlign w:val="center"/>
          </w:tcPr>
          <w:p w14:paraId="3CDCE62F" w14:textId="503F49B4"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3.2</w:t>
            </w:r>
            <w:r w:rsidR="0037203D">
              <w:rPr>
                <w:rFonts w:eastAsia="Calibri" w:cs="Calibri Light"/>
                <w:sz w:val="14"/>
                <w:szCs w:val="14"/>
              </w:rPr>
              <w:t>.</w:t>
            </w:r>
            <w:r w:rsidR="003644CE">
              <w:rPr>
                <w:rFonts w:eastAsia="Calibri" w:cs="Calibri Light"/>
                <w:sz w:val="14"/>
                <w:szCs w:val="14"/>
              </w:rPr>
              <w:t xml:space="preserve"> </w:t>
            </w:r>
            <w:r w:rsidR="003644CE" w:rsidRPr="003644CE">
              <w:rPr>
                <w:rFonts w:eastAsia="Calibri" w:cs="Calibri Light"/>
                <w:sz w:val="14"/>
                <w:szCs w:val="14"/>
              </w:rPr>
              <w:t>Rozwój marki terytorialnej oraz promocja atrakcyjności inwestycyjnej</w:t>
            </w:r>
          </w:p>
        </w:tc>
        <w:tc>
          <w:tcPr>
            <w:tcW w:w="2268" w:type="dxa"/>
            <w:vAlign w:val="center"/>
          </w:tcPr>
          <w:p w14:paraId="017762BC"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Modernizacja strony internetowej Gminy Opole Lubelskie </w:t>
            </w:r>
          </w:p>
        </w:tc>
        <w:tc>
          <w:tcPr>
            <w:tcW w:w="1196" w:type="dxa"/>
            <w:vAlign w:val="center"/>
          </w:tcPr>
          <w:p w14:paraId="5C13689D"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Gmina Opole Lubelskie </w:t>
            </w:r>
          </w:p>
        </w:tc>
        <w:tc>
          <w:tcPr>
            <w:tcW w:w="8585" w:type="dxa"/>
            <w:vAlign w:val="center"/>
          </w:tcPr>
          <w:p w14:paraId="6FA13037"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Projekt obejmował będzie modernizację strony internetowej Gminy Opole Lubelskie oraz jej udoskonalenie. </w:t>
            </w:r>
          </w:p>
        </w:tc>
      </w:tr>
      <w:tr w:rsidR="00C81289" w:rsidRPr="00C81289" w14:paraId="79E93797" w14:textId="77777777" w:rsidTr="00E717A0">
        <w:tc>
          <w:tcPr>
            <w:tcW w:w="428" w:type="dxa"/>
            <w:vAlign w:val="center"/>
          </w:tcPr>
          <w:p w14:paraId="0E575A53" w14:textId="3B9B007D"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3</w:t>
            </w:r>
            <w:r w:rsidR="00E717A0">
              <w:rPr>
                <w:rFonts w:eastAsia="Calibri" w:cs="Times New Roman"/>
                <w:sz w:val="14"/>
                <w:szCs w:val="14"/>
                <w:lang w:bidi="en-US"/>
              </w:rPr>
              <w:t>6</w:t>
            </w:r>
            <w:r w:rsidR="00C81289" w:rsidRPr="00C81289">
              <w:rPr>
                <w:rFonts w:eastAsia="Calibri" w:cs="Times New Roman"/>
                <w:sz w:val="14"/>
                <w:szCs w:val="14"/>
                <w:lang w:bidi="en-US"/>
              </w:rPr>
              <w:t>.</w:t>
            </w:r>
          </w:p>
        </w:tc>
        <w:tc>
          <w:tcPr>
            <w:tcW w:w="1534" w:type="dxa"/>
            <w:vAlign w:val="center"/>
          </w:tcPr>
          <w:p w14:paraId="4830E4FD" w14:textId="1C92E174" w:rsidR="00C81289" w:rsidRPr="00C81289" w:rsidRDefault="00C81289" w:rsidP="007F76CD">
            <w:pPr>
              <w:spacing w:before="120" w:line="259" w:lineRule="auto"/>
              <w:jc w:val="left"/>
              <w:rPr>
                <w:rFonts w:eastAsia="Calibri" w:cs="Times New Roman"/>
                <w:bCs/>
                <w:sz w:val="14"/>
                <w:szCs w:val="14"/>
              </w:rPr>
            </w:pPr>
            <w:r w:rsidRPr="00C81289">
              <w:rPr>
                <w:rFonts w:eastAsia="Calibri" w:cs="Times New Roman"/>
                <w:bCs/>
                <w:sz w:val="14"/>
                <w:szCs w:val="14"/>
              </w:rPr>
              <w:t>3.2</w:t>
            </w:r>
            <w:r w:rsidR="0037203D">
              <w:rPr>
                <w:rFonts w:eastAsia="Calibri" w:cs="Times New Roman"/>
                <w:bCs/>
                <w:sz w:val="14"/>
                <w:szCs w:val="14"/>
              </w:rPr>
              <w:t>.</w:t>
            </w:r>
            <w:r w:rsidR="003644CE">
              <w:rPr>
                <w:rFonts w:eastAsia="Calibri" w:cs="Times New Roman"/>
                <w:bCs/>
                <w:sz w:val="14"/>
                <w:szCs w:val="14"/>
              </w:rPr>
              <w:t xml:space="preserve"> </w:t>
            </w:r>
            <w:r w:rsidR="003644CE" w:rsidRPr="003644CE">
              <w:rPr>
                <w:rFonts w:eastAsia="Calibri" w:cs="Times New Roman"/>
                <w:bCs/>
                <w:sz w:val="14"/>
                <w:szCs w:val="14"/>
              </w:rPr>
              <w:t>Rozwój marki terytorialnej oraz promocja atrakcyjności inwestycyjnej</w:t>
            </w:r>
          </w:p>
        </w:tc>
        <w:tc>
          <w:tcPr>
            <w:tcW w:w="2268" w:type="dxa"/>
            <w:vAlign w:val="center"/>
          </w:tcPr>
          <w:p w14:paraId="16CD98A7"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Times New Roman"/>
                <w:b/>
                <w:sz w:val="14"/>
                <w:szCs w:val="14"/>
              </w:rPr>
              <w:t>„</w:t>
            </w:r>
            <w:r w:rsidRPr="00C81289">
              <w:rPr>
                <w:rFonts w:eastAsia="Calibri" w:cs="Times New Roman"/>
                <w:bCs/>
                <w:sz w:val="14"/>
                <w:szCs w:val="14"/>
              </w:rPr>
              <w:t>Gmina Opole Lubelskie – budowa, rozwój i promocja marki terytorialnej oraz sieciowych produktów turystycznych</w:t>
            </w:r>
            <w:r w:rsidRPr="00C81289">
              <w:rPr>
                <w:rFonts w:eastAsia="Calibri" w:cs="Times New Roman"/>
                <w:sz w:val="14"/>
                <w:szCs w:val="14"/>
              </w:rPr>
              <w:t>”.</w:t>
            </w:r>
          </w:p>
        </w:tc>
        <w:tc>
          <w:tcPr>
            <w:tcW w:w="1196" w:type="dxa"/>
            <w:vAlign w:val="center"/>
          </w:tcPr>
          <w:p w14:paraId="6865F0DE"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Gmina Opole Lubelskie </w:t>
            </w:r>
          </w:p>
        </w:tc>
        <w:tc>
          <w:tcPr>
            <w:tcW w:w="8585" w:type="dxa"/>
            <w:vAlign w:val="center"/>
          </w:tcPr>
          <w:p w14:paraId="29D66950" w14:textId="77777777" w:rsidR="00C81289" w:rsidRPr="00C81289" w:rsidRDefault="00C81289" w:rsidP="00C81289">
            <w:pPr>
              <w:spacing w:before="120" w:after="0" w:line="259" w:lineRule="auto"/>
              <w:jc w:val="left"/>
              <w:rPr>
                <w:rFonts w:eastAsia="Calibri" w:cs="Times New Roman"/>
                <w:sz w:val="14"/>
                <w:szCs w:val="14"/>
                <w:u w:val="single"/>
              </w:rPr>
            </w:pPr>
            <w:r w:rsidRPr="00C81289">
              <w:rPr>
                <w:rFonts w:eastAsia="Calibri" w:cs="Times New Roman"/>
                <w:sz w:val="14"/>
                <w:szCs w:val="14"/>
                <w:u w:val="single"/>
              </w:rPr>
              <w:t>Projekt obejmuje:</w:t>
            </w:r>
          </w:p>
          <w:p w14:paraId="2192F4C9" w14:textId="77777777" w:rsidR="00C57017" w:rsidRPr="00C81289" w:rsidRDefault="00EE73F1">
            <w:pPr>
              <w:numPr>
                <w:ilvl w:val="1"/>
                <w:numId w:val="1"/>
              </w:numPr>
              <w:spacing w:after="0" w:line="259" w:lineRule="auto"/>
              <w:ind w:left="255" w:hanging="255"/>
              <w:jc w:val="left"/>
              <w:rPr>
                <w:rFonts w:eastAsia="Calibri" w:cs="Times New Roman"/>
                <w:sz w:val="14"/>
                <w:szCs w:val="14"/>
              </w:rPr>
            </w:pPr>
            <w:r w:rsidRPr="00C81289">
              <w:rPr>
                <w:rFonts w:eastAsia="Calibri" w:cs="Times New Roman"/>
                <w:sz w:val="14"/>
                <w:szCs w:val="14"/>
              </w:rPr>
              <w:t xml:space="preserve">Utworzenie portalu internetowego o charakterze turystycznym i kulturalnym obejmującego obszar Gminy Opole Lubelskie wraz ze zintegrowaną mobilną aplikacją promującą: </w:t>
            </w:r>
          </w:p>
          <w:p w14:paraId="1DC58AE1" w14:textId="77777777" w:rsidR="00C57017" w:rsidRPr="00C81289" w:rsidRDefault="00EE73F1">
            <w:pPr>
              <w:numPr>
                <w:ilvl w:val="0"/>
                <w:numId w:val="51"/>
              </w:numPr>
              <w:spacing w:after="0" w:line="259" w:lineRule="auto"/>
              <w:ind w:left="119" w:hanging="119"/>
              <w:jc w:val="left"/>
              <w:rPr>
                <w:rFonts w:eastAsia="Calibri" w:cs="Times New Roman"/>
                <w:sz w:val="14"/>
                <w:szCs w:val="14"/>
              </w:rPr>
            </w:pPr>
            <w:r w:rsidRPr="00C81289">
              <w:rPr>
                <w:rFonts w:eastAsia="Calibri" w:cs="Times New Roman"/>
                <w:sz w:val="14"/>
                <w:szCs w:val="14"/>
              </w:rPr>
              <w:t xml:space="preserve">atrakcje przyrodnicze, historyczne i urbanistyczne, </w:t>
            </w:r>
          </w:p>
          <w:p w14:paraId="3E6D94A2"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szlaki i ścieżki turystyczne, </w:t>
            </w:r>
          </w:p>
          <w:p w14:paraId="0CEBDBDA"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produkty lokalne,</w:t>
            </w:r>
          </w:p>
          <w:p w14:paraId="4F5DFB3C"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bazę turystyczną (noclegi i gastronomia), </w:t>
            </w:r>
          </w:p>
          <w:p w14:paraId="637BF9BF"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działalność Kół Gospodyń Wiejskich (potrawy, rękodzieło) oraz zespołów śpiewaczych i obrzędowych,  </w:t>
            </w:r>
          </w:p>
          <w:p w14:paraId="26290322"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imprezy kulturalne i sportowe, </w:t>
            </w:r>
          </w:p>
          <w:p w14:paraId="0E69F4AA"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działalność stowarzyszeń, organizacji i klubów zrzeszających seniorów, młodzież i dzieci. </w:t>
            </w:r>
          </w:p>
          <w:p w14:paraId="11DBD1E9" w14:textId="77777777" w:rsidR="00C81289" w:rsidRPr="00C81289" w:rsidRDefault="00EE73F1">
            <w:pPr>
              <w:numPr>
                <w:ilvl w:val="1"/>
                <w:numId w:val="1"/>
              </w:numPr>
              <w:spacing w:before="120" w:after="0" w:line="259" w:lineRule="auto"/>
              <w:ind w:left="256" w:hanging="256"/>
              <w:jc w:val="left"/>
              <w:rPr>
                <w:rFonts w:eastAsia="Calibri" w:cs="Times New Roman"/>
                <w:sz w:val="14"/>
                <w:szCs w:val="14"/>
              </w:rPr>
            </w:pPr>
            <w:r w:rsidRPr="00C81289">
              <w:rPr>
                <w:rFonts w:eastAsia="Calibri" w:cs="Times New Roman"/>
                <w:sz w:val="14"/>
                <w:szCs w:val="14"/>
              </w:rPr>
              <w:t xml:space="preserve">Przygotowanie folderów, informatorów, map turystycznych oraz aplikacji mobilnej dla obszaru Gminy Opole Lubelskie. Opracowanie materiałów turystycznych analogowych i cyfrowych. </w:t>
            </w:r>
          </w:p>
          <w:p w14:paraId="39109B4E" w14:textId="77777777" w:rsidR="00C57017" w:rsidRPr="00C81289" w:rsidRDefault="00EE73F1">
            <w:pPr>
              <w:numPr>
                <w:ilvl w:val="1"/>
                <w:numId w:val="1"/>
              </w:numPr>
              <w:spacing w:after="0" w:line="259" w:lineRule="auto"/>
              <w:ind w:left="256" w:hanging="256"/>
              <w:jc w:val="left"/>
              <w:rPr>
                <w:rFonts w:eastAsia="Calibri" w:cs="Times New Roman"/>
                <w:sz w:val="14"/>
                <w:szCs w:val="14"/>
              </w:rPr>
            </w:pPr>
            <w:r w:rsidRPr="00C81289">
              <w:rPr>
                <w:rFonts w:eastAsia="Calibri" w:cs="Times New Roman"/>
                <w:sz w:val="14"/>
                <w:szCs w:val="14"/>
              </w:rPr>
              <w:t>Działania promocyjne w zakresie stworzenia i rozwoju marki Gminy Opole Lubelskie:</w:t>
            </w:r>
          </w:p>
          <w:p w14:paraId="4D22DA00"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organizacja wspólnych, cyklicznych imprez sportowo-rekreacyjnych, rajdów poznawczych: rowerowych i pieszych, Nordic Walking, maratonów, itp. połączonych z akcjami charytatywnymi: zbiórka krwi, rejestracja na dawcę szpiku kostnego, pomoc dla schronisk itp., mających na celu popularyzację terenu gminy oraz wydłużenie sezonu turystycznego,</w:t>
            </w:r>
          </w:p>
          <w:p w14:paraId="4D120399"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badanie natężenia ruchu turystycznego na tym obszarze, </w:t>
            </w:r>
          </w:p>
          <w:p w14:paraId="4720D701"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wspólne wydawanie materiałów promocyjnych w formie papierowej i elektronicznej, </w:t>
            </w:r>
          </w:p>
          <w:p w14:paraId="51E513B5"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promocja aktywnego wypoczynku przy pomocy dostępnych metod i form elektronicznych (aplikacje, czujniki), w tym tworzenie i udostępnianie gier terenowych, </w:t>
            </w:r>
          </w:p>
          <w:p w14:paraId="5C31F87E"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stworzenie jednolitego oznakowania turystycznego w terenie w postaci: tablic, map, drogowskazów itp.,</w:t>
            </w:r>
          </w:p>
          <w:p w14:paraId="0416EFA4"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organizacja plenerów malarskich, rzeźbiarskich</w:t>
            </w:r>
            <w:r w:rsidR="00C81289" w:rsidRPr="00C81289">
              <w:rPr>
                <w:rFonts w:eastAsia="Calibri" w:cs="Times New Roman"/>
                <w:sz w:val="14"/>
                <w:szCs w:val="14"/>
              </w:rPr>
              <w:t xml:space="preserve"> </w:t>
            </w:r>
            <w:r w:rsidRPr="00C81289">
              <w:rPr>
                <w:rFonts w:eastAsia="Calibri" w:cs="Times New Roman"/>
                <w:sz w:val="14"/>
                <w:szCs w:val="14"/>
              </w:rPr>
              <w:t>z</w:t>
            </w:r>
            <w:r w:rsidR="00C81289" w:rsidRPr="00C81289">
              <w:rPr>
                <w:rFonts w:eastAsia="Calibri" w:cs="Times New Roman"/>
                <w:sz w:val="14"/>
                <w:szCs w:val="14"/>
              </w:rPr>
              <w:t xml:space="preserve"> </w:t>
            </w:r>
            <w:r w:rsidRPr="00C81289">
              <w:rPr>
                <w:rFonts w:eastAsia="Calibri" w:cs="Times New Roman"/>
                <w:sz w:val="14"/>
                <w:szCs w:val="14"/>
              </w:rPr>
              <w:t>rozmieszczeniem ich wytworów na terenie gminy,</w:t>
            </w:r>
          </w:p>
          <w:p w14:paraId="7EF40F56"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utworzenie szlaków tematycznych w tym kulinarnego,</w:t>
            </w:r>
          </w:p>
          <w:p w14:paraId="73FD4F40"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budowanie marki „Opolskie smaki” poprzez: szkolenia, warsztaty, organizowanie dużych imprez kulinarnych</w:t>
            </w:r>
            <w:r w:rsidR="00C81289" w:rsidRPr="00C81289">
              <w:rPr>
                <w:rFonts w:eastAsia="Calibri" w:cs="Times New Roman"/>
                <w:sz w:val="14"/>
                <w:szCs w:val="14"/>
              </w:rPr>
              <w:t xml:space="preserve">, </w:t>
            </w:r>
            <w:r w:rsidRPr="00C81289">
              <w:rPr>
                <w:rFonts w:eastAsia="Calibri" w:cs="Times New Roman"/>
                <w:sz w:val="14"/>
                <w:szCs w:val="14"/>
              </w:rPr>
              <w:t xml:space="preserve">oznakowania tras tematycznych itp.: miejsc i produktów związanych z turystyką kulinarną, wydanie publikacji kulinarnej, </w:t>
            </w:r>
          </w:p>
          <w:p w14:paraId="57D63193"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organizacja imprez kulturalnych wg kalendarza imprez tworzących sieć wydarzeń, </w:t>
            </w:r>
          </w:p>
          <w:p w14:paraId="4F38C0D3"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nakręcenie wspólnego filmu promującego obszar Gminy Opole Lubelskie,</w:t>
            </w:r>
          </w:p>
          <w:p w14:paraId="4F4A321F"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organizacja konkursów na krótkie amatorskie filmy oraz fotograficznych o tematyce turystycznej, </w:t>
            </w:r>
          </w:p>
          <w:p w14:paraId="6C71B670"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stworzenie systemu identyfikacji wizualnej  i używanie go na różnego rodzaju materiałach promocyjnych i w mediach, </w:t>
            </w:r>
          </w:p>
          <w:p w14:paraId="6170C518"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uczestnictwo przedstawicieli gminy w krajowych i międzynarodowych targach turystycznych,</w:t>
            </w:r>
          </w:p>
          <w:p w14:paraId="3E4624D4"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zorganizowanie pobytów na terenie Gminy Opole Lubelskie dla: dziennikarzy, przewodników oraz przedstawicieli różnych instytucji i podmiotów wspierających rozwój ruchu turystycznego,</w:t>
            </w:r>
          </w:p>
          <w:p w14:paraId="23FF9D34"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lastRenderedPageBreak/>
              <w:t xml:space="preserve">zamawianie artykułów sponsorowanych w ogólnokrajowych czasopismach oraz audycji radiowych i telewizyjnych promujących Gminę Opole Lubelskie, </w:t>
            </w:r>
          </w:p>
          <w:p w14:paraId="203E929C"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organizowanie konferencji o tematyce poświęconej turystyce: przyrodniczej, zdrowotnej, ekologicznej, religijnej, kulturalnej, historycznej oraz związanej z szeroko rozumianym zachowaniem dziedzictwa (miejsca, budowle, obyczaje), </w:t>
            </w:r>
          </w:p>
          <w:p w14:paraId="1B8B1F6D"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organizowanie corocznych spotkań przedstawicieli różnych sektorów, w celu podsumowywania sezonu oraz opracowywania wspólnego harmonogramu działań na kolejny rok i strategii na dalsze lata,</w:t>
            </w:r>
          </w:p>
          <w:p w14:paraId="43414747"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 xml:space="preserve">produkcja pamiątek, tworzenie gier terenowych, questingów, orienteringu, gier komputerowych osadzonych na obszarze gminy, puzzli, maskotek, zabawek dla dzieci, </w:t>
            </w:r>
          </w:p>
          <w:p w14:paraId="3A584EDA" w14:textId="77777777" w:rsidR="00C57017" w:rsidRPr="00C81289" w:rsidRDefault="00EE73F1">
            <w:pPr>
              <w:numPr>
                <w:ilvl w:val="0"/>
                <w:numId w:val="51"/>
              </w:numPr>
              <w:spacing w:after="0" w:line="259" w:lineRule="auto"/>
              <w:ind w:left="117" w:hanging="117"/>
              <w:jc w:val="left"/>
              <w:rPr>
                <w:rFonts w:eastAsia="Calibri" w:cs="Times New Roman"/>
                <w:sz w:val="14"/>
                <w:szCs w:val="14"/>
              </w:rPr>
            </w:pPr>
            <w:r w:rsidRPr="00C81289">
              <w:rPr>
                <w:rFonts w:eastAsia="Calibri" w:cs="Times New Roman"/>
                <w:sz w:val="14"/>
                <w:szCs w:val="14"/>
              </w:rPr>
              <w:t>organizacja cyklu przeglądów filmowych – prezentacja filmów z fabułą powiązaną z Gminą Opole Lubelskie oraz konkursów</w:t>
            </w:r>
            <w:r w:rsidR="00C81289" w:rsidRPr="00C81289">
              <w:rPr>
                <w:rFonts w:eastAsia="Calibri" w:cs="Times New Roman"/>
                <w:sz w:val="14"/>
                <w:szCs w:val="14"/>
              </w:rPr>
              <w:t xml:space="preserve"> </w:t>
            </w:r>
            <w:r w:rsidRPr="00C81289">
              <w:rPr>
                <w:rFonts w:eastAsia="Calibri" w:cs="Times New Roman"/>
                <w:sz w:val="14"/>
                <w:szCs w:val="14"/>
              </w:rPr>
              <w:t xml:space="preserve">z nagrodami na krótkie formy amatorskie. </w:t>
            </w:r>
          </w:p>
          <w:p w14:paraId="68D5D5CA" w14:textId="77777777" w:rsidR="00C81289" w:rsidRPr="00C81289" w:rsidRDefault="00EE73F1">
            <w:pPr>
              <w:numPr>
                <w:ilvl w:val="1"/>
                <w:numId w:val="1"/>
              </w:numPr>
              <w:spacing w:before="120" w:after="0" w:line="259" w:lineRule="auto"/>
              <w:ind w:left="256" w:hanging="283"/>
              <w:jc w:val="left"/>
              <w:rPr>
                <w:rFonts w:eastAsia="Calibri" w:cs="Times New Roman"/>
                <w:sz w:val="14"/>
                <w:szCs w:val="14"/>
              </w:rPr>
            </w:pPr>
            <w:r w:rsidRPr="00C81289">
              <w:rPr>
                <w:rFonts w:eastAsia="Calibri" w:cs="Times New Roman"/>
                <w:sz w:val="14"/>
                <w:szCs w:val="14"/>
              </w:rPr>
              <w:t xml:space="preserve">Wytyczenie oraz budowa ujednoliconego oznakowania zabytków na terenie gminy Opole Lubelskie wraz z jego promocją. </w:t>
            </w:r>
          </w:p>
          <w:p w14:paraId="6E7782FE" w14:textId="77777777" w:rsidR="00C57017" w:rsidRPr="00C81289" w:rsidRDefault="00EE73F1">
            <w:pPr>
              <w:numPr>
                <w:ilvl w:val="1"/>
                <w:numId w:val="1"/>
              </w:numPr>
              <w:spacing w:before="120" w:line="259" w:lineRule="auto"/>
              <w:ind w:left="256" w:hanging="283"/>
              <w:jc w:val="left"/>
              <w:rPr>
                <w:rFonts w:eastAsia="Calibri" w:cs="Times New Roman"/>
                <w:sz w:val="14"/>
                <w:szCs w:val="14"/>
              </w:rPr>
            </w:pPr>
            <w:r w:rsidRPr="00C81289">
              <w:rPr>
                <w:rFonts w:eastAsia="Calibri" w:cs="Times New Roman"/>
                <w:sz w:val="14"/>
                <w:szCs w:val="14"/>
              </w:rPr>
              <w:t>Wytyczenie oraz budowa ujednoliconego oznakowania „Szlaków turystycznych oraz ścieżek rowerowych i spacerowych” na terenie obszaru Gminy Opole Lubelskie wraz z jego promocją.</w:t>
            </w:r>
          </w:p>
        </w:tc>
      </w:tr>
      <w:tr w:rsidR="00C81289" w:rsidRPr="00C81289" w14:paraId="6E8B5E05" w14:textId="77777777" w:rsidTr="00E717A0">
        <w:tc>
          <w:tcPr>
            <w:tcW w:w="428" w:type="dxa"/>
            <w:vAlign w:val="center"/>
          </w:tcPr>
          <w:p w14:paraId="03069CA9" w14:textId="603E36FB"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lastRenderedPageBreak/>
              <w:t>3</w:t>
            </w:r>
            <w:r w:rsidR="00E717A0">
              <w:rPr>
                <w:rFonts w:eastAsia="Calibri" w:cs="Times New Roman"/>
                <w:sz w:val="14"/>
                <w:szCs w:val="14"/>
                <w:lang w:bidi="en-US"/>
              </w:rPr>
              <w:t>7</w:t>
            </w:r>
            <w:r w:rsidR="00C81289" w:rsidRPr="00C81289">
              <w:rPr>
                <w:rFonts w:eastAsia="Calibri" w:cs="Times New Roman"/>
                <w:sz w:val="14"/>
                <w:szCs w:val="14"/>
                <w:lang w:bidi="en-US"/>
              </w:rPr>
              <w:t>.</w:t>
            </w:r>
          </w:p>
        </w:tc>
        <w:tc>
          <w:tcPr>
            <w:tcW w:w="1534" w:type="dxa"/>
            <w:vAlign w:val="center"/>
          </w:tcPr>
          <w:p w14:paraId="2FB4BC2A" w14:textId="4A6A06B6"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3.3</w:t>
            </w:r>
            <w:r w:rsidR="0037203D">
              <w:rPr>
                <w:rFonts w:eastAsia="Calibri" w:cs="Calibri Light"/>
                <w:sz w:val="14"/>
                <w:szCs w:val="14"/>
              </w:rPr>
              <w:t>.</w:t>
            </w:r>
            <w:r w:rsidR="003644CE">
              <w:rPr>
                <w:rFonts w:eastAsia="Calibri" w:cs="Calibri Light"/>
                <w:sz w:val="14"/>
                <w:szCs w:val="14"/>
              </w:rPr>
              <w:t xml:space="preserve"> </w:t>
            </w:r>
            <w:r w:rsidR="003644CE" w:rsidRPr="003644CE">
              <w:rPr>
                <w:rFonts w:eastAsia="Calibri" w:cs="Calibri Light"/>
                <w:sz w:val="14"/>
                <w:szCs w:val="14"/>
              </w:rPr>
              <w:t>Wsparcie dla rozwoju przedsiębiorczości i lokalnej gospodarki</w:t>
            </w:r>
          </w:p>
        </w:tc>
        <w:tc>
          <w:tcPr>
            <w:tcW w:w="2268" w:type="dxa"/>
            <w:vAlign w:val="center"/>
          </w:tcPr>
          <w:p w14:paraId="43A356A6"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Przygotowanie terenów inwestycyjnych na terenie Gminy Opole Lubelskie </w:t>
            </w:r>
          </w:p>
        </w:tc>
        <w:tc>
          <w:tcPr>
            <w:tcW w:w="1196" w:type="dxa"/>
            <w:vAlign w:val="center"/>
          </w:tcPr>
          <w:p w14:paraId="6C400268"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Gmina Opole Lubelskie</w:t>
            </w:r>
          </w:p>
        </w:tc>
        <w:tc>
          <w:tcPr>
            <w:tcW w:w="8585" w:type="dxa"/>
            <w:vAlign w:val="center"/>
          </w:tcPr>
          <w:p w14:paraId="6EA94365"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Zakres projektu obejmuje przygotowanie terenów inwestycyjnych znajdujących się przy obwodnicy miasta (DW 747) pod inwestycję, w tym uzbrojenie terenu, dokumentacja architektoniczna wraz z kosztorysem inwestorskim oraz wykonanie wewnętrznego układu komunikacyjnego  </w:t>
            </w:r>
          </w:p>
        </w:tc>
      </w:tr>
      <w:tr w:rsidR="00C81289" w:rsidRPr="00C81289" w14:paraId="12A130B5" w14:textId="77777777" w:rsidTr="00E717A0">
        <w:tc>
          <w:tcPr>
            <w:tcW w:w="428" w:type="dxa"/>
            <w:vAlign w:val="center"/>
          </w:tcPr>
          <w:p w14:paraId="73A2C80B" w14:textId="4794815F"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3</w:t>
            </w:r>
            <w:r w:rsidR="00E717A0">
              <w:rPr>
                <w:rFonts w:eastAsia="Calibri" w:cs="Times New Roman"/>
                <w:sz w:val="14"/>
                <w:szCs w:val="14"/>
                <w:lang w:bidi="en-US"/>
              </w:rPr>
              <w:t>8</w:t>
            </w:r>
            <w:r w:rsidR="00C81289" w:rsidRPr="00C81289">
              <w:rPr>
                <w:rFonts w:eastAsia="Calibri" w:cs="Times New Roman"/>
                <w:sz w:val="14"/>
                <w:szCs w:val="14"/>
                <w:lang w:bidi="en-US"/>
              </w:rPr>
              <w:t>.</w:t>
            </w:r>
          </w:p>
        </w:tc>
        <w:tc>
          <w:tcPr>
            <w:tcW w:w="1534" w:type="dxa"/>
            <w:vAlign w:val="center"/>
          </w:tcPr>
          <w:p w14:paraId="46E1534B" w14:textId="7F6D61C5"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3.3</w:t>
            </w:r>
            <w:r w:rsidR="0037203D">
              <w:rPr>
                <w:rFonts w:eastAsia="Calibri" w:cs="Calibri Light"/>
                <w:sz w:val="14"/>
                <w:szCs w:val="14"/>
              </w:rPr>
              <w:t>.</w:t>
            </w:r>
            <w:r w:rsidR="003644CE">
              <w:rPr>
                <w:rFonts w:eastAsia="Calibri" w:cs="Calibri Light"/>
                <w:sz w:val="14"/>
                <w:szCs w:val="14"/>
              </w:rPr>
              <w:t xml:space="preserve"> </w:t>
            </w:r>
            <w:r w:rsidR="003644CE" w:rsidRPr="003644CE">
              <w:rPr>
                <w:rFonts w:eastAsia="Calibri" w:cs="Calibri Light"/>
                <w:sz w:val="14"/>
                <w:szCs w:val="14"/>
              </w:rPr>
              <w:t>Wsparcie dla rozwoju przedsiębiorczości i lokalnej gospodarki</w:t>
            </w:r>
          </w:p>
        </w:tc>
        <w:tc>
          <w:tcPr>
            <w:tcW w:w="2268" w:type="dxa"/>
            <w:vAlign w:val="center"/>
          </w:tcPr>
          <w:p w14:paraId="4D45437B"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Miejsce przyjazne przedsiębiorcom</w:t>
            </w:r>
          </w:p>
        </w:tc>
        <w:tc>
          <w:tcPr>
            <w:tcW w:w="1196" w:type="dxa"/>
            <w:vAlign w:val="center"/>
          </w:tcPr>
          <w:p w14:paraId="753A9A5A"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Centrum Obsługi inwestora </w:t>
            </w:r>
          </w:p>
        </w:tc>
        <w:tc>
          <w:tcPr>
            <w:tcW w:w="8585" w:type="dxa"/>
            <w:vAlign w:val="center"/>
          </w:tcPr>
          <w:p w14:paraId="64405246"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Zakres projektu obejmuje stworzenie miejsca, w którym przedsiębiorcy z terenu Gminy Opole Lubelskie będą mogli skorzystać z porady prawnika oraz doradcy podatkowego, wyposażenie go w urządzenia biurowe dostępne dla przedsiębiorców oraz organizację spotkań biznesowych z udziałem ekspertów </w:t>
            </w:r>
          </w:p>
        </w:tc>
      </w:tr>
      <w:tr w:rsidR="00C81289" w:rsidRPr="00C81289" w14:paraId="3822F7CE" w14:textId="77777777" w:rsidTr="00E717A0">
        <w:tc>
          <w:tcPr>
            <w:tcW w:w="428" w:type="dxa"/>
            <w:vAlign w:val="center"/>
          </w:tcPr>
          <w:p w14:paraId="4CD64B19" w14:textId="0E7EBBB5"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3</w:t>
            </w:r>
            <w:r w:rsidR="00E717A0">
              <w:rPr>
                <w:rFonts w:eastAsia="Calibri" w:cs="Times New Roman"/>
                <w:sz w:val="14"/>
                <w:szCs w:val="14"/>
                <w:lang w:bidi="en-US"/>
              </w:rPr>
              <w:t>9</w:t>
            </w:r>
            <w:r w:rsidR="00C81289" w:rsidRPr="00C81289">
              <w:rPr>
                <w:rFonts w:eastAsia="Calibri" w:cs="Times New Roman"/>
                <w:sz w:val="14"/>
                <w:szCs w:val="14"/>
                <w:lang w:bidi="en-US"/>
              </w:rPr>
              <w:t>.</w:t>
            </w:r>
          </w:p>
        </w:tc>
        <w:tc>
          <w:tcPr>
            <w:tcW w:w="1534" w:type="dxa"/>
            <w:vAlign w:val="center"/>
          </w:tcPr>
          <w:p w14:paraId="540BD286" w14:textId="53B66C63"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3.4</w:t>
            </w:r>
            <w:r w:rsidR="0037203D">
              <w:rPr>
                <w:rFonts w:eastAsia="Calibri" w:cs="Calibri Light"/>
                <w:sz w:val="14"/>
                <w:szCs w:val="14"/>
              </w:rPr>
              <w:t>.</w:t>
            </w:r>
            <w:r w:rsidR="003644CE">
              <w:rPr>
                <w:rFonts w:eastAsia="Calibri" w:cs="Calibri Light"/>
                <w:sz w:val="14"/>
                <w:szCs w:val="14"/>
              </w:rPr>
              <w:t xml:space="preserve"> </w:t>
            </w:r>
            <w:r w:rsidR="003644CE" w:rsidRPr="003644CE">
              <w:rPr>
                <w:rFonts w:eastAsia="Calibri" w:cs="Calibri Light"/>
                <w:sz w:val="14"/>
                <w:szCs w:val="14"/>
              </w:rPr>
              <w:t>Poprawa dostępności komunikacyjnej</w:t>
            </w:r>
          </w:p>
        </w:tc>
        <w:tc>
          <w:tcPr>
            <w:tcW w:w="2268" w:type="dxa"/>
            <w:vAlign w:val="center"/>
          </w:tcPr>
          <w:p w14:paraId="649853B7" w14:textId="77777777" w:rsidR="00C81289" w:rsidRPr="00C81289" w:rsidRDefault="00C81289" w:rsidP="00C81289">
            <w:pPr>
              <w:spacing w:before="120" w:line="259" w:lineRule="auto"/>
              <w:jc w:val="left"/>
              <w:rPr>
                <w:rFonts w:eastAsia="Calibri" w:cs="Times New Roman"/>
                <w:sz w:val="14"/>
                <w:szCs w:val="14"/>
                <w:lang w:bidi="en-US"/>
              </w:rPr>
            </w:pPr>
            <w:r w:rsidRPr="00C81289">
              <w:rPr>
                <w:rFonts w:eastAsia="Calibri" w:cs="Calibri Light"/>
                <w:sz w:val="14"/>
                <w:szCs w:val="14"/>
              </w:rPr>
              <w:t xml:space="preserve">Kolej w Opolu Lubelskim – likwidacja regionalnego wykluczenia kolejowego </w:t>
            </w:r>
          </w:p>
        </w:tc>
        <w:tc>
          <w:tcPr>
            <w:tcW w:w="1196" w:type="dxa"/>
            <w:vAlign w:val="center"/>
          </w:tcPr>
          <w:p w14:paraId="42D0890B"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Gmina Opole Lubelskie </w:t>
            </w:r>
          </w:p>
        </w:tc>
        <w:tc>
          <w:tcPr>
            <w:tcW w:w="8585" w:type="dxa"/>
            <w:vAlign w:val="center"/>
          </w:tcPr>
          <w:p w14:paraId="5526449C" w14:textId="77777777" w:rsidR="00C81289" w:rsidRPr="00C81289" w:rsidRDefault="00C81289" w:rsidP="00C81289">
            <w:pPr>
              <w:spacing w:after="0" w:line="259" w:lineRule="auto"/>
              <w:jc w:val="left"/>
              <w:rPr>
                <w:rFonts w:eastAsia="Calibri" w:cs="Times New Roman"/>
                <w:sz w:val="14"/>
                <w:szCs w:val="14"/>
                <w:lang w:bidi="en-US"/>
              </w:rPr>
            </w:pPr>
            <w:r w:rsidRPr="00C81289">
              <w:rPr>
                <w:rFonts w:eastAsia="Calibri" w:cs="Calibri Light"/>
                <w:sz w:val="14"/>
                <w:szCs w:val="14"/>
              </w:rPr>
              <w:t xml:space="preserve">Zakres projektu obejmował będzie budowę nowej linii kolejowej na trasie Opole Lubelskie – Puławy </w:t>
            </w:r>
          </w:p>
        </w:tc>
      </w:tr>
      <w:tr w:rsidR="00C81289" w:rsidRPr="00C81289" w14:paraId="7522D630" w14:textId="77777777" w:rsidTr="00E717A0">
        <w:tc>
          <w:tcPr>
            <w:tcW w:w="428" w:type="dxa"/>
            <w:vAlign w:val="center"/>
          </w:tcPr>
          <w:p w14:paraId="3089593A" w14:textId="34C388E9" w:rsidR="00C81289" w:rsidRPr="00C81289" w:rsidRDefault="00E717A0" w:rsidP="00C81289">
            <w:pPr>
              <w:spacing w:after="0" w:line="259" w:lineRule="auto"/>
              <w:jc w:val="center"/>
              <w:rPr>
                <w:rFonts w:eastAsia="Calibri" w:cs="Times New Roman"/>
                <w:sz w:val="14"/>
                <w:szCs w:val="14"/>
                <w:lang w:bidi="en-US"/>
              </w:rPr>
            </w:pPr>
            <w:r>
              <w:rPr>
                <w:rFonts w:eastAsia="Calibri" w:cs="Times New Roman"/>
                <w:sz w:val="14"/>
                <w:szCs w:val="14"/>
                <w:lang w:bidi="en-US"/>
              </w:rPr>
              <w:t>40</w:t>
            </w:r>
            <w:r w:rsidR="00C81289" w:rsidRPr="00C81289">
              <w:rPr>
                <w:rFonts w:eastAsia="Calibri" w:cs="Times New Roman"/>
                <w:sz w:val="14"/>
                <w:szCs w:val="14"/>
                <w:lang w:bidi="en-US"/>
              </w:rPr>
              <w:t>.</w:t>
            </w:r>
          </w:p>
        </w:tc>
        <w:tc>
          <w:tcPr>
            <w:tcW w:w="1534" w:type="dxa"/>
            <w:vAlign w:val="center"/>
          </w:tcPr>
          <w:p w14:paraId="2030D32C" w14:textId="48007224" w:rsidR="00C81289" w:rsidRPr="00C81289" w:rsidRDefault="00C81289" w:rsidP="007F76CD">
            <w:pPr>
              <w:spacing w:before="120" w:line="259" w:lineRule="auto"/>
              <w:jc w:val="left"/>
              <w:rPr>
                <w:rFonts w:eastAsia="Calibri" w:cs="Times New Roman"/>
                <w:sz w:val="14"/>
                <w:szCs w:val="16"/>
              </w:rPr>
            </w:pPr>
            <w:r w:rsidRPr="00C81289">
              <w:rPr>
                <w:rFonts w:eastAsia="Calibri" w:cs="Times New Roman"/>
                <w:sz w:val="14"/>
                <w:szCs w:val="16"/>
              </w:rPr>
              <w:t>3.4</w:t>
            </w:r>
            <w:r w:rsidR="0037203D">
              <w:rPr>
                <w:rFonts w:eastAsia="Calibri" w:cs="Times New Roman"/>
                <w:sz w:val="14"/>
                <w:szCs w:val="16"/>
              </w:rPr>
              <w:t>.</w:t>
            </w:r>
            <w:r w:rsidR="007F76CD">
              <w:rPr>
                <w:rFonts w:eastAsia="Calibri" w:cs="Times New Roman"/>
                <w:sz w:val="14"/>
                <w:szCs w:val="16"/>
              </w:rPr>
              <w:t xml:space="preserve"> </w:t>
            </w:r>
            <w:r w:rsidR="007F76CD" w:rsidRPr="007F76CD">
              <w:rPr>
                <w:rFonts w:eastAsia="Calibri" w:cs="Times New Roman"/>
                <w:sz w:val="14"/>
                <w:szCs w:val="16"/>
              </w:rPr>
              <w:t>Poprawa dostępności komunikacyjnej</w:t>
            </w:r>
          </w:p>
        </w:tc>
        <w:tc>
          <w:tcPr>
            <w:tcW w:w="2268" w:type="dxa"/>
            <w:vAlign w:val="center"/>
          </w:tcPr>
          <w:p w14:paraId="0C22154E" w14:textId="77777777" w:rsidR="00C81289" w:rsidRPr="00C81289" w:rsidRDefault="00C81289" w:rsidP="00C81289">
            <w:pPr>
              <w:spacing w:before="120" w:line="259" w:lineRule="auto"/>
              <w:jc w:val="left"/>
              <w:rPr>
                <w:rFonts w:eastAsia="Calibri" w:cs="Times New Roman"/>
                <w:sz w:val="14"/>
                <w:szCs w:val="16"/>
                <w:lang w:bidi="en-US"/>
              </w:rPr>
            </w:pPr>
            <w:r w:rsidRPr="00C81289">
              <w:rPr>
                <w:rFonts w:eastAsia="Calibri" w:cs="Times New Roman"/>
                <w:sz w:val="14"/>
                <w:szCs w:val="16"/>
              </w:rPr>
              <w:t>Budowa/ modernizacja dróg na terenie Gminy Opole Lubelskie wraz z infrastrukturą towarzyszącą</w:t>
            </w:r>
          </w:p>
        </w:tc>
        <w:tc>
          <w:tcPr>
            <w:tcW w:w="1196" w:type="dxa"/>
            <w:vAlign w:val="center"/>
          </w:tcPr>
          <w:p w14:paraId="12980E68" w14:textId="77777777" w:rsidR="00C81289" w:rsidRPr="00C81289" w:rsidRDefault="00C81289" w:rsidP="00C81289">
            <w:pPr>
              <w:spacing w:after="0" w:line="259" w:lineRule="auto"/>
              <w:jc w:val="left"/>
              <w:rPr>
                <w:rFonts w:eastAsia="Calibri" w:cs="Times New Roman"/>
                <w:sz w:val="14"/>
                <w:szCs w:val="16"/>
                <w:lang w:bidi="en-US"/>
              </w:rPr>
            </w:pPr>
            <w:r w:rsidRPr="00C81289">
              <w:rPr>
                <w:rFonts w:eastAsia="Calibri" w:cs="Times New Roman"/>
                <w:sz w:val="14"/>
                <w:szCs w:val="16"/>
              </w:rPr>
              <w:t xml:space="preserve">Gmina Opole Lubelskie </w:t>
            </w:r>
          </w:p>
        </w:tc>
        <w:tc>
          <w:tcPr>
            <w:tcW w:w="8585" w:type="dxa"/>
            <w:vAlign w:val="center"/>
          </w:tcPr>
          <w:p w14:paraId="6E6D60AE" w14:textId="77777777" w:rsidR="00C81289" w:rsidRPr="00C81289" w:rsidRDefault="00C81289" w:rsidP="00C81289">
            <w:pPr>
              <w:spacing w:after="0" w:line="259" w:lineRule="auto"/>
              <w:jc w:val="left"/>
              <w:rPr>
                <w:rFonts w:eastAsia="Calibri" w:cs="Times New Roman"/>
                <w:sz w:val="14"/>
                <w:szCs w:val="16"/>
                <w:lang w:bidi="en-US"/>
              </w:rPr>
            </w:pPr>
            <w:r w:rsidRPr="00C81289">
              <w:rPr>
                <w:rFonts w:eastAsia="Calibri" w:cs="Times New Roman"/>
                <w:sz w:val="14"/>
                <w:szCs w:val="16"/>
              </w:rPr>
              <w:t xml:space="preserve">Zakres zadania obejmuje wykonanie nawierzchni asfaltowej dróg znajdujących się w Gminie Opole Lubelskie wraz z infrastrukturą towarzyszącą </w:t>
            </w:r>
          </w:p>
        </w:tc>
      </w:tr>
      <w:tr w:rsidR="00C81289" w:rsidRPr="00C81289" w14:paraId="3D822B81" w14:textId="77777777" w:rsidTr="00E717A0">
        <w:tc>
          <w:tcPr>
            <w:tcW w:w="428" w:type="dxa"/>
            <w:vAlign w:val="center"/>
          </w:tcPr>
          <w:p w14:paraId="547FEDB1" w14:textId="524BD08E" w:rsidR="00C81289" w:rsidRPr="00C81289" w:rsidRDefault="00C81289" w:rsidP="00C81289">
            <w:pPr>
              <w:spacing w:after="0" w:line="259" w:lineRule="auto"/>
              <w:jc w:val="center"/>
              <w:rPr>
                <w:rFonts w:eastAsia="Calibri" w:cs="Times New Roman"/>
                <w:sz w:val="14"/>
                <w:szCs w:val="14"/>
                <w:lang w:bidi="en-US"/>
              </w:rPr>
            </w:pPr>
            <w:r w:rsidRPr="00C81289">
              <w:rPr>
                <w:rFonts w:eastAsia="Calibri" w:cs="Times New Roman"/>
                <w:sz w:val="14"/>
                <w:szCs w:val="14"/>
                <w:lang w:bidi="en-US"/>
              </w:rPr>
              <w:t>4</w:t>
            </w:r>
            <w:r w:rsidR="00E717A0">
              <w:rPr>
                <w:rFonts w:eastAsia="Calibri" w:cs="Times New Roman"/>
                <w:sz w:val="14"/>
                <w:szCs w:val="14"/>
                <w:lang w:bidi="en-US"/>
              </w:rPr>
              <w:t>1</w:t>
            </w:r>
            <w:r w:rsidRPr="00C81289">
              <w:rPr>
                <w:rFonts w:eastAsia="Calibri" w:cs="Times New Roman"/>
                <w:sz w:val="14"/>
                <w:szCs w:val="14"/>
                <w:lang w:bidi="en-US"/>
              </w:rPr>
              <w:t>.</w:t>
            </w:r>
          </w:p>
        </w:tc>
        <w:tc>
          <w:tcPr>
            <w:tcW w:w="1534" w:type="dxa"/>
            <w:vAlign w:val="center"/>
          </w:tcPr>
          <w:p w14:paraId="4ACE7BB0" w14:textId="32E011F7"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3.4</w:t>
            </w:r>
            <w:r w:rsidR="0037203D">
              <w:rPr>
                <w:rFonts w:eastAsia="Calibri" w:cs="Calibri Light"/>
                <w:sz w:val="14"/>
                <w:szCs w:val="14"/>
              </w:rPr>
              <w:t>.</w:t>
            </w:r>
            <w:r w:rsidR="007F76CD">
              <w:rPr>
                <w:rFonts w:eastAsia="Calibri" w:cs="Calibri Light"/>
                <w:sz w:val="14"/>
                <w:szCs w:val="14"/>
              </w:rPr>
              <w:t xml:space="preserve"> </w:t>
            </w:r>
            <w:r w:rsidR="007F76CD" w:rsidRPr="007F76CD">
              <w:rPr>
                <w:rFonts w:eastAsia="Calibri" w:cs="Calibri Light"/>
                <w:sz w:val="14"/>
                <w:szCs w:val="14"/>
              </w:rPr>
              <w:t>Poprawa dostępności komunikacyjnej</w:t>
            </w:r>
          </w:p>
        </w:tc>
        <w:tc>
          <w:tcPr>
            <w:tcW w:w="2268" w:type="dxa"/>
            <w:vAlign w:val="center"/>
          </w:tcPr>
          <w:p w14:paraId="6E6BE75A"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Poprawa dostępności komunikacyjnej na terenie miasta </w:t>
            </w:r>
          </w:p>
        </w:tc>
        <w:tc>
          <w:tcPr>
            <w:tcW w:w="1196" w:type="dxa"/>
            <w:vAlign w:val="center"/>
          </w:tcPr>
          <w:p w14:paraId="3C974E6C"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Gmina Opole Lubelskie </w:t>
            </w:r>
          </w:p>
        </w:tc>
        <w:tc>
          <w:tcPr>
            <w:tcW w:w="8585" w:type="dxa"/>
            <w:vAlign w:val="center"/>
          </w:tcPr>
          <w:p w14:paraId="13A86046"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Zakres projektu obejmował będzie budowę stacji do szybkiego ładowania pojazdów elektrycznych na terenie miasta Opole Lubelskie. </w:t>
            </w:r>
          </w:p>
        </w:tc>
      </w:tr>
      <w:tr w:rsidR="00C81289" w:rsidRPr="00C81289" w14:paraId="3191A5BC" w14:textId="77777777" w:rsidTr="00E717A0">
        <w:tc>
          <w:tcPr>
            <w:tcW w:w="428" w:type="dxa"/>
            <w:vAlign w:val="center"/>
          </w:tcPr>
          <w:p w14:paraId="45CBD80B" w14:textId="50457453" w:rsidR="00C81289" w:rsidRPr="00C81289" w:rsidRDefault="000508B8" w:rsidP="00C81289">
            <w:pPr>
              <w:spacing w:after="0" w:line="259" w:lineRule="auto"/>
              <w:jc w:val="center"/>
              <w:rPr>
                <w:rFonts w:eastAsia="Calibri" w:cs="Times New Roman"/>
                <w:sz w:val="14"/>
                <w:szCs w:val="14"/>
                <w:lang w:bidi="en-US"/>
              </w:rPr>
            </w:pPr>
            <w:r>
              <w:rPr>
                <w:rFonts w:eastAsia="Calibri" w:cs="Times New Roman"/>
                <w:sz w:val="14"/>
                <w:szCs w:val="14"/>
                <w:lang w:bidi="en-US"/>
              </w:rPr>
              <w:t>4</w:t>
            </w:r>
            <w:r w:rsidR="00E717A0">
              <w:rPr>
                <w:rFonts w:eastAsia="Calibri" w:cs="Times New Roman"/>
                <w:sz w:val="14"/>
                <w:szCs w:val="14"/>
                <w:lang w:bidi="en-US"/>
              </w:rPr>
              <w:t>2</w:t>
            </w:r>
            <w:r w:rsidR="00C81289" w:rsidRPr="00C81289">
              <w:rPr>
                <w:rFonts w:eastAsia="Calibri" w:cs="Times New Roman"/>
                <w:sz w:val="14"/>
                <w:szCs w:val="14"/>
                <w:lang w:bidi="en-US"/>
              </w:rPr>
              <w:t>.</w:t>
            </w:r>
          </w:p>
        </w:tc>
        <w:tc>
          <w:tcPr>
            <w:tcW w:w="1534" w:type="dxa"/>
            <w:vAlign w:val="center"/>
          </w:tcPr>
          <w:p w14:paraId="382BF237" w14:textId="0354461F"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3.5</w:t>
            </w:r>
            <w:r w:rsidR="0037203D">
              <w:rPr>
                <w:rFonts w:eastAsia="Calibri" w:cs="Calibri Light"/>
                <w:sz w:val="14"/>
                <w:szCs w:val="14"/>
              </w:rPr>
              <w:t>.</w:t>
            </w:r>
            <w:r w:rsidR="007F76CD">
              <w:rPr>
                <w:rFonts w:eastAsia="Calibri" w:cs="Calibri Light"/>
                <w:sz w:val="14"/>
                <w:szCs w:val="14"/>
              </w:rPr>
              <w:t xml:space="preserve"> </w:t>
            </w:r>
            <w:r w:rsidR="007F76CD" w:rsidRPr="007F76CD">
              <w:rPr>
                <w:rFonts w:eastAsia="Calibri" w:cs="Calibri Light"/>
                <w:sz w:val="14"/>
                <w:szCs w:val="14"/>
              </w:rPr>
              <w:t>Rozwój elektronicznych usług publicznych i technologii cyfrowych</w:t>
            </w:r>
          </w:p>
        </w:tc>
        <w:tc>
          <w:tcPr>
            <w:tcW w:w="2268" w:type="dxa"/>
            <w:vAlign w:val="center"/>
          </w:tcPr>
          <w:p w14:paraId="08F8081E"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Cyfryzacja i usługi publiczne </w:t>
            </w:r>
          </w:p>
        </w:tc>
        <w:tc>
          <w:tcPr>
            <w:tcW w:w="1196" w:type="dxa"/>
            <w:vAlign w:val="center"/>
          </w:tcPr>
          <w:p w14:paraId="2E5C1C19"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Centrum Usług Społecznych</w:t>
            </w:r>
          </w:p>
        </w:tc>
        <w:tc>
          <w:tcPr>
            <w:tcW w:w="8585" w:type="dxa"/>
            <w:vAlign w:val="center"/>
          </w:tcPr>
          <w:p w14:paraId="1EAEC393"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Rozwój e-usług związanych z funkcjonowaniem CUS, rozwój infrastruktury informatycznej oraz zwiększenie cyberbezpieczeństwa </w:t>
            </w:r>
          </w:p>
        </w:tc>
      </w:tr>
      <w:tr w:rsidR="00C81289" w:rsidRPr="00C81289" w14:paraId="4ED6E774" w14:textId="77777777" w:rsidTr="00E717A0">
        <w:tc>
          <w:tcPr>
            <w:tcW w:w="428" w:type="dxa"/>
            <w:vAlign w:val="center"/>
          </w:tcPr>
          <w:p w14:paraId="3B8FF424" w14:textId="10023CD1" w:rsidR="00C81289" w:rsidRPr="00C81289" w:rsidRDefault="00C81289" w:rsidP="00C81289">
            <w:pPr>
              <w:spacing w:after="0" w:line="259" w:lineRule="auto"/>
              <w:jc w:val="center"/>
              <w:rPr>
                <w:rFonts w:eastAsia="Calibri" w:cs="Times New Roman"/>
                <w:sz w:val="14"/>
                <w:szCs w:val="14"/>
                <w:lang w:bidi="en-US"/>
              </w:rPr>
            </w:pPr>
            <w:r w:rsidRPr="00C81289">
              <w:rPr>
                <w:rFonts w:eastAsia="Calibri" w:cs="Times New Roman"/>
                <w:sz w:val="14"/>
                <w:szCs w:val="14"/>
                <w:lang w:bidi="en-US"/>
              </w:rPr>
              <w:lastRenderedPageBreak/>
              <w:t>4</w:t>
            </w:r>
            <w:r w:rsidR="00E717A0">
              <w:rPr>
                <w:rFonts w:eastAsia="Calibri" w:cs="Times New Roman"/>
                <w:sz w:val="14"/>
                <w:szCs w:val="14"/>
                <w:lang w:bidi="en-US"/>
              </w:rPr>
              <w:t>3</w:t>
            </w:r>
            <w:r w:rsidRPr="00C81289">
              <w:rPr>
                <w:rFonts w:eastAsia="Calibri" w:cs="Times New Roman"/>
                <w:sz w:val="14"/>
                <w:szCs w:val="14"/>
                <w:lang w:bidi="en-US"/>
              </w:rPr>
              <w:t>.</w:t>
            </w:r>
          </w:p>
        </w:tc>
        <w:tc>
          <w:tcPr>
            <w:tcW w:w="1534" w:type="dxa"/>
            <w:vAlign w:val="center"/>
          </w:tcPr>
          <w:p w14:paraId="1C95D090" w14:textId="26767D07" w:rsidR="00C81289" w:rsidRPr="00C81289" w:rsidRDefault="00C81289" w:rsidP="007F76CD">
            <w:pPr>
              <w:spacing w:before="120" w:line="259" w:lineRule="auto"/>
              <w:jc w:val="left"/>
              <w:rPr>
                <w:rFonts w:eastAsia="Calibri" w:cs="Calibri Light"/>
                <w:sz w:val="14"/>
                <w:szCs w:val="14"/>
              </w:rPr>
            </w:pPr>
            <w:r w:rsidRPr="00C81289">
              <w:rPr>
                <w:rFonts w:eastAsia="Calibri" w:cs="Calibri Light"/>
                <w:sz w:val="14"/>
                <w:szCs w:val="14"/>
              </w:rPr>
              <w:t>3.5</w:t>
            </w:r>
            <w:r w:rsidR="0037203D">
              <w:rPr>
                <w:rFonts w:eastAsia="Calibri" w:cs="Calibri Light"/>
                <w:sz w:val="14"/>
                <w:szCs w:val="14"/>
              </w:rPr>
              <w:t>.</w:t>
            </w:r>
            <w:r w:rsidR="007F76CD">
              <w:rPr>
                <w:rFonts w:eastAsia="Calibri" w:cs="Calibri Light"/>
                <w:sz w:val="14"/>
                <w:szCs w:val="14"/>
              </w:rPr>
              <w:t xml:space="preserve"> </w:t>
            </w:r>
            <w:r w:rsidR="007F76CD" w:rsidRPr="007F76CD">
              <w:rPr>
                <w:rFonts w:eastAsia="Calibri" w:cs="Calibri Light"/>
                <w:sz w:val="14"/>
                <w:szCs w:val="14"/>
              </w:rPr>
              <w:t>Rozwój elektronicznych usług publicznych i technologii cyfrowych</w:t>
            </w:r>
          </w:p>
        </w:tc>
        <w:tc>
          <w:tcPr>
            <w:tcW w:w="2268" w:type="dxa"/>
            <w:vAlign w:val="center"/>
          </w:tcPr>
          <w:p w14:paraId="3A6EE2BA" w14:textId="77777777" w:rsidR="00C81289" w:rsidRPr="00C81289" w:rsidRDefault="00C81289" w:rsidP="00C81289">
            <w:pPr>
              <w:spacing w:before="120" w:line="259" w:lineRule="auto"/>
              <w:jc w:val="left"/>
              <w:rPr>
                <w:rFonts w:eastAsia="Calibri" w:cs="Calibri Light"/>
                <w:sz w:val="14"/>
                <w:szCs w:val="14"/>
              </w:rPr>
            </w:pPr>
            <w:r w:rsidRPr="00C81289">
              <w:rPr>
                <w:rFonts w:eastAsia="Calibri" w:cs="Calibri Light"/>
                <w:sz w:val="14"/>
                <w:szCs w:val="14"/>
              </w:rPr>
              <w:t xml:space="preserve">Rozwój e-usług, informatyzacja Opola Lubelskiego oraz gminy partnerskich drogą do transformacji cyfrowej </w:t>
            </w:r>
          </w:p>
        </w:tc>
        <w:tc>
          <w:tcPr>
            <w:tcW w:w="1196" w:type="dxa"/>
            <w:vAlign w:val="center"/>
          </w:tcPr>
          <w:p w14:paraId="4AFCDF2C" w14:textId="77777777" w:rsidR="00C81289" w:rsidRPr="00C81289" w:rsidRDefault="00C81289" w:rsidP="00C81289">
            <w:pPr>
              <w:spacing w:after="0" w:line="259" w:lineRule="auto"/>
              <w:jc w:val="left"/>
              <w:rPr>
                <w:rFonts w:eastAsia="Calibri" w:cs="Calibri Light"/>
                <w:sz w:val="14"/>
                <w:szCs w:val="14"/>
              </w:rPr>
            </w:pPr>
            <w:r w:rsidRPr="00C81289">
              <w:rPr>
                <w:rFonts w:eastAsia="Calibri" w:cs="Calibri Light"/>
                <w:sz w:val="14"/>
                <w:szCs w:val="14"/>
              </w:rPr>
              <w:t xml:space="preserve">Gmina Opole Lubelskie </w:t>
            </w:r>
          </w:p>
        </w:tc>
        <w:tc>
          <w:tcPr>
            <w:tcW w:w="8585" w:type="dxa"/>
            <w:vAlign w:val="center"/>
          </w:tcPr>
          <w:p w14:paraId="620A8083" w14:textId="77777777" w:rsidR="00C57017" w:rsidRPr="00C81289" w:rsidRDefault="00EE73F1" w:rsidP="00C81289">
            <w:pPr>
              <w:spacing w:before="120" w:after="0" w:line="259" w:lineRule="auto"/>
              <w:jc w:val="left"/>
              <w:rPr>
                <w:rFonts w:eastAsia="Calibri" w:cs="Calibri Light"/>
                <w:sz w:val="14"/>
                <w:szCs w:val="14"/>
                <w:u w:val="single"/>
              </w:rPr>
            </w:pPr>
            <w:r w:rsidRPr="00C81289">
              <w:rPr>
                <w:rFonts w:eastAsia="Calibri" w:cs="Calibri Light"/>
                <w:sz w:val="14"/>
                <w:szCs w:val="14"/>
                <w:u w:val="single"/>
              </w:rPr>
              <w:t>Zakres projektu obejmuje:</w:t>
            </w:r>
          </w:p>
          <w:p w14:paraId="47F10026" w14:textId="77777777" w:rsidR="00C57017" w:rsidRPr="00C81289" w:rsidRDefault="00EE73F1">
            <w:pPr>
              <w:numPr>
                <w:ilvl w:val="0"/>
                <w:numId w:val="46"/>
              </w:numPr>
              <w:spacing w:after="0" w:line="259" w:lineRule="auto"/>
              <w:ind w:left="113" w:hanging="113"/>
              <w:jc w:val="left"/>
              <w:rPr>
                <w:rFonts w:eastAsia="Calibri" w:cs="Calibri Light"/>
                <w:sz w:val="14"/>
                <w:szCs w:val="14"/>
              </w:rPr>
            </w:pPr>
            <w:r w:rsidRPr="00C81289">
              <w:rPr>
                <w:rFonts w:eastAsia="Calibri" w:cs="Calibri Light"/>
                <w:sz w:val="14"/>
                <w:szCs w:val="14"/>
              </w:rPr>
              <w:t xml:space="preserve">zakup licencji oprogramowania portalu podatkowego </w:t>
            </w:r>
          </w:p>
          <w:p w14:paraId="039F947D"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zakup usług wdrożenia oprogramowania portalu podatkowego</w:t>
            </w:r>
          </w:p>
          <w:p w14:paraId="1C103B5B"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zakup usług modernizacji oprogramowania dziedzinowego</w:t>
            </w:r>
          </w:p>
          <w:p w14:paraId="35C1D186"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zakup usług wdrożenia oprogramowania systemu dziedzinowego</w:t>
            </w:r>
          </w:p>
          <w:p w14:paraId="678FD5BF"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 xml:space="preserve">zakup usług migracji danych oprogramowania dziedzinowego </w:t>
            </w:r>
          </w:p>
          <w:p w14:paraId="1407F8F3"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zakup usług opracowania i wdrożenia e-usług finansowanych</w:t>
            </w:r>
          </w:p>
          <w:p w14:paraId="10E63FB9"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 xml:space="preserve">zakup usług doradztwa technicznego </w:t>
            </w:r>
          </w:p>
          <w:p w14:paraId="6C274D95"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 xml:space="preserve">udział w zakupie licencji oprogramowania partnerskiej platformy do prowadzenia procedur planistycznych </w:t>
            </w:r>
          </w:p>
          <w:p w14:paraId="3AD841DE"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zakup usług wdrożenia oprogramowania partnerskiej platformy do prowadzenia procedur planistycznych</w:t>
            </w:r>
          </w:p>
          <w:p w14:paraId="1563BB7E"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 xml:space="preserve">zakup usług doradztwa technicznego </w:t>
            </w:r>
          </w:p>
          <w:p w14:paraId="2E1C7C15"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 xml:space="preserve">wyposażenie stanowiska kancelaryjnego – zakup drukarek kodów kreskowych </w:t>
            </w:r>
          </w:p>
          <w:p w14:paraId="15D10B05"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wyposażenie serwerowni: zakup serwera z systemem operacyjnym, zakup macierzy dyskowej, zakup urządzenia NAS, zakup licencji oprogramowania backup, zakup UPS</w:t>
            </w:r>
          </w:p>
          <w:p w14:paraId="0FA08D0B"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 xml:space="preserve">wyposażenie stanowiska do digitalizacji – zakup plotera ze skanerem </w:t>
            </w:r>
          </w:p>
          <w:p w14:paraId="1D4FAAC0" w14:textId="77777777" w:rsidR="00C57017" w:rsidRPr="00C81289" w:rsidRDefault="00EE73F1">
            <w:pPr>
              <w:numPr>
                <w:ilvl w:val="0"/>
                <w:numId w:val="46"/>
              </w:numPr>
              <w:spacing w:after="0" w:line="259" w:lineRule="auto"/>
              <w:ind w:left="114" w:hanging="114"/>
              <w:jc w:val="left"/>
              <w:rPr>
                <w:rFonts w:eastAsia="Calibri" w:cs="Calibri Light"/>
                <w:sz w:val="14"/>
                <w:szCs w:val="14"/>
              </w:rPr>
            </w:pPr>
            <w:r w:rsidRPr="00C81289">
              <w:rPr>
                <w:rFonts w:eastAsia="Calibri" w:cs="Calibri Light"/>
                <w:sz w:val="14"/>
                <w:szCs w:val="14"/>
              </w:rPr>
              <w:t>zakup usług doradztwa technicznego</w:t>
            </w:r>
          </w:p>
          <w:p w14:paraId="145653BB" w14:textId="77777777" w:rsidR="00C57017" w:rsidRPr="00C81289" w:rsidRDefault="00EE73F1">
            <w:pPr>
              <w:numPr>
                <w:ilvl w:val="0"/>
                <w:numId w:val="46"/>
              </w:numPr>
              <w:spacing w:line="259" w:lineRule="auto"/>
              <w:ind w:left="113" w:hanging="113"/>
              <w:jc w:val="left"/>
              <w:rPr>
                <w:rFonts w:eastAsia="Calibri" w:cs="Calibri Light"/>
                <w:sz w:val="14"/>
                <w:szCs w:val="14"/>
              </w:rPr>
            </w:pPr>
            <w:r w:rsidRPr="00C81289">
              <w:rPr>
                <w:rFonts w:eastAsia="Calibri" w:cs="Calibri Light"/>
                <w:sz w:val="14"/>
                <w:szCs w:val="14"/>
              </w:rPr>
              <w:t xml:space="preserve">zakup usług przeprowadzenia autoryzowanych szkoleń w zakresie administracji środowiskiem informatycznym </w:t>
            </w:r>
          </w:p>
        </w:tc>
      </w:tr>
    </w:tbl>
    <w:p w14:paraId="50B181AA" w14:textId="77777777" w:rsidR="00221896" w:rsidRDefault="00221896" w:rsidP="00FC5439">
      <w:pPr>
        <w:rPr>
          <w:lang w:bidi="en-US"/>
        </w:rPr>
      </w:pPr>
    </w:p>
    <w:p w14:paraId="5FF329AB" w14:textId="0E927511" w:rsidR="005B3AA1" w:rsidRDefault="005B3AA1">
      <w:pPr>
        <w:spacing w:after="160" w:line="259" w:lineRule="auto"/>
        <w:jc w:val="left"/>
        <w:rPr>
          <w:lang w:bidi="en-US"/>
        </w:rPr>
      </w:pPr>
      <w:r>
        <w:rPr>
          <w:lang w:bidi="en-US"/>
        </w:rPr>
        <w:br w:type="page"/>
      </w:r>
    </w:p>
    <w:p w14:paraId="70464C2A" w14:textId="77777777" w:rsidR="00C3476C" w:rsidRDefault="00C3476C" w:rsidP="00C3476C">
      <w:pPr>
        <w:pStyle w:val="Nagwek1"/>
        <w:jc w:val="left"/>
        <w:rPr>
          <w:lang w:bidi="en-US"/>
        </w:rPr>
        <w:sectPr w:rsidR="00C3476C" w:rsidSect="00F9202A">
          <w:pgSz w:w="16838" w:h="11906" w:orient="landscape"/>
          <w:pgMar w:top="1418" w:right="1418" w:bottom="1418" w:left="1418" w:header="709" w:footer="709" w:gutter="0"/>
          <w:cols w:space="708"/>
          <w:titlePg/>
          <w:docGrid w:linePitch="360"/>
        </w:sectPr>
      </w:pPr>
    </w:p>
    <w:p w14:paraId="62319AC5" w14:textId="63742DDE" w:rsidR="00B15013" w:rsidRPr="00B15013" w:rsidRDefault="007327CA" w:rsidP="00B15013">
      <w:pPr>
        <w:pStyle w:val="Nagwek1"/>
        <w:jc w:val="left"/>
        <w:rPr>
          <w:lang w:bidi="en-US"/>
        </w:rPr>
      </w:pPr>
      <w:bookmarkStart w:id="216" w:name="_Toc191908812"/>
      <w:r w:rsidRPr="00B75436">
        <w:rPr>
          <w:lang w:bidi="en-US"/>
        </w:rPr>
        <w:lastRenderedPageBreak/>
        <w:t xml:space="preserve">Załącznik </w:t>
      </w:r>
      <w:r w:rsidR="00D340C1" w:rsidRPr="00B75436">
        <w:rPr>
          <w:lang w:bidi="en-US"/>
        </w:rPr>
        <w:t>2</w:t>
      </w:r>
      <w:r w:rsidR="00676C8A">
        <w:rPr>
          <w:b/>
          <w:bCs/>
          <w:lang w:bidi="en-US"/>
        </w:rPr>
        <w:t xml:space="preserve"> </w:t>
      </w:r>
      <w:r w:rsidR="00676C8A" w:rsidRPr="00676C8A">
        <w:rPr>
          <w:lang w:bidi="en-US"/>
        </w:rPr>
        <w:t>-</w:t>
      </w:r>
      <w:r w:rsidR="00676C8A">
        <w:rPr>
          <w:b/>
          <w:bCs/>
          <w:lang w:bidi="en-US"/>
        </w:rPr>
        <w:t xml:space="preserve"> </w:t>
      </w:r>
      <w:r w:rsidR="00AD5DC6">
        <w:rPr>
          <w:lang w:bidi="en-US"/>
        </w:rPr>
        <w:t xml:space="preserve">Sprawozdanie </w:t>
      </w:r>
      <w:r w:rsidR="00E54DC0" w:rsidRPr="00E54DC0">
        <w:rPr>
          <w:lang w:bidi="en-US"/>
        </w:rPr>
        <w:t>z przebiegu i wyników procesu partycypacji i</w:t>
      </w:r>
      <w:r w:rsidR="00E54DC0">
        <w:rPr>
          <w:lang w:bidi="en-US"/>
        </w:rPr>
        <w:t> </w:t>
      </w:r>
      <w:r w:rsidR="00E54DC0" w:rsidRPr="00E54DC0">
        <w:rPr>
          <w:lang w:bidi="en-US"/>
        </w:rPr>
        <w:t>konsultacji społecznych</w:t>
      </w:r>
      <w:bookmarkEnd w:id="216"/>
    </w:p>
    <w:p w14:paraId="5EBD3C17" w14:textId="0C54B10A" w:rsidR="00B15013" w:rsidRPr="00B15013" w:rsidRDefault="00BB027D" w:rsidP="00B15013">
      <w:pPr>
        <w:rPr>
          <w:b/>
          <w:bCs/>
          <w:lang w:bidi="en-US"/>
        </w:rPr>
      </w:pPr>
      <w:r w:rsidRPr="00060446">
        <w:rPr>
          <w:b/>
          <w:bCs/>
          <w:lang w:bidi="en-US"/>
        </w:rPr>
        <w:t>Partycypacja społeczna na etapie</w:t>
      </w:r>
      <w:r w:rsidR="00B15013" w:rsidRPr="00B15013">
        <w:rPr>
          <w:b/>
          <w:bCs/>
          <w:lang w:bidi="en-US"/>
        </w:rPr>
        <w:t xml:space="preserve"> opracowania Strategii</w:t>
      </w:r>
    </w:p>
    <w:p w14:paraId="1CB71859" w14:textId="386BDA22" w:rsidR="00B15013" w:rsidRPr="00B15013" w:rsidRDefault="00B15013" w:rsidP="00060446">
      <w:pPr>
        <w:rPr>
          <w:lang w:bidi="en-US"/>
        </w:rPr>
      </w:pPr>
      <w:r w:rsidRPr="00B15013">
        <w:rPr>
          <w:lang w:bidi="en-US"/>
        </w:rPr>
        <w:t>Proces opracowania Strategi</w:t>
      </w:r>
      <w:r w:rsidRPr="00060446">
        <w:rPr>
          <w:lang w:bidi="en-US"/>
        </w:rPr>
        <w:t>i</w:t>
      </w:r>
      <w:r w:rsidRPr="00B15013">
        <w:rPr>
          <w:lang w:bidi="en-US"/>
        </w:rPr>
        <w:t xml:space="preserve"> Rozwoju </w:t>
      </w:r>
      <w:r w:rsidRPr="00060446">
        <w:rPr>
          <w:lang w:bidi="en-US"/>
        </w:rPr>
        <w:t xml:space="preserve">Gminy Opole Lubelskie na lata 2025 – 2030 </w:t>
      </w:r>
      <w:r w:rsidRPr="00B15013">
        <w:rPr>
          <w:lang w:bidi="en-US"/>
        </w:rPr>
        <w:t xml:space="preserve">realizowano z poszanowaniem zasad partycypacji społecznej zapewniając możliwość uczestnictwa interesariuszy w procesie planistycznym. Zaangażowanie interesariuszy odbywało się na etapie przygotowania diagnozy oraz opracowywania dokumentu strategicznego. Pozwoliło to na właściwe wypracowanie założeń dokumentu, tj. celów strategicznych i kierunków działań, zasad i obszarów współpracy, identyfikację problemów, potencjałów oraz propozycji przedsięwzięć. </w:t>
      </w:r>
    </w:p>
    <w:p w14:paraId="372DC794" w14:textId="61C7BA92" w:rsidR="00B15013" w:rsidRPr="00B15013" w:rsidRDefault="00B15013" w:rsidP="00B15013">
      <w:pPr>
        <w:rPr>
          <w:lang w:bidi="en-US"/>
        </w:rPr>
      </w:pPr>
      <w:r w:rsidRPr="00B15013">
        <w:rPr>
          <w:lang w:bidi="en-US"/>
        </w:rPr>
        <w:t xml:space="preserve">Istotą procesu partycypacji realizowanego w ramach opracowania Strategii było poznanie opinii interesariuszy dotyczących barier, problemów i kierunków rozwoju obszaru </w:t>
      </w:r>
      <w:r w:rsidRPr="00060446">
        <w:rPr>
          <w:lang w:bidi="en-US"/>
        </w:rPr>
        <w:t>gminy Opole Lubelskie</w:t>
      </w:r>
      <w:r w:rsidRPr="00B15013">
        <w:rPr>
          <w:lang w:bidi="en-US"/>
        </w:rPr>
        <w:t xml:space="preserve"> oraz rekomendacji w zakresie przedsięwzięć, które mają być realizowane w ramach Strategii. Proces ten realizowany był w </w:t>
      </w:r>
      <w:r w:rsidRPr="00060446">
        <w:rPr>
          <w:lang w:bidi="en-US"/>
        </w:rPr>
        <w:t>ramach</w:t>
      </w:r>
      <w:r w:rsidRPr="00B15013">
        <w:rPr>
          <w:lang w:bidi="en-US"/>
        </w:rPr>
        <w:t xml:space="preserve"> spotkań </w:t>
      </w:r>
      <w:r w:rsidRPr="00060446">
        <w:rPr>
          <w:lang w:bidi="en-US"/>
        </w:rPr>
        <w:t>interesariuszy</w:t>
      </w:r>
      <w:r w:rsidRPr="00B15013">
        <w:rPr>
          <w:lang w:bidi="en-US"/>
        </w:rPr>
        <w:t xml:space="preserve"> oraz w ramach konsultacji społecznych. Kierowano się zasadą poszukiwania takich rozwiązań, które są realistyczne pod względem możliwości finansowych</w:t>
      </w:r>
      <w:r w:rsidR="00537898">
        <w:rPr>
          <w:lang w:bidi="en-US"/>
        </w:rPr>
        <w:t xml:space="preserve"> i </w:t>
      </w:r>
      <w:r w:rsidRPr="00B15013">
        <w:rPr>
          <w:lang w:bidi="en-US"/>
        </w:rPr>
        <w:t>organizacyjnych samorząd</w:t>
      </w:r>
      <w:r w:rsidRPr="00060446">
        <w:rPr>
          <w:lang w:bidi="en-US"/>
        </w:rPr>
        <w:t xml:space="preserve">u gminy Opole Lubelskie </w:t>
      </w:r>
      <w:r w:rsidRPr="00B15013">
        <w:rPr>
          <w:lang w:bidi="en-US"/>
        </w:rPr>
        <w:t xml:space="preserve">oraz pomogą władzom publicznym podejmować decyzje w największym stopniu realizujące zasadę wspólnego dobra społeczności </w:t>
      </w:r>
      <w:r w:rsidRPr="00060446">
        <w:rPr>
          <w:lang w:bidi="en-US"/>
        </w:rPr>
        <w:t>gminy</w:t>
      </w:r>
      <w:r w:rsidRPr="00B15013">
        <w:rPr>
          <w:lang w:bidi="en-US"/>
        </w:rPr>
        <w:t>.</w:t>
      </w:r>
    </w:p>
    <w:p w14:paraId="724E49E9" w14:textId="72BEA7FD" w:rsidR="00B15013" w:rsidRPr="00B15013" w:rsidRDefault="00BB027D" w:rsidP="00B15013">
      <w:pPr>
        <w:rPr>
          <w:b/>
          <w:bCs/>
          <w:lang w:bidi="en-US"/>
        </w:rPr>
      </w:pPr>
      <w:r w:rsidRPr="00060446">
        <w:rPr>
          <w:b/>
          <w:bCs/>
          <w:lang w:bidi="en-US"/>
        </w:rPr>
        <w:t xml:space="preserve">Partycypacja społeczna na etapie </w:t>
      </w:r>
      <w:r w:rsidR="00B15013" w:rsidRPr="00B15013">
        <w:rPr>
          <w:b/>
          <w:bCs/>
          <w:lang w:bidi="en-US"/>
        </w:rPr>
        <w:t>realizacji Strategii</w:t>
      </w:r>
    </w:p>
    <w:p w14:paraId="407664FC" w14:textId="1E393DDF" w:rsidR="00B15013" w:rsidRPr="00B15013" w:rsidRDefault="00B15013" w:rsidP="00B15013">
      <w:pPr>
        <w:rPr>
          <w:lang w:bidi="en-US"/>
        </w:rPr>
      </w:pPr>
      <w:r w:rsidRPr="00B15013">
        <w:rPr>
          <w:lang w:bidi="en-US"/>
        </w:rPr>
        <w:t xml:space="preserve">Realizacja strategii będzie kolejnym etapem, na którym </w:t>
      </w:r>
      <w:r w:rsidRPr="00060446">
        <w:rPr>
          <w:lang w:bidi="en-US"/>
        </w:rPr>
        <w:t>zapewnione zostanie</w:t>
      </w:r>
      <w:r w:rsidRPr="00B15013">
        <w:rPr>
          <w:lang w:bidi="en-US"/>
        </w:rPr>
        <w:t xml:space="preserve"> włączenie interesariuszy. Zgodnie z zasadami współpracy partnerów przyjętymi w Strategii (Rozdział 1</w:t>
      </w:r>
      <w:r w:rsidR="003A5D00" w:rsidRPr="00060446">
        <w:rPr>
          <w:lang w:bidi="en-US"/>
        </w:rPr>
        <w:t>2</w:t>
      </w:r>
      <w:r w:rsidRPr="00B15013">
        <w:rPr>
          <w:lang w:bidi="en-US"/>
        </w:rPr>
        <w:t xml:space="preserve">.1), wszystkie istotne decyzje i zmiany dokumentu Strategii oraz kluczowe informacje służące wdrażaniu Strategii, w tym obejmujące proces monitoringu oraz decyzje ws. uruchomienia badań ewaluacyjnych i wykorzystania wniosków z tych badań, będą konsultowane ze interesariuszami z terenu </w:t>
      </w:r>
      <w:r w:rsidR="003A5D00" w:rsidRPr="00060446">
        <w:rPr>
          <w:lang w:bidi="en-US"/>
        </w:rPr>
        <w:t>gminy Opola Lubelskie</w:t>
      </w:r>
      <w:r w:rsidRPr="00B15013">
        <w:rPr>
          <w:lang w:bidi="en-US"/>
        </w:rPr>
        <w:t>.</w:t>
      </w:r>
    </w:p>
    <w:p w14:paraId="190CDC69" w14:textId="68ADF394" w:rsidR="00B15013" w:rsidRPr="00B15013" w:rsidRDefault="00B15013" w:rsidP="00B15013">
      <w:pPr>
        <w:rPr>
          <w:lang w:bidi="en-US"/>
        </w:rPr>
      </w:pPr>
      <w:r w:rsidRPr="00B15013">
        <w:rPr>
          <w:lang w:bidi="en-US"/>
        </w:rPr>
        <w:t>Ponadto społeczność lokalna będzie na bieżąco informowana o stopniu realizacji strategii oraz poszczególnych przedsięwzięć, a także osiągniętych rezultatach strategicznych. Informacje te mogą być przekazywane społeczności lokalnej poprzez bieżąc</w:t>
      </w:r>
      <w:r w:rsidR="004D22B6">
        <w:rPr>
          <w:lang w:bidi="en-US"/>
        </w:rPr>
        <w:t>e</w:t>
      </w:r>
      <w:r w:rsidRPr="00B15013">
        <w:rPr>
          <w:lang w:bidi="en-US"/>
        </w:rPr>
        <w:t xml:space="preserve"> inform</w:t>
      </w:r>
      <w:r w:rsidR="004D22B6">
        <w:rPr>
          <w:lang w:bidi="en-US"/>
        </w:rPr>
        <w:t>owanie</w:t>
      </w:r>
      <w:r w:rsidRPr="00B15013">
        <w:rPr>
          <w:lang w:bidi="en-US"/>
        </w:rPr>
        <w:t xml:space="preserve"> o postępach wdrażania strategii kanałami elektronicznymi (stron</w:t>
      </w:r>
      <w:r w:rsidR="004D22B6">
        <w:rPr>
          <w:lang w:bidi="en-US"/>
        </w:rPr>
        <w:t>a internetowa gminy, media społecznościowe</w:t>
      </w:r>
      <w:r w:rsidRPr="00B15013">
        <w:rPr>
          <w:lang w:bidi="en-US"/>
        </w:rPr>
        <w:t>), jak również stanowić część raportów o stanie gmin</w:t>
      </w:r>
      <w:r w:rsidR="003A5D00" w:rsidRPr="00060446">
        <w:rPr>
          <w:lang w:bidi="en-US"/>
        </w:rPr>
        <w:t>y</w:t>
      </w:r>
      <w:r w:rsidRPr="00B15013">
        <w:rPr>
          <w:lang w:bidi="en-US"/>
        </w:rPr>
        <w:t xml:space="preserve"> podawanych corocznie do wiadomości publicznej przez władze lokalne.</w:t>
      </w:r>
    </w:p>
    <w:p w14:paraId="1D7058DA" w14:textId="7470946A" w:rsidR="00B15013" w:rsidRPr="00B15013" w:rsidRDefault="00B15013" w:rsidP="00B15013">
      <w:pPr>
        <w:rPr>
          <w:lang w:bidi="en-US"/>
        </w:rPr>
      </w:pPr>
      <w:r w:rsidRPr="00B15013">
        <w:rPr>
          <w:lang w:bidi="en-US"/>
        </w:rPr>
        <w:t>W trakcie wdrażania zaplanowanych projektów strategicznych istotnym elementem jest uspołecznienie tego procesu, w szczególności w zakresie wypracowania wraz ze społecznością lokalną koncepcji ostatecznego kształtu przedsięwzięć. Partycypacyjny proces planowania pozwoli na ściślejsze i bardziej trafne dopasowanie projekt</w:t>
      </w:r>
      <w:r w:rsidR="003A5D00" w:rsidRPr="00060446">
        <w:rPr>
          <w:lang w:bidi="en-US"/>
        </w:rPr>
        <w:t>ów</w:t>
      </w:r>
      <w:r w:rsidRPr="00B15013">
        <w:rPr>
          <w:lang w:bidi="en-US"/>
        </w:rPr>
        <w:t xml:space="preserve"> do realnych potrzeb jego odbiorców.</w:t>
      </w:r>
    </w:p>
    <w:p w14:paraId="7A0D5937" w14:textId="2F797613" w:rsidR="00B15013" w:rsidRPr="00B15013" w:rsidRDefault="00BB027D" w:rsidP="00B15013">
      <w:pPr>
        <w:rPr>
          <w:b/>
          <w:bCs/>
          <w:lang w:bidi="en-US"/>
        </w:rPr>
      </w:pPr>
      <w:bookmarkStart w:id="217" w:name="_Hlk152674910"/>
      <w:r w:rsidRPr="00060446">
        <w:rPr>
          <w:b/>
          <w:bCs/>
          <w:lang w:bidi="en-US"/>
        </w:rPr>
        <w:t xml:space="preserve">Partycypacja społeczna na etapie </w:t>
      </w:r>
      <w:r w:rsidR="00B15013" w:rsidRPr="00B15013">
        <w:rPr>
          <w:b/>
          <w:bCs/>
          <w:lang w:bidi="en-US"/>
        </w:rPr>
        <w:t>oceny efektów Strategii</w:t>
      </w:r>
    </w:p>
    <w:p w14:paraId="6D2491C2" w14:textId="56562744" w:rsidR="00B15013" w:rsidRPr="00B15013" w:rsidRDefault="00B15013" w:rsidP="00BB027D">
      <w:pPr>
        <w:spacing w:after="240"/>
        <w:rPr>
          <w:bCs/>
          <w:lang w:bidi="en-US"/>
        </w:rPr>
      </w:pPr>
      <w:r w:rsidRPr="00B15013">
        <w:rPr>
          <w:bCs/>
          <w:lang w:bidi="en-US"/>
        </w:rPr>
        <w:t xml:space="preserve">Opisana wyżej partycypacja społeczna dotyczy również etapu oceny efektów realizacji Strategii, tj. monitoringu Strategii i badań ewaluacyjnych. Włączenie społeczne na etapie </w:t>
      </w:r>
      <w:r w:rsidRPr="00B15013">
        <w:rPr>
          <w:bCs/>
          <w:lang w:bidi="en-US"/>
        </w:rPr>
        <w:lastRenderedPageBreak/>
        <w:t xml:space="preserve">oceny efektów strategii będzie odbywało się dwutorowo – społeczność lokalna będzie informowana o stopniu realizacji strategii i wdrażanych przedsięwzięć, jak również będzie uczestniczyć w ocenie ich realizacji. Podkreślić należy, że odpowiednie narzędzia badawcze (z wykorzystaniem nie tylko ogólnodostępnych danych statystycznych, ale także informacji pozyskanych od partnerów i mieszkańców </w:t>
      </w:r>
      <w:r w:rsidR="00BB027D" w:rsidRPr="00060446">
        <w:rPr>
          <w:bCs/>
          <w:lang w:bidi="en-US"/>
        </w:rPr>
        <w:t>gminy</w:t>
      </w:r>
      <w:r w:rsidRPr="00B15013">
        <w:rPr>
          <w:bCs/>
          <w:lang w:bidi="en-US"/>
        </w:rPr>
        <w:t xml:space="preserve"> - np. sondaże, badania fokusowe, ankiety i wywiady, spacery badawcze) określone zostaną w odniesieniu od zakresu i stopnia szczegółowości badań ewaluacyjnych oraz przedmiotu analiz.</w:t>
      </w:r>
      <w:bookmarkEnd w:id="217"/>
    </w:p>
    <w:p w14:paraId="658EA2CA" w14:textId="115AFCA2" w:rsidR="00B15013" w:rsidRPr="00060446" w:rsidRDefault="00BB027D" w:rsidP="00D85236">
      <w:pPr>
        <w:rPr>
          <w:b/>
          <w:bCs/>
          <w:u w:val="single"/>
          <w:lang w:bidi="en-US"/>
        </w:rPr>
      </w:pPr>
      <w:r w:rsidRPr="00060446">
        <w:rPr>
          <w:b/>
          <w:bCs/>
          <w:u w:val="single"/>
          <w:lang w:bidi="en-US"/>
        </w:rPr>
        <w:t>KONSULTACJE SPOŁECZNE PROJEKTU STRATEGII</w:t>
      </w:r>
    </w:p>
    <w:p w14:paraId="67190654" w14:textId="667E9C56" w:rsidR="00D85236" w:rsidRPr="00060446" w:rsidRDefault="00D85236" w:rsidP="00D85236">
      <w:pPr>
        <w:rPr>
          <w:lang w:bidi="en-US"/>
        </w:rPr>
      </w:pPr>
      <w:r w:rsidRPr="00060446">
        <w:rPr>
          <w:lang w:bidi="en-US"/>
        </w:rPr>
        <w:t xml:space="preserve">Projekt Strategii Rozwoju </w:t>
      </w:r>
      <w:r w:rsidR="00BB027D" w:rsidRPr="00060446">
        <w:rPr>
          <w:lang w:bidi="en-US"/>
        </w:rPr>
        <w:t xml:space="preserve">Gminy Opole Lubelskie na lata 2025 – 2030 </w:t>
      </w:r>
      <w:r w:rsidRPr="00060446">
        <w:rPr>
          <w:lang w:bidi="en-US"/>
        </w:rPr>
        <w:t xml:space="preserve">został poddany konsultacjom społecznym, zgodnie z zapisami art. 6 ust. 3–6 ustawy o zasadach prowadzenia polityki rozwoju </w:t>
      </w:r>
      <w:r w:rsidR="00F30B25" w:rsidRPr="00060446">
        <w:rPr>
          <w:lang w:bidi="en-US"/>
        </w:rPr>
        <w:t>(Dz. U. z 2024, poz. 324)</w:t>
      </w:r>
      <w:r w:rsidR="006621DF" w:rsidRPr="00060446">
        <w:rPr>
          <w:lang w:bidi="en-US"/>
        </w:rPr>
        <w:t>.</w:t>
      </w:r>
    </w:p>
    <w:p w14:paraId="144F6B38" w14:textId="72652271" w:rsidR="00D85236" w:rsidRPr="00060446" w:rsidRDefault="00D85236" w:rsidP="00D85236">
      <w:pPr>
        <w:rPr>
          <w:lang w:bidi="en-US"/>
        </w:rPr>
      </w:pPr>
      <w:r w:rsidRPr="00060446">
        <w:rPr>
          <w:lang w:bidi="en-US"/>
        </w:rPr>
        <w:t xml:space="preserve">Konsultacje społeczne projektu Strategii </w:t>
      </w:r>
      <w:r w:rsidR="006621DF" w:rsidRPr="00060446">
        <w:rPr>
          <w:lang w:bidi="en-US"/>
        </w:rPr>
        <w:t xml:space="preserve">Rozwoju Gminy Opole Lubelskie na lata 2025 – 2030 </w:t>
      </w:r>
      <w:r w:rsidRPr="00060446">
        <w:rPr>
          <w:lang w:bidi="en-US"/>
        </w:rPr>
        <w:t xml:space="preserve">prowadzone były </w:t>
      </w:r>
      <w:r w:rsidR="006621DF" w:rsidRPr="00060446">
        <w:rPr>
          <w:lang w:bidi="en-US"/>
        </w:rPr>
        <w:t>od dnia 26 listopada 2024 r. do dnia 30 grudnia 2024 r.</w:t>
      </w:r>
      <w:r w:rsidR="00AE3E57" w:rsidRPr="00060446">
        <w:rPr>
          <w:lang w:bidi="en-US"/>
        </w:rPr>
        <w:t xml:space="preserve"> </w:t>
      </w:r>
      <w:r w:rsidR="006108B1" w:rsidRPr="00060446">
        <w:rPr>
          <w:lang w:bidi="en-US"/>
        </w:rPr>
        <w:t xml:space="preserve">w celu </w:t>
      </w:r>
      <w:r w:rsidRPr="00060446">
        <w:rPr>
          <w:lang w:bidi="en-US"/>
        </w:rPr>
        <w:t>przedstawienia projektu dokumentu Strategii interesariuszom (mieszkańcom, organizacjom pozarządowym, sąsiednim gminom i ich związkom oraz lokalnym partnerom społecznym i gospodarczym), umożliwienia zainteresowanym osobom i podmiotom zapoznania się z treścią projektu dokumentu oraz zebrani</w:t>
      </w:r>
      <w:r w:rsidR="00DB2074">
        <w:rPr>
          <w:lang w:bidi="en-US"/>
        </w:rPr>
        <w:t>a</w:t>
      </w:r>
      <w:r w:rsidRPr="00060446">
        <w:rPr>
          <w:lang w:bidi="en-US"/>
        </w:rPr>
        <w:t xml:space="preserve"> wniosków, opinii, uwag i propozycji zmian, a także zapewnieni</w:t>
      </w:r>
      <w:r w:rsidR="00DB2074">
        <w:rPr>
          <w:lang w:bidi="en-US"/>
        </w:rPr>
        <w:t>a</w:t>
      </w:r>
      <w:r w:rsidRPr="00060446">
        <w:rPr>
          <w:lang w:bidi="en-US"/>
        </w:rPr>
        <w:t xml:space="preserve"> udziału </w:t>
      </w:r>
      <w:r w:rsidR="006108B1" w:rsidRPr="00060446">
        <w:rPr>
          <w:lang w:bidi="en-US"/>
        </w:rPr>
        <w:t>społeczeństwa</w:t>
      </w:r>
      <w:r w:rsidRPr="00060446">
        <w:rPr>
          <w:lang w:bidi="en-US"/>
        </w:rPr>
        <w:t xml:space="preserve"> w procesie opracowania Strategii.</w:t>
      </w:r>
    </w:p>
    <w:p w14:paraId="5A6D9314" w14:textId="77777777" w:rsidR="006108B1" w:rsidRPr="00060446" w:rsidRDefault="00D85236" w:rsidP="006108B1">
      <w:pPr>
        <w:spacing w:after="0"/>
        <w:rPr>
          <w:lang w:bidi="en-US"/>
        </w:rPr>
      </w:pPr>
      <w:r w:rsidRPr="00060446">
        <w:rPr>
          <w:lang w:bidi="en-US"/>
        </w:rPr>
        <w:t>Ogłoszeni</w:t>
      </w:r>
      <w:r w:rsidR="006108B1" w:rsidRPr="00060446">
        <w:rPr>
          <w:lang w:bidi="en-US"/>
        </w:rPr>
        <w:t>e</w:t>
      </w:r>
      <w:r w:rsidRPr="00060446">
        <w:rPr>
          <w:lang w:bidi="en-US"/>
        </w:rPr>
        <w:t xml:space="preserve"> o konsultacjach został</w:t>
      </w:r>
      <w:r w:rsidR="006108B1" w:rsidRPr="00060446">
        <w:rPr>
          <w:lang w:bidi="en-US"/>
        </w:rPr>
        <w:t>o</w:t>
      </w:r>
      <w:r w:rsidRPr="00060446">
        <w:rPr>
          <w:lang w:bidi="en-US"/>
        </w:rPr>
        <w:t xml:space="preserve"> opublikowane na stron</w:t>
      </w:r>
      <w:r w:rsidR="006108B1" w:rsidRPr="00060446">
        <w:rPr>
          <w:lang w:bidi="en-US"/>
        </w:rPr>
        <w:t>ie</w:t>
      </w:r>
      <w:r w:rsidRPr="00060446">
        <w:rPr>
          <w:lang w:bidi="en-US"/>
        </w:rPr>
        <w:t xml:space="preserve"> internetow</w:t>
      </w:r>
      <w:r w:rsidR="006108B1" w:rsidRPr="00060446">
        <w:rPr>
          <w:lang w:bidi="en-US"/>
        </w:rPr>
        <w:t>ej</w:t>
      </w:r>
      <w:r w:rsidRPr="00060446">
        <w:rPr>
          <w:lang w:bidi="en-US"/>
        </w:rPr>
        <w:t xml:space="preserve"> </w:t>
      </w:r>
      <w:r w:rsidR="006108B1" w:rsidRPr="00060446">
        <w:rPr>
          <w:lang w:bidi="en-US"/>
        </w:rPr>
        <w:t xml:space="preserve">Gminy Opole Lubelskie: </w:t>
      </w:r>
    </w:p>
    <w:p w14:paraId="45D102F5" w14:textId="3AFE8FB2" w:rsidR="00D85236" w:rsidRPr="00060446" w:rsidRDefault="00CC2DF8" w:rsidP="00D85236">
      <w:pPr>
        <w:rPr>
          <w:lang w:bidi="en-US"/>
        </w:rPr>
      </w:pPr>
      <w:hyperlink r:id="rId92" w:history="1">
        <w:r w:rsidR="006108B1" w:rsidRPr="00060446">
          <w:rPr>
            <w:rStyle w:val="Hipercze"/>
            <w:color w:val="auto"/>
            <w:lang w:bidi="en-US"/>
          </w:rPr>
          <w:t>https://opolelubelskie.pl/aktualnosc/konsultacje-spo%C5%82eczne-projektu-strategii-rozwoju-gminy</w:t>
        </w:r>
      </w:hyperlink>
      <w:r w:rsidR="006108B1" w:rsidRPr="00060446">
        <w:rPr>
          <w:lang w:bidi="en-US"/>
        </w:rPr>
        <w:t xml:space="preserve"> </w:t>
      </w:r>
    </w:p>
    <w:p w14:paraId="03422D0C" w14:textId="05FCE15F" w:rsidR="00D85236" w:rsidRPr="00060446" w:rsidRDefault="00D85236" w:rsidP="00D85236">
      <w:pPr>
        <w:rPr>
          <w:lang w:bidi="en-US"/>
        </w:rPr>
      </w:pPr>
      <w:r w:rsidRPr="00060446">
        <w:rPr>
          <w:lang w:bidi="en-US"/>
        </w:rPr>
        <w:t>W terminie wskazanym powyżej wszyscy zainteresowani mogli zapoznać się z projektem dokumentu Strategii</w:t>
      </w:r>
      <w:r w:rsidR="006108B1" w:rsidRPr="00060446">
        <w:rPr>
          <w:lang w:bidi="en-US"/>
        </w:rPr>
        <w:t xml:space="preserve"> oraz złożyć uwagi na załączonym </w:t>
      </w:r>
      <w:r w:rsidRPr="00060446">
        <w:rPr>
          <w:lang w:bidi="en-US"/>
        </w:rPr>
        <w:t>formular</w:t>
      </w:r>
      <w:r w:rsidR="006108B1" w:rsidRPr="00060446">
        <w:rPr>
          <w:lang w:bidi="en-US"/>
        </w:rPr>
        <w:t>zu</w:t>
      </w:r>
      <w:r w:rsidRPr="00060446">
        <w:rPr>
          <w:lang w:bidi="en-US"/>
        </w:rPr>
        <w:t xml:space="preserve"> konsultacyjnym</w:t>
      </w:r>
      <w:r w:rsidR="006108B1" w:rsidRPr="00060446">
        <w:rPr>
          <w:lang w:bidi="en-US"/>
        </w:rPr>
        <w:t>.</w:t>
      </w:r>
    </w:p>
    <w:p w14:paraId="4B13C1E8" w14:textId="77777777" w:rsidR="00A754F6" w:rsidRPr="00060446" w:rsidRDefault="00A754F6" w:rsidP="00A754F6">
      <w:pPr>
        <w:spacing w:after="0"/>
        <w:rPr>
          <w:lang w:bidi="en-US"/>
        </w:rPr>
      </w:pPr>
      <w:r w:rsidRPr="00060446">
        <w:rPr>
          <w:lang w:bidi="en-US"/>
        </w:rPr>
        <w:t xml:space="preserve">Zainteresowane osoby, podmioty i organizacje mogły składać uwagi w następujących formach: </w:t>
      </w:r>
    </w:p>
    <w:p w14:paraId="0A65789D" w14:textId="3CCB4A60" w:rsidR="006108B1" w:rsidRPr="00060446" w:rsidRDefault="006108B1">
      <w:pPr>
        <w:pStyle w:val="Akapitzlist"/>
        <w:numPr>
          <w:ilvl w:val="0"/>
          <w:numId w:val="103"/>
        </w:numPr>
        <w:spacing w:after="0"/>
        <w:ind w:left="284" w:hanging="284"/>
        <w:jc w:val="left"/>
        <w:rPr>
          <w:lang w:bidi="en-US"/>
        </w:rPr>
      </w:pPr>
      <w:r w:rsidRPr="00060446">
        <w:rPr>
          <w:lang w:bidi="en-US"/>
        </w:rPr>
        <w:t xml:space="preserve">drogą elektroniczną, przesyłając formularz konsultacyjny na adres: </w:t>
      </w:r>
      <w:hyperlink r:id="rId93" w:history="1">
        <w:r w:rsidR="00C72386" w:rsidRPr="00B42552">
          <w:rPr>
            <w:rStyle w:val="Hipercze"/>
            <w:lang w:bidi="en-US"/>
          </w:rPr>
          <w:t>sekretariat@opolelubelskie.pl</w:t>
        </w:r>
      </w:hyperlink>
      <w:r w:rsidR="00C72386">
        <w:rPr>
          <w:lang w:bidi="en-US"/>
        </w:rPr>
        <w:t xml:space="preserve"> </w:t>
      </w:r>
    </w:p>
    <w:p w14:paraId="5DC87102" w14:textId="30C545BF" w:rsidR="006108B1" w:rsidRPr="00060446" w:rsidRDefault="006108B1">
      <w:pPr>
        <w:pStyle w:val="Akapitzlist"/>
        <w:numPr>
          <w:ilvl w:val="0"/>
          <w:numId w:val="102"/>
        </w:numPr>
        <w:spacing w:after="0"/>
        <w:ind w:left="284" w:hanging="284"/>
        <w:rPr>
          <w:lang w:bidi="en-US"/>
        </w:rPr>
      </w:pPr>
      <w:r w:rsidRPr="00060446">
        <w:rPr>
          <w:lang w:bidi="en-US"/>
        </w:rPr>
        <w:t>pisemnie, przesyłając formularz konsultacyjny na adres pocztowy</w:t>
      </w:r>
      <w:r w:rsidR="00A754F6" w:rsidRPr="00060446">
        <w:rPr>
          <w:lang w:bidi="en-US"/>
        </w:rPr>
        <w:t xml:space="preserve"> </w:t>
      </w:r>
      <w:r w:rsidRPr="00060446">
        <w:rPr>
          <w:lang w:bidi="en-US"/>
        </w:rPr>
        <w:t>Urz</w:t>
      </w:r>
      <w:r w:rsidR="00A754F6" w:rsidRPr="00060446">
        <w:rPr>
          <w:lang w:bidi="en-US"/>
        </w:rPr>
        <w:t>ę</w:t>
      </w:r>
      <w:r w:rsidRPr="00060446">
        <w:rPr>
          <w:lang w:bidi="en-US"/>
        </w:rPr>
        <w:t>d</w:t>
      </w:r>
      <w:r w:rsidR="00A754F6" w:rsidRPr="00060446">
        <w:rPr>
          <w:lang w:bidi="en-US"/>
        </w:rPr>
        <w:t>u</w:t>
      </w:r>
      <w:r w:rsidRPr="00060446">
        <w:rPr>
          <w:lang w:bidi="en-US"/>
        </w:rPr>
        <w:t xml:space="preserve"> Miejski</w:t>
      </w:r>
      <w:r w:rsidR="00A754F6" w:rsidRPr="00060446">
        <w:rPr>
          <w:lang w:bidi="en-US"/>
        </w:rPr>
        <w:t>ego</w:t>
      </w:r>
      <w:r w:rsidRPr="00060446">
        <w:rPr>
          <w:lang w:bidi="en-US"/>
        </w:rPr>
        <w:t xml:space="preserve"> w</w:t>
      </w:r>
      <w:r w:rsidR="00CC7505">
        <w:rPr>
          <w:lang w:bidi="en-US"/>
        </w:rPr>
        <w:t> </w:t>
      </w:r>
      <w:r w:rsidRPr="00060446">
        <w:rPr>
          <w:lang w:bidi="en-US"/>
        </w:rPr>
        <w:t>Opolu Lubelskim</w:t>
      </w:r>
      <w:r w:rsidR="00A754F6" w:rsidRPr="00060446">
        <w:rPr>
          <w:lang w:bidi="en-US"/>
        </w:rPr>
        <w:t>,</w:t>
      </w:r>
    </w:p>
    <w:p w14:paraId="06F1AAD6" w14:textId="24D0C132" w:rsidR="006108B1" w:rsidRPr="00060446" w:rsidRDefault="006108B1">
      <w:pPr>
        <w:pStyle w:val="Akapitzlist"/>
        <w:numPr>
          <w:ilvl w:val="0"/>
          <w:numId w:val="102"/>
        </w:numPr>
        <w:ind w:left="284" w:hanging="284"/>
        <w:contextualSpacing w:val="0"/>
        <w:rPr>
          <w:lang w:bidi="en-US"/>
        </w:rPr>
      </w:pPr>
      <w:r w:rsidRPr="00060446">
        <w:rPr>
          <w:lang w:bidi="en-US"/>
        </w:rPr>
        <w:t>ustnie do protokołu w siedzibie Urzędu Miejskiego w Opolu Lubelskim</w:t>
      </w:r>
      <w:r w:rsidR="00A754F6" w:rsidRPr="00060446">
        <w:rPr>
          <w:lang w:bidi="en-US"/>
        </w:rPr>
        <w:t xml:space="preserve"> </w:t>
      </w:r>
      <w:r w:rsidRPr="00060446">
        <w:rPr>
          <w:lang w:bidi="en-US"/>
        </w:rPr>
        <w:t>(po uprzednim telefonicznym uzgodnieniu terminu).</w:t>
      </w:r>
    </w:p>
    <w:p w14:paraId="675B1CF3" w14:textId="3F37CAE0" w:rsidR="00D85236" w:rsidRPr="00060446" w:rsidRDefault="00AE3E57" w:rsidP="00D85236">
      <w:pPr>
        <w:rPr>
          <w:lang w:bidi="en-US"/>
        </w:rPr>
      </w:pPr>
      <w:r w:rsidRPr="00060446">
        <w:rPr>
          <w:lang w:bidi="en-US"/>
        </w:rPr>
        <w:t xml:space="preserve">Zgodnie z art. 6 ust. 3 ustawy o zasadach prowadzenia polityki rozwoju </w:t>
      </w:r>
      <w:r w:rsidR="00A754F6" w:rsidRPr="00060446">
        <w:rPr>
          <w:lang w:bidi="en-US"/>
        </w:rPr>
        <w:t>Burmistrz Opola Lubelskiego</w:t>
      </w:r>
      <w:r w:rsidR="00D85236" w:rsidRPr="00060446">
        <w:rPr>
          <w:lang w:bidi="en-US"/>
        </w:rPr>
        <w:t xml:space="preserve">, pismem z dnia </w:t>
      </w:r>
      <w:r w:rsidRPr="00060446">
        <w:rPr>
          <w:lang w:bidi="en-US"/>
        </w:rPr>
        <w:t xml:space="preserve">25 listopada 2024 r. (znak: PSIP.033.28.1.2024), </w:t>
      </w:r>
      <w:r w:rsidR="00D85236" w:rsidRPr="00060446">
        <w:rPr>
          <w:lang w:bidi="en-US"/>
        </w:rPr>
        <w:t xml:space="preserve">przesłał projekt Strategii do konsultacji do Państwowego Gospodarstwa Wodnego Wody Polskie. </w:t>
      </w:r>
    </w:p>
    <w:p w14:paraId="3D5A7565" w14:textId="15D9F914" w:rsidR="00AE3E57" w:rsidRPr="00060446" w:rsidRDefault="00AE3E57" w:rsidP="0015252F">
      <w:pPr>
        <w:rPr>
          <w:rFonts w:cstheme="minorHAnsi"/>
          <w:lang w:bidi="en-US"/>
        </w:rPr>
      </w:pPr>
      <w:r w:rsidRPr="00060446">
        <w:rPr>
          <w:rFonts w:cstheme="minorHAnsi"/>
          <w:lang w:bidi="en-US"/>
        </w:rPr>
        <w:t>Na podstawie art. 41 ust. 1 ustawy o samorządzie województwa oraz art. 10f ust. 2 ustawy o</w:t>
      </w:r>
      <w:r w:rsidR="00CC7505">
        <w:rPr>
          <w:rFonts w:cstheme="minorHAnsi"/>
          <w:lang w:bidi="en-US"/>
        </w:rPr>
        <w:t> </w:t>
      </w:r>
      <w:r w:rsidRPr="00060446">
        <w:rPr>
          <w:rFonts w:cstheme="minorHAnsi"/>
          <w:lang w:bidi="en-US"/>
        </w:rPr>
        <w:t>samorządzie gminnym Zarząd Województwa Lubelskiego uchwałą NR LXIX/1268/2024 z dnia 10 grudnia 2024 r. w sprawie wyrażenia opinii dotyczącej projektu Strategii Rozwoju Gminy Opole Lubelskie na lata 2025-2030</w:t>
      </w:r>
      <w:r w:rsidRPr="00060446">
        <w:rPr>
          <w:rFonts w:cstheme="minorHAnsi"/>
          <w:b/>
          <w:bCs/>
          <w:lang w:bidi="en-US"/>
        </w:rPr>
        <w:t xml:space="preserve"> </w:t>
      </w:r>
      <w:r w:rsidRPr="00060446">
        <w:rPr>
          <w:rFonts w:cstheme="minorHAnsi"/>
          <w:lang w:bidi="en-US"/>
        </w:rPr>
        <w:t xml:space="preserve">pozytywnie (z uwagami) zaopiniował projekt Strategii Rozwoju Gminy Opole Lubelskie na lata 2025-2030 w zakresie sposobu uwzględnienia ustaleń </w:t>
      </w:r>
      <w:r w:rsidRPr="00060446">
        <w:rPr>
          <w:rFonts w:cstheme="minorHAnsi"/>
          <w:lang w:bidi="en-US"/>
        </w:rPr>
        <w:lastRenderedPageBreak/>
        <w:t>i</w:t>
      </w:r>
      <w:r w:rsidR="00CC7505">
        <w:rPr>
          <w:rFonts w:cstheme="minorHAnsi"/>
          <w:lang w:bidi="en-US"/>
        </w:rPr>
        <w:t> </w:t>
      </w:r>
      <w:r w:rsidR="00B43FD5">
        <w:rPr>
          <w:rFonts w:cstheme="minorHAnsi"/>
          <w:lang w:bidi="en-US"/>
        </w:rPr>
        <w:t xml:space="preserve"> </w:t>
      </w:r>
      <w:r w:rsidRPr="00060446">
        <w:rPr>
          <w:rFonts w:cstheme="minorHAnsi"/>
          <w:lang w:bidi="en-US"/>
        </w:rPr>
        <w:t>rekomendacji dotyczących kształtowania i prowadzenia polityki przestrzennej w</w:t>
      </w:r>
      <w:r w:rsidR="00CC7505">
        <w:rPr>
          <w:rFonts w:cstheme="minorHAnsi"/>
          <w:lang w:bidi="en-US"/>
        </w:rPr>
        <w:t> </w:t>
      </w:r>
      <w:r w:rsidRPr="00060446">
        <w:rPr>
          <w:rFonts w:cstheme="minorHAnsi"/>
          <w:lang w:bidi="en-US"/>
        </w:rPr>
        <w:t>województwie określonych w Strategii Rozwoju Województwa Lubelskiego do 2030 roku przyjętej uchwałą nr XXIV/406/2021 Sejmiku Województwa Lubelskiego z dnia 29 marca 2021 roku.</w:t>
      </w:r>
    </w:p>
    <w:p w14:paraId="3AB76390" w14:textId="1FB59C09" w:rsidR="00AC2E75" w:rsidRPr="00B838F2" w:rsidRDefault="00AC2E75" w:rsidP="00B838F2">
      <w:pPr>
        <w:rPr>
          <w:rFonts w:cstheme="minorHAnsi"/>
          <w:lang w:bidi="en-US"/>
        </w:rPr>
      </w:pPr>
      <w:r w:rsidRPr="00060446">
        <w:rPr>
          <w:rFonts w:cstheme="minorHAnsi"/>
          <w:lang w:bidi="en-US"/>
        </w:rPr>
        <w:t>W ramach konsultacji społecznych i opiniowania projektu Strategi</w:t>
      </w:r>
      <w:r w:rsidR="00B43FD5">
        <w:rPr>
          <w:rFonts w:cstheme="minorHAnsi"/>
          <w:lang w:bidi="en-US"/>
        </w:rPr>
        <w:t>i</w:t>
      </w:r>
      <w:r w:rsidRPr="00060446">
        <w:rPr>
          <w:rFonts w:cstheme="minorHAnsi"/>
          <w:lang w:bidi="en-US"/>
        </w:rPr>
        <w:t xml:space="preserve"> Rozwoju Gminy Opole Lubelskie na lata 2025 – 2030 wpłynęły następujące uwagi:</w:t>
      </w:r>
    </w:p>
    <w:tbl>
      <w:tblPr>
        <w:tblStyle w:val="Tabela-Siatka"/>
        <w:tblW w:w="0" w:type="auto"/>
        <w:tblLook w:val="04A0" w:firstRow="1" w:lastRow="0" w:firstColumn="1" w:lastColumn="0" w:noHBand="0" w:noVBand="1"/>
      </w:tblPr>
      <w:tblGrid>
        <w:gridCol w:w="471"/>
        <w:gridCol w:w="1664"/>
        <w:gridCol w:w="5373"/>
        <w:gridCol w:w="1552"/>
      </w:tblGrid>
      <w:tr w:rsidR="00DB381D" w:rsidRPr="00B838F2" w14:paraId="3DC91DA4" w14:textId="77777777" w:rsidTr="0075353B">
        <w:trPr>
          <w:trHeight w:val="407"/>
        </w:trPr>
        <w:tc>
          <w:tcPr>
            <w:tcW w:w="471" w:type="dxa"/>
            <w:vAlign w:val="center"/>
          </w:tcPr>
          <w:p w14:paraId="29D40F2D" w14:textId="0C20AF6F" w:rsidR="00B838F2" w:rsidRPr="00B838F2" w:rsidRDefault="00B838F2" w:rsidP="00B838F2">
            <w:pPr>
              <w:spacing w:after="0" w:line="252" w:lineRule="auto"/>
              <w:jc w:val="center"/>
              <w:rPr>
                <w:rFonts w:cstheme="minorHAnsi"/>
                <w:b/>
                <w:bCs/>
                <w:sz w:val="18"/>
                <w:szCs w:val="18"/>
                <w:lang w:bidi="en-US"/>
              </w:rPr>
            </w:pPr>
            <w:r w:rsidRPr="00B838F2">
              <w:rPr>
                <w:rFonts w:cstheme="minorHAnsi"/>
                <w:b/>
                <w:bCs/>
                <w:sz w:val="18"/>
                <w:szCs w:val="18"/>
                <w:lang w:bidi="en-US"/>
              </w:rPr>
              <w:t>Lp.</w:t>
            </w:r>
          </w:p>
        </w:tc>
        <w:tc>
          <w:tcPr>
            <w:tcW w:w="1664" w:type="dxa"/>
            <w:vAlign w:val="center"/>
          </w:tcPr>
          <w:p w14:paraId="4756EB6B" w14:textId="2F71FBA4" w:rsidR="00B838F2" w:rsidRPr="00B838F2" w:rsidRDefault="00B838F2" w:rsidP="00B838F2">
            <w:pPr>
              <w:spacing w:after="0" w:line="252" w:lineRule="auto"/>
              <w:jc w:val="center"/>
              <w:rPr>
                <w:rFonts w:cstheme="minorHAnsi"/>
                <w:b/>
                <w:bCs/>
                <w:sz w:val="18"/>
                <w:szCs w:val="18"/>
                <w:lang w:bidi="en-US"/>
              </w:rPr>
            </w:pPr>
            <w:r w:rsidRPr="00B838F2">
              <w:rPr>
                <w:rFonts w:cstheme="minorHAnsi"/>
                <w:b/>
                <w:bCs/>
                <w:sz w:val="18"/>
                <w:szCs w:val="18"/>
                <w:lang w:bidi="en-US"/>
              </w:rPr>
              <w:t>Zgłaszający</w:t>
            </w:r>
          </w:p>
        </w:tc>
        <w:tc>
          <w:tcPr>
            <w:tcW w:w="5373" w:type="dxa"/>
            <w:vAlign w:val="center"/>
          </w:tcPr>
          <w:p w14:paraId="6C9238F1" w14:textId="1C5B1E4F" w:rsidR="00B838F2" w:rsidRPr="00B838F2" w:rsidRDefault="0075353B" w:rsidP="00B838F2">
            <w:pPr>
              <w:spacing w:after="0" w:line="252" w:lineRule="auto"/>
              <w:jc w:val="center"/>
              <w:rPr>
                <w:rFonts w:cstheme="minorHAnsi"/>
                <w:b/>
                <w:bCs/>
                <w:sz w:val="18"/>
                <w:szCs w:val="18"/>
                <w:lang w:bidi="en-US"/>
              </w:rPr>
            </w:pPr>
            <w:r>
              <w:rPr>
                <w:rFonts w:cstheme="minorHAnsi"/>
                <w:b/>
                <w:bCs/>
                <w:sz w:val="18"/>
                <w:szCs w:val="18"/>
                <w:lang w:bidi="en-US"/>
              </w:rPr>
              <w:t>Treść u</w:t>
            </w:r>
            <w:r w:rsidR="00B838F2" w:rsidRPr="00B838F2">
              <w:rPr>
                <w:rFonts w:cstheme="minorHAnsi"/>
                <w:b/>
                <w:bCs/>
                <w:sz w:val="18"/>
                <w:szCs w:val="18"/>
                <w:lang w:bidi="en-US"/>
              </w:rPr>
              <w:t>wag</w:t>
            </w:r>
            <w:r>
              <w:rPr>
                <w:rFonts w:cstheme="minorHAnsi"/>
                <w:b/>
                <w:bCs/>
                <w:sz w:val="18"/>
                <w:szCs w:val="18"/>
                <w:lang w:bidi="en-US"/>
              </w:rPr>
              <w:t>i</w:t>
            </w:r>
          </w:p>
        </w:tc>
        <w:tc>
          <w:tcPr>
            <w:tcW w:w="1552" w:type="dxa"/>
            <w:vAlign w:val="center"/>
          </w:tcPr>
          <w:p w14:paraId="409F63EC" w14:textId="6B36EF91" w:rsidR="00B838F2" w:rsidRPr="00B838F2" w:rsidRDefault="00B838F2" w:rsidP="00B838F2">
            <w:pPr>
              <w:spacing w:after="0" w:line="252" w:lineRule="auto"/>
              <w:jc w:val="center"/>
              <w:rPr>
                <w:rFonts w:cstheme="minorHAnsi"/>
                <w:b/>
                <w:bCs/>
                <w:sz w:val="18"/>
                <w:szCs w:val="18"/>
                <w:lang w:bidi="en-US"/>
              </w:rPr>
            </w:pPr>
            <w:r w:rsidRPr="00B838F2">
              <w:rPr>
                <w:rFonts w:cstheme="minorHAnsi"/>
                <w:b/>
                <w:bCs/>
                <w:sz w:val="18"/>
                <w:szCs w:val="18"/>
                <w:lang w:bidi="en-US"/>
              </w:rPr>
              <w:t>Sposób uwzględnienia</w:t>
            </w:r>
          </w:p>
        </w:tc>
      </w:tr>
      <w:tr w:rsidR="00B838F2" w:rsidRPr="00B838F2" w14:paraId="5B664022" w14:textId="77777777" w:rsidTr="0075353B">
        <w:tc>
          <w:tcPr>
            <w:tcW w:w="471" w:type="dxa"/>
            <w:vAlign w:val="center"/>
          </w:tcPr>
          <w:p w14:paraId="10A8355E" w14:textId="4E690ED4" w:rsidR="00B838F2" w:rsidRPr="00B838F2" w:rsidRDefault="00B838F2" w:rsidP="00B838F2">
            <w:pPr>
              <w:spacing w:after="0" w:line="252" w:lineRule="auto"/>
              <w:rPr>
                <w:rFonts w:cstheme="minorHAnsi"/>
                <w:sz w:val="18"/>
                <w:szCs w:val="18"/>
                <w:lang w:bidi="en-US"/>
              </w:rPr>
            </w:pPr>
            <w:r>
              <w:rPr>
                <w:rFonts w:cstheme="minorHAnsi"/>
                <w:sz w:val="18"/>
                <w:szCs w:val="18"/>
                <w:lang w:bidi="en-US"/>
              </w:rPr>
              <w:t>1.</w:t>
            </w:r>
          </w:p>
        </w:tc>
        <w:tc>
          <w:tcPr>
            <w:tcW w:w="1664" w:type="dxa"/>
            <w:vAlign w:val="center"/>
          </w:tcPr>
          <w:p w14:paraId="20141052" w14:textId="23FE8F43" w:rsidR="00B838F2" w:rsidRDefault="00B838F2" w:rsidP="007F241A">
            <w:pPr>
              <w:spacing w:after="0" w:line="252" w:lineRule="auto"/>
              <w:jc w:val="left"/>
              <w:rPr>
                <w:rFonts w:cstheme="minorHAnsi"/>
                <w:sz w:val="18"/>
                <w:szCs w:val="18"/>
                <w:lang w:bidi="en-US"/>
              </w:rPr>
            </w:pPr>
            <w:r>
              <w:rPr>
                <w:rFonts w:cstheme="minorHAnsi"/>
                <w:sz w:val="18"/>
                <w:szCs w:val="18"/>
                <w:lang w:bidi="en-US"/>
              </w:rPr>
              <w:t>Państwowe Gospodarstwo Wodne Wody Polskie</w:t>
            </w:r>
          </w:p>
        </w:tc>
        <w:tc>
          <w:tcPr>
            <w:tcW w:w="5373" w:type="dxa"/>
            <w:vAlign w:val="center"/>
          </w:tcPr>
          <w:p w14:paraId="01F8B128" w14:textId="3BC99856" w:rsidR="0075353B" w:rsidRPr="0075353B" w:rsidRDefault="0075353B" w:rsidP="0075353B">
            <w:pPr>
              <w:spacing w:after="0" w:line="252" w:lineRule="auto"/>
              <w:jc w:val="left"/>
              <w:rPr>
                <w:rFonts w:cstheme="minorHAnsi"/>
                <w:sz w:val="18"/>
                <w:szCs w:val="18"/>
                <w:lang w:bidi="en-US"/>
              </w:rPr>
            </w:pPr>
            <w:r w:rsidRPr="0075353B">
              <w:rPr>
                <w:rFonts w:cstheme="minorHAnsi"/>
                <w:sz w:val="18"/>
                <w:szCs w:val="18"/>
                <w:lang w:bidi="en-US"/>
              </w:rPr>
              <w:t xml:space="preserve">W projekcie </w:t>
            </w:r>
            <w:r>
              <w:rPr>
                <w:rFonts w:cstheme="minorHAnsi"/>
                <w:sz w:val="18"/>
                <w:szCs w:val="18"/>
                <w:lang w:bidi="en-US"/>
              </w:rPr>
              <w:t xml:space="preserve">strategii </w:t>
            </w:r>
            <w:r w:rsidRPr="0075353B">
              <w:rPr>
                <w:rFonts w:cstheme="minorHAnsi"/>
                <w:sz w:val="18"/>
                <w:szCs w:val="18"/>
                <w:lang w:bidi="en-US"/>
              </w:rPr>
              <w:t>należy wymienić dokumenty planistyczne, o których mowa w art. 315 pkt 1- 3 ustawy</w:t>
            </w:r>
            <w:r>
              <w:rPr>
                <w:rFonts w:cstheme="minorHAnsi"/>
                <w:sz w:val="18"/>
                <w:szCs w:val="18"/>
                <w:lang w:bidi="en-US"/>
              </w:rPr>
              <w:t xml:space="preserve"> </w:t>
            </w:r>
            <w:r w:rsidRPr="0075353B">
              <w:rPr>
                <w:rFonts w:cstheme="minorHAnsi"/>
                <w:sz w:val="18"/>
                <w:szCs w:val="18"/>
                <w:lang w:bidi="en-US"/>
              </w:rPr>
              <w:t>z dnia 20 lipca 2017 r.- Prawo wodne (Dz. U. z 2023 r. poz. 1478, z późn. zm.), tj.:</w:t>
            </w:r>
          </w:p>
          <w:p w14:paraId="3CB1059A" w14:textId="77777777" w:rsidR="0075353B" w:rsidRPr="0075353B" w:rsidRDefault="0075353B" w:rsidP="0075353B">
            <w:pPr>
              <w:spacing w:after="0" w:line="252" w:lineRule="auto"/>
              <w:jc w:val="left"/>
              <w:rPr>
                <w:rFonts w:cstheme="minorHAnsi"/>
                <w:sz w:val="18"/>
                <w:szCs w:val="18"/>
                <w:lang w:bidi="en-US"/>
              </w:rPr>
            </w:pPr>
            <w:r w:rsidRPr="0075353B">
              <w:rPr>
                <w:rFonts w:cstheme="minorHAnsi"/>
                <w:sz w:val="18"/>
                <w:szCs w:val="18"/>
                <w:lang w:bidi="en-US"/>
              </w:rPr>
              <w:t>1) plany zarządzania ryzykiem powodziowym;</w:t>
            </w:r>
          </w:p>
          <w:p w14:paraId="3CC2E3F8" w14:textId="6E30B604" w:rsidR="00B838F2" w:rsidRDefault="0075353B" w:rsidP="0075353B">
            <w:pPr>
              <w:spacing w:after="0" w:line="252" w:lineRule="auto"/>
              <w:jc w:val="left"/>
              <w:rPr>
                <w:rFonts w:cstheme="minorHAnsi"/>
                <w:sz w:val="18"/>
                <w:szCs w:val="18"/>
                <w:lang w:bidi="en-US"/>
              </w:rPr>
            </w:pPr>
            <w:r w:rsidRPr="0075353B">
              <w:rPr>
                <w:rFonts w:cstheme="minorHAnsi"/>
                <w:sz w:val="18"/>
                <w:szCs w:val="18"/>
                <w:lang w:bidi="en-US"/>
              </w:rPr>
              <w:t>2) plan przeciwdziałania skutkom suszy</w:t>
            </w:r>
          </w:p>
        </w:tc>
        <w:tc>
          <w:tcPr>
            <w:tcW w:w="1552" w:type="dxa"/>
            <w:vAlign w:val="center"/>
          </w:tcPr>
          <w:p w14:paraId="1BB07431" w14:textId="002F239B" w:rsidR="00B838F2" w:rsidRDefault="0075353B" w:rsidP="00B838F2">
            <w:pPr>
              <w:spacing w:after="0" w:line="252" w:lineRule="auto"/>
              <w:rPr>
                <w:rFonts w:cstheme="minorHAnsi"/>
                <w:sz w:val="18"/>
                <w:szCs w:val="18"/>
                <w:lang w:bidi="en-US"/>
              </w:rPr>
            </w:pPr>
            <w:r>
              <w:rPr>
                <w:rFonts w:cstheme="minorHAnsi"/>
                <w:sz w:val="18"/>
                <w:szCs w:val="18"/>
                <w:lang w:bidi="en-US"/>
              </w:rPr>
              <w:t xml:space="preserve">Uwaga uwzględniona, </w:t>
            </w:r>
            <w:r w:rsidR="003E5479" w:rsidRPr="003E5479">
              <w:rPr>
                <w:rFonts w:cstheme="minorHAnsi"/>
                <w:sz w:val="18"/>
                <w:szCs w:val="18"/>
                <w:lang w:bidi="en-US"/>
              </w:rPr>
              <w:t>wprowadzono dodatkowy Rozdział 10.</w:t>
            </w:r>
            <w:r w:rsidR="003E5479">
              <w:rPr>
                <w:rFonts w:cstheme="minorHAnsi"/>
                <w:sz w:val="18"/>
                <w:szCs w:val="18"/>
                <w:lang w:bidi="en-US"/>
              </w:rPr>
              <w:t>4</w:t>
            </w:r>
          </w:p>
        </w:tc>
      </w:tr>
      <w:tr w:rsidR="0075353B" w:rsidRPr="00B838F2" w14:paraId="6D944546" w14:textId="77777777" w:rsidTr="0075353B">
        <w:tc>
          <w:tcPr>
            <w:tcW w:w="471" w:type="dxa"/>
            <w:vAlign w:val="center"/>
          </w:tcPr>
          <w:p w14:paraId="7416ED02" w14:textId="6E58DF23" w:rsidR="0075353B" w:rsidRDefault="00E54960" w:rsidP="00B838F2">
            <w:pPr>
              <w:spacing w:after="0" w:line="252" w:lineRule="auto"/>
              <w:rPr>
                <w:rFonts w:cstheme="minorHAnsi"/>
                <w:sz w:val="18"/>
                <w:szCs w:val="18"/>
                <w:lang w:bidi="en-US"/>
              </w:rPr>
            </w:pPr>
            <w:r>
              <w:rPr>
                <w:rFonts w:cstheme="minorHAnsi"/>
                <w:sz w:val="18"/>
                <w:szCs w:val="18"/>
                <w:lang w:bidi="en-US"/>
              </w:rPr>
              <w:t>2.</w:t>
            </w:r>
          </w:p>
        </w:tc>
        <w:tc>
          <w:tcPr>
            <w:tcW w:w="1664" w:type="dxa"/>
            <w:vAlign w:val="center"/>
          </w:tcPr>
          <w:p w14:paraId="2E8F4928" w14:textId="6BEA4C2E" w:rsidR="0075353B" w:rsidRDefault="00E54960" w:rsidP="007F241A">
            <w:pPr>
              <w:spacing w:after="0" w:line="252" w:lineRule="auto"/>
              <w:jc w:val="left"/>
              <w:rPr>
                <w:rFonts w:cstheme="minorHAnsi"/>
                <w:sz w:val="18"/>
                <w:szCs w:val="18"/>
                <w:lang w:bidi="en-US"/>
              </w:rPr>
            </w:pPr>
            <w:r w:rsidRPr="00E54960">
              <w:rPr>
                <w:rFonts w:cstheme="minorHAnsi"/>
                <w:sz w:val="18"/>
                <w:szCs w:val="18"/>
                <w:lang w:bidi="en-US"/>
              </w:rPr>
              <w:t>Państwowe Gospodarstwo Wodne Wody Polskie</w:t>
            </w:r>
          </w:p>
        </w:tc>
        <w:tc>
          <w:tcPr>
            <w:tcW w:w="5373" w:type="dxa"/>
            <w:vAlign w:val="center"/>
          </w:tcPr>
          <w:p w14:paraId="41DB226B" w14:textId="77777777" w:rsidR="0075353B" w:rsidRPr="0075353B" w:rsidRDefault="0075353B" w:rsidP="0075353B">
            <w:pPr>
              <w:spacing w:after="0" w:line="252" w:lineRule="auto"/>
              <w:jc w:val="left"/>
              <w:rPr>
                <w:rFonts w:cstheme="minorHAnsi"/>
                <w:sz w:val="18"/>
                <w:szCs w:val="18"/>
                <w:lang w:bidi="en-US"/>
              </w:rPr>
            </w:pPr>
            <w:r w:rsidRPr="0075353B">
              <w:rPr>
                <w:rFonts w:cstheme="minorHAnsi"/>
                <w:sz w:val="18"/>
                <w:szCs w:val="18"/>
                <w:lang w:bidi="en-US"/>
              </w:rPr>
              <w:t>Proponujemy uwzględnienie w projekcie zagadnień dotyczących gospodarki wodnej na terenie</w:t>
            </w:r>
          </w:p>
          <w:p w14:paraId="5E2DCC87" w14:textId="68F6473C" w:rsidR="0075353B" w:rsidRPr="0075353B" w:rsidRDefault="0075353B" w:rsidP="0075353B">
            <w:pPr>
              <w:spacing w:line="252" w:lineRule="auto"/>
              <w:jc w:val="left"/>
              <w:rPr>
                <w:rFonts w:cstheme="minorHAnsi"/>
                <w:sz w:val="18"/>
                <w:szCs w:val="18"/>
                <w:lang w:bidi="en-US"/>
              </w:rPr>
            </w:pPr>
            <w:r w:rsidRPr="0075353B">
              <w:rPr>
                <w:rFonts w:cstheme="minorHAnsi"/>
                <w:sz w:val="18"/>
                <w:szCs w:val="18"/>
                <w:lang w:bidi="en-US"/>
              </w:rPr>
              <w:t>gminy Opole Lubelskie, tj. ochronę wód przed zanieczyszczeniami pochodzącymi ze źródeł rolniczych,</w:t>
            </w:r>
            <w:r>
              <w:rPr>
                <w:rFonts w:cstheme="minorHAnsi"/>
                <w:sz w:val="18"/>
                <w:szCs w:val="18"/>
                <w:lang w:bidi="en-US"/>
              </w:rPr>
              <w:t xml:space="preserve"> </w:t>
            </w:r>
            <w:r w:rsidRPr="0075353B">
              <w:rPr>
                <w:rFonts w:cstheme="minorHAnsi"/>
                <w:sz w:val="18"/>
                <w:szCs w:val="18"/>
                <w:lang w:bidi="en-US"/>
              </w:rPr>
              <w:t>poprzez wdrożenie i przestrzeganie zasad Dobrej Praktyki Rolniczej, np. nawożenie,</w:t>
            </w:r>
            <w:r>
              <w:rPr>
                <w:rFonts w:cstheme="minorHAnsi"/>
                <w:sz w:val="18"/>
                <w:szCs w:val="18"/>
                <w:lang w:bidi="en-US"/>
              </w:rPr>
              <w:t xml:space="preserve"> </w:t>
            </w:r>
            <w:r w:rsidRPr="0075353B">
              <w:rPr>
                <w:rFonts w:cstheme="minorHAnsi"/>
                <w:sz w:val="18"/>
                <w:szCs w:val="18"/>
                <w:lang w:bidi="en-US"/>
              </w:rPr>
              <w:t>składowanie</w:t>
            </w:r>
            <w:r>
              <w:rPr>
                <w:rFonts w:cstheme="minorHAnsi"/>
                <w:sz w:val="18"/>
                <w:szCs w:val="18"/>
                <w:lang w:bidi="en-US"/>
              </w:rPr>
              <w:t xml:space="preserve"> </w:t>
            </w:r>
            <w:r w:rsidRPr="0075353B">
              <w:rPr>
                <w:rFonts w:cstheme="minorHAnsi"/>
                <w:sz w:val="18"/>
                <w:szCs w:val="18"/>
                <w:lang w:bidi="en-US"/>
              </w:rPr>
              <w:t>nawozów i kiszonek w pobliżu cieków.</w:t>
            </w:r>
          </w:p>
          <w:p w14:paraId="49F65EDE" w14:textId="2FBF1BDF" w:rsidR="0075353B" w:rsidRPr="0075353B" w:rsidRDefault="0075353B" w:rsidP="0075353B">
            <w:pPr>
              <w:spacing w:after="0" w:line="252" w:lineRule="auto"/>
              <w:jc w:val="left"/>
              <w:rPr>
                <w:rFonts w:cstheme="minorHAnsi"/>
                <w:sz w:val="18"/>
                <w:szCs w:val="18"/>
                <w:lang w:bidi="en-US"/>
              </w:rPr>
            </w:pPr>
            <w:r w:rsidRPr="0075353B">
              <w:rPr>
                <w:rFonts w:cstheme="minorHAnsi"/>
                <w:sz w:val="18"/>
                <w:szCs w:val="18"/>
                <w:lang w:bidi="en-US"/>
              </w:rPr>
              <w:t>Drugą ważną kwestią jest podjęcie działań, mających na celu zwiększenie retencji wodnej na terenach</w:t>
            </w:r>
            <w:r>
              <w:rPr>
                <w:rFonts w:cstheme="minorHAnsi"/>
                <w:sz w:val="18"/>
                <w:szCs w:val="18"/>
                <w:lang w:bidi="en-US"/>
              </w:rPr>
              <w:t xml:space="preserve"> </w:t>
            </w:r>
            <w:r w:rsidRPr="0075353B">
              <w:rPr>
                <w:rFonts w:cstheme="minorHAnsi"/>
                <w:sz w:val="18"/>
                <w:szCs w:val="18"/>
                <w:lang w:bidi="en-US"/>
              </w:rPr>
              <w:t>rolniczych, leśnych i zurbanizowanych poprzez: prawidłowe użytkowanie rolnicze gleb, prowadzenie</w:t>
            </w:r>
            <w:r>
              <w:rPr>
                <w:rFonts w:cstheme="minorHAnsi"/>
                <w:sz w:val="18"/>
                <w:szCs w:val="18"/>
                <w:lang w:bidi="en-US"/>
              </w:rPr>
              <w:t xml:space="preserve"> </w:t>
            </w:r>
            <w:r w:rsidRPr="0075353B">
              <w:rPr>
                <w:rFonts w:cstheme="minorHAnsi"/>
                <w:sz w:val="18"/>
                <w:szCs w:val="18"/>
                <w:lang w:bidi="en-US"/>
              </w:rPr>
              <w:t>prac przeciwerozyjnych, tworzenie stref buforowych wzdłuż cieków, ochronę i odtwarzanie oczek</w:t>
            </w:r>
            <w:r>
              <w:rPr>
                <w:rFonts w:cstheme="minorHAnsi"/>
                <w:sz w:val="18"/>
                <w:szCs w:val="18"/>
                <w:lang w:bidi="en-US"/>
              </w:rPr>
              <w:t xml:space="preserve"> </w:t>
            </w:r>
            <w:r w:rsidRPr="0075353B">
              <w:rPr>
                <w:rFonts w:cstheme="minorHAnsi"/>
                <w:sz w:val="18"/>
                <w:szCs w:val="18"/>
                <w:lang w:bidi="en-US"/>
              </w:rPr>
              <w:t>wodnych i mokradeł, retencjonowanie wody w już istniejących zbiornikach i rowach oraz zachęcanie</w:t>
            </w:r>
            <w:r>
              <w:rPr>
                <w:rFonts w:cstheme="minorHAnsi"/>
                <w:sz w:val="18"/>
                <w:szCs w:val="18"/>
                <w:lang w:bidi="en-US"/>
              </w:rPr>
              <w:t xml:space="preserve"> </w:t>
            </w:r>
            <w:r w:rsidRPr="0075353B">
              <w:rPr>
                <w:rFonts w:cstheme="minorHAnsi"/>
                <w:sz w:val="18"/>
                <w:szCs w:val="18"/>
                <w:lang w:bidi="en-US"/>
              </w:rPr>
              <w:t>do wykonywania nowych zbiorników wodnych. Wdrożenie tych działań możliwe jest przez</w:t>
            </w:r>
            <w:r>
              <w:rPr>
                <w:rFonts w:cstheme="minorHAnsi"/>
                <w:sz w:val="18"/>
                <w:szCs w:val="18"/>
                <w:lang w:bidi="en-US"/>
              </w:rPr>
              <w:t xml:space="preserve"> </w:t>
            </w:r>
            <w:r w:rsidRPr="0075353B">
              <w:rPr>
                <w:rFonts w:cstheme="minorHAnsi"/>
                <w:sz w:val="18"/>
                <w:szCs w:val="18"/>
                <w:lang w:bidi="en-US"/>
              </w:rPr>
              <w:t>wprowadzanie odpowiednich zapisów w</w:t>
            </w:r>
            <w:r>
              <w:rPr>
                <w:rFonts w:cstheme="minorHAnsi"/>
                <w:sz w:val="18"/>
                <w:szCs w:val="18"/>
                <w:lang w:bidi="en-US"/>
              </w:rPr>
              <w:t xml:space="preserve"> </w:t>
            </w:r>
            <w:r w:rsidRPr="0075353B">
              <w:rPr>
                <w:rFonts w:cstheme="minorHAnsi"/>
                <w:sz w:val="18"/>
                <w:szCs w:val="18"/>
                <w:lang w:bidi="en-US"/>
              </w:rPr>
              <w:t>dokumentach planistycznych</w:t>
            </w:r>
            <w:r>
              <w:rPr>
                <w:rFonts w:cstheme="minorHAnsi"/>
                <w:sz w:val="18"/>
                <w:szCs w:val="18"/>
                <w:lang w:bidi="en-US"/>
              </w:rPr>
              <w:t>.</w:t>
            </w:r>
          </w:p>
        </w:tc>
        <w:tc>
          <w:tcPr>
            <w:tcW w:w="1552" w:type="dxa"/>
            <w:vAlign w:val="center"/>
          </w:tcPr>
          <w:p w14:paraId="0BA2549A" w14:textId="58C72125" w:rsidR="0075353B" w:rsidRDefault="0075353B" w:rsidP="00B838F2">
            <w:pPr>
              <w:spacing w:after="0" w:line="252" w:lineRule="auto"/>
              <w:rPr>
                <w:rFonts w:cstheme="minorHAnsi"/>
                <w:sz w:val="18"/>
                <w:szCs w:val="18"/>
                <w:lang w:bidi="en-US"/>
              </w:rPr>
            </w:pPr>
            <w:r w:rsidRPr="0075353B">
              <w:rPr>
                <w:rFonts w:cstheme="minorHAnsi"/>
                <w:sz w:val="18"/>
                <w:szCs w:val="18"/>
                <w:lang w:bidi="en-US"/>
              </w:rPr>
              <w:t xml:space="preserve">Uwaga uwzględniona, </w:t>
            </w:r>
            <w:r w:rsidR="003E5479" w:rsidRPr="003E5479">
              <w:rPr>
                <w:rFonts w:cstheme="minorHAnsi"/>
                <w:sz w:val="18"/>
                <w:szCs w:val="18"/>
                <w:lang w:bidi="en-US"/>
              </w:rPr>
              <w:t>wprowadzono dodatkowy Rozdział 10.</w:t>
            </w:r>
            <w:r w:rsidR="003E5479">
              <w:rPr>
                <w:rFonts w:cstheme="minorHAnsi"/>
                <w:sz w:val="18"/>
                <w:szCs w:val="18"/>
                <w:lang w:bidi="en-US"/>
              </w:rPr>
              <w:t>4</w:t>
            </w:r>
          </w:p>
        </w:tc>
      </w:tr>
      <w:tr w:rsidR="0075353B" w:rsidRPr="00B838F2" w14:paraId="0E3C789C" w14:textId="77777777" w:rsidTr="0075353B">
        <w:tc>
          <w:tcPr>
            <w:tcW w:w="471" w:type="dxa"/>
            <w:vAlign w:val="center"/>
          </w:tcPr>
          <w:p w14:paraId="23F6138E" w14:textId="45BC9992" w:rsidR="0075353B" w:rsidRDefault="00E54960" w:rsidP="00B838F2">
            <w:pPr>
              <w:spacing w:after="0" w:line="252" w:lineRule="auto"/>
              <w:rPr>
                <w:rFonts w:cstheme="minorHAnsi"/>
                <w:sz w:val="18"/>
                <w:szCs w:val="18"/>
                <w:lang w:bidi="en-US"/>
              </w:rPr>
            </w:pPr>
            <w:r>
              <w:rPr>
                <w:rFonts w:cstheme="minorHAnsi"/>
                <w:sz w:val="18"/>
                <w:szCs w:val="18"/>
                <w:lang w:bidi="en-US"/>
              </w:rPr>
              <w:t>3.</w:t>
            </w:r>
          </w:p>
        </w:tc>
        <w:tc>
          <w:tcPr>
            <w:tcW w:w="1664" w:type="dxa"/>
            <w:vAlign w:val="center"/>
          </w:tcPr>
          <w:p w14:paraId="3258F4CB" w14:textId="673A9020" w:rsidR="0075353B" w:rsidRDefault="00E54960" w:rsidP="007F241A">
            <w:pPr>
              <w:spacing w:after="0" w:line="252" w:lineRule="auto"/>
              <w:jc w:val="left"/>
              <w:rPr>
                <w:rFonts w:cstheme="minorHAnsi"/>
                <w:sz w:val="18"/>
                <w:szCs w:val="18"/>
                <w:lang w:bidi="en-US"/>
              </w:rPr>
            </w:pPr>
            <w:r w:rsidRPr="00E54960">
              <w:rPr>
                <w:rFonts w:cstheme="minorHAnsi"/>
                <w:sz w:val="18"/>
                <w:szCs w:val="18"/>
                <w:lang w:bidi="en-US"/>
              </w:rPr>
              <w:t>Państwowe Gospodarstwo Wodne Wody Polskie</w:t>
            </w:r>
          </w:p>
        </w:tc>
        <w:tc>
          <w:tcPr>
            <w:tcW w:w="5373" w:type="dxa"/>
            <w:vAlign w:val="center"/>
          </w:tcPr>
          <w:p w14:paraId="6324B0EB" w14:textId="3B82E300" w:rsidR="0075353B" w:rsidRPr="0075353B" w:rsidRDefault="0075353B" w:rsidP="0075353B">
            <w:pPr>
              <w:spacing w:after="0" w:line="252" w:lineRule="auto"/>
              <w:jc w:val="left"/>
              <w:rPr>
                <w:rFonts w:cstheme="minorHAnsi"/>
                <w:sz w:val="18"/>
                <w:szCs w:val="18"/>
                <w:lang w:bidi="en-US"/>
              </w:rPr>
            </w:pPr>
            <w:r>
              <w:rPr>
                <w:rFonts w:cstheme="minorHAnsi"/>
                <w:sz w:val="18"/>
                <w:szCs w:val="18"/>
                <w:lang w:bidi="en-US"/>
              </w:rPr>
              <w:t xml:space="preserve">Wprowadzenie zapisów dotyczących położenia </w:t>
            </w:r>
            <w:r w:rsidRPr="0075353B">
              <w:rPr>
                <w:rFonts w:cstheme="minorHAnsi"/>
                <w:sz w:val="18"/>
                <w:szCs w:val="18"/>
                <w:lang w:bidi="en-US"/>
              </w:rPr>
              <w:t>gmin</w:t>
            </w:r>
            <w:r>
              <w:rPr>
                <w:rFonts w:cstheme="minorHAnsi"/>
                <w:sz w:val="18"/>
                <w:szCs w:val="18"/>
                <w:lang w:bidi="en-US"/>
              </w:rPr>
              <w:t>y</w:t>
            </w:r>
            <w:r w:rsidRPr="0075353B">
              <w:rPr>
                <w:rFonts w:cstheme="minorHAnsi"/>
                <w:sz w:val="18"/>
                <w:szCs w:val="18"/>
                <w:lang w:bidi="en-US"/>
              </w:rPr>
              <w:t xml:space="preserve"> Opole</w:t>
            </w:r>
            <w:r>
              <w:rPr>
                <w:rFonts w:cstheme="minorHAnsi"/>
                <w:sz w:val="18"/>
                <w:szCs w:val="18"/>
                <w:lang w:bidi="en-US"/>
              </w:rPr>
              <w:t xml:space="preserve"> </w:t>
            </w:r>
            <w:r w:rsidRPr="0075353B">
              <w:rPr>
                <w:rFonts w:cstheme="minorHAnsi"/>
                <w:sz w:val="18"/>
                <w:szCs w:val="18"/>
                <w:lang w:bidi="en-US"/>
              </w:rPr>
              <w:t>Lubelskie</w:t>
            </w:r>
            <w:r>
              <w:rPr>
                <w:rFonts w:cstheme="minorHAnsi"/>
                <w:sz w:val="18"/>
                <w:szCs w:val="18"/>
                <w:lang w:bidi="en-US"/>
              </w:rPr>
              <w:t xml:space="preserve"> </w:t>
            </w:r>
            <w:r w:rsidRPr="0075353B">
              <w:rPr>
                <w:rFonts w:cstheme="minorHAnsi"/>
                <w:sz w:val="18"/>
                <w:szCs w:val="18"/>
                <w:lang w:bidi="en-US"/>
              </w:rPr>
              <w:t>na obszarze Państwowego Gospodarstwa Wodnego Wody Polskie Regionalnego</w:t>
            </w:r>
            <w:r>
              <w:rPr>
                <w:rFonts w:cstheme="minorHAnsi"/>
                <w:sz w:val="18"/>
                <w:szCs w:val="18"/>
                <w:lang w:bidi="en-US"/>
              </w:rPr>
              <w:t xml:space="preserve"> </w:t>
            </w:r>
            <w:r w:rsidRPr="0075353B">
              <w:rPr>
                <w:rFonts w:cstheme="minorHAnsi"/>
                <w:sz w:val="18"/>
                <w:szCs w:val="18"/>
                <w:lang w:bidi="en-US"/>
              </w:rPr>
              <w:t>Zarządu Gospodarki Wodnej w Warszawie, w zasięgu zlewni jednolitych</w:t>
            </w:r>
          </w:p>
          <w:p w14:paraId="19B3F128" w14:textId="6751E300" w:rsidR="0075353B" w:rsidRPr="0075353B" w:rsidRDefault="0075353B" w:rsidP="0075353B">
            <w:pPr>
              <w:spacing w:after="0" w:line="252" w:lineRule="auto"/>
              <w:jc w:val="left"/>
              <w:rPr>
                <w:rFonts w:cstheme="minorHAnsi"/>
                <w:sz w:val="18"/>
                <w:szCs w:val="18"/>
                <w:lang w:bidi="en-US"/>
              </w:rPr>
            </w:pPr>
            <w:r w:rsidRPr="0075353B">
              <w:rPr>
                <w:rFonts w:cstheme="minorHAnsi"/>
                <w:sz w:val="18"/>
                <w:szCs w:val="18"/>
                <w:lang w:bidi="en-US"/>
              </w:rPr>
              <w:t>części wód</w:t>
            </w:r>
            <w:r>
              <w:rPr>
                <w:rFonts w:cstheme="minorHAnsi"/>
                <w:sz w:val="18"/>
                <w:szCs w:val="18"/>
                <w:lang w:bidi="en-US"/>
              </w:rPr>
              <w:t xml:space="preserve"> - </w:t>
            </w:r>
            <w:r w:rsidRPr="0075353B">
              <w:rPr>
                <w:rFonts w:cstheme="minorHAnsi"/>
                <w:sz w:val="18"/>
                <w:szCs w:val="18"/>
                <w:lang w:bidi="en-US"/>
              </w:rPr>
              <w:t>Jednolit</w:t>
            </w:r>
            <w:r>
              <w:rPr>
                <w:rFonts w:cstheme="minorHAnsi"/>
                <w:sz w:val="18"/>
                <w:szCs w:val="18"/>
                <w:lang w:bidi="en-US"/>
              </w:rPr>
              <w:t>ych</w:t>
            </w:r>
            <w:r w:rsidRPr="0075353B">
              <w:rPr>
                <w:rFonts w:cstheme="minorHAnsi"/>
                <w:sz w:val="18"/>
                <w:szCs w:val="18"/>
                <w:lang w:bidi="en-US"/>
              </w:rPr>
              <w:t xml:space="preserve"> Części Wód Powierzchniowych (JCWP)</w:t>
            </w:r>
            <w:r>
              <w:rPr>
                <w:rFonts w:cstheme="minorHAnsi"/>
                <w:sz w:val="18"/>
                <w:szCs w:val="18"/>
                <w:lang w:bidi="en-US"/>
              </w:rPr>
              <w:t xml:space="preserve"> i </w:t>
            </w:r>
            <w:r w:rsidRPr="0075353B">
              <w:rPr>
                <w:rFonts w:cstheme="minorHAnsi"/>
                <w:sz w:val="18"/>
                <w:szCs w:val="18"/>
                <w:lang w:bidi="en-US"/>
              </w:rPr>
              <w:t xml:space="preserve"> Jednolit</w:t>
            </w:r>
            <w:r>
              <w:rPr>
                <w:rFonts w:cstheme="minorHAnsi"/>
                <w:sz w:val="18"/>
                <w:szCs w:val="18"/>
                <w:lang w:bidi="en-US"/>
              </w:rPr>
              <w:t>ych</w:t>
            </w:r>
            <w:r w:rsidRPr="0075353B">
              <w:rPr>
                <w:rFonts w:cstheme="minorHAnsi"/>
                <w:sz w:val="18"/>
                <w:szCs w:val="18"/>
                <w:lang w:bidi="en-US"/>
              </w:rPr>
              <w:t xml:space="preserve"> Części Wód Podziemny</w:t>
            </w:r>
            <w:r>
              <w:rPr>
                <w:rFonts w:cstheme="minorHAnsi"/>
                <w:sz w:val="18"/>
                <w:szCs w:val="18"/>
                <w:lang w:bidi="en-US"/>
              </w:rPr>
              <w:t xml:space="preserve"> </w:t>
            </w:r>
            <w:r w:rsidRPr="0075353B">
              <w:rPr>
                <w:rFonts w:cstheme="minorHAnsi"/>
                <w:sz w:val="18"/>
                <w:szCs w:val="18"/>
                <w:lang w:bidi="en-US"/>
              </w:rPr>
              <w:t>(JCWPd)</w:t>
            </w:r>
            <w:r>
              <w:rPr>
                <w:rFonts w:cstheme="minorHAnsi"/>
                <w:sz w:val="18"/>
                <w:szCs w:val="18"/>
                <w:lang w:bidi="en-US"/>
              </w:rPr>
              <w:t>.</w:t>
            </w:r>
          </w:p>
        </w:tc>
        <w:tc>
          <w:tcPr>
            <w:tcW w:w="1552" w:type="dxa"/>
            <w:vAlign w:val="center"/>
          </w:tcPr>
          <w:p w14:paraId="2737441B" w14:textId="6983A873" w:rsidR="0075353B" w:rsidRDefault="0075353B" w:rsidP="00B838F2">
            <w:pPr>
              <w:spacing w:after="0" w:line="252" w:lineRule="auto"/>
              <w:rPr>
                <w:rFonts w:cstheme="minorHAnsi"/>
                <w:sz w:val="18"/>
                <w:szCs w:val="18"/>
                <w:lang w:bidi="en-US"/>
              </w:rPr>
            </w:pPr>
            <w:r w:rsidRPr="0075353B">
              <w:rPr>
                <w:rFonts w:cstheme="minorHAnsi"/>
                <w:sz w:val="18"/>
                <w:szCs w:val="18"/>
                <w:lang w:bidi="en-US"/>
              </w:rPr>
              <w:t xml:space="preserve">Uwaga uwzględniona, </w:t>
            </w:r>
            <w:r w:rsidR="003E5479" w:rsidRPr="003E5479">
              <w:rPr>
                <w:rFonts w:cstheme="minorHAnsi"/>
                <w:sz w:val="18"/>
                <w:szCs w:val="18"/>
                <w:lang w:bidi="en-US"/>
              </w:rPr>
              <w:t>wprowadzono dodatkowy Rozdział 10.4</w:t>
            </w:r>
            <w:r w:rsidR="003E5479">
              <w:rPr>
                <w:rFonts w:cstheme="minorHAnsi"/>
                <w:sz w:val="18"/>
                <w:szCs w:val="18"/>
                <w:lang w:bidi="en-US"/>
              </w:rPr>
              <w:t xml:space="preserve"> </w:t>
            </w:r>
          </w:p>
        </w:tc>
      </w:tr>
      <w:tr w:rsidR="0075353B" w:rsidRPr="00B838F2" w14:paraId="23EEAD14" w14:textId="77777777" w:rsidTr="0075353B">
        <w:tc>
          <w:tcPr>
            <w:tcW w:w="471" w:type="dxa"/>
            <w:vAlign w:val="center"/>
          </w:tcPr>
          <w:p w14:paraId="68F6D9F1" w14:textId="44A4CE93" w:rsidR="0075353B" w:rsidRDefault="00E54960" w:rsidP="00B838F2">
            <w:pPr>
              <w:spacing w:after="0" w:line="252" w:lineRule="auto"/>
              <w:rPr>
                <w:rFonts w:cstheme="minorHAnsi"/>
                <w:sz w:val="18"/>
                <w:szCs w:val="18"/>
                <w:lang w:bidi="en-US"/>
              </w:rPr>
            </w:pPr>
            <w:r>
              <w:rPr>
                <w:rFonts w:cstheme="minorHAnsi"/>
                <w:sz w:val="18"/>
                <w:szCs w:val="18"/>
                <w:lang w:bidi="en-US"/>
              </w:rPr>
              <w:t>4.</w:t>
            </w:r>
          </w:p>
        </w:tc>
        <w:tc>
          <w:tcPr>
            <w:tcW w:w="1664" w:type="dxa"/>
            <w:vAlign w:val="center"/>
          </w:tcPr>
          <w:p w14:paraId="6113E557" w14:textId="75488940" w:rsidR="0075353B" w:rsidRDefault="00E54960" w:rsidP="007F241A">
            <w:pPr>
              <w:spacing w:after="0" w:line="252" w:lineRule="auto"/>
              <w:jc w:val="left"/>
              <w:rPr>
                <w:rFonts w:cstheme="minorHAnsi"/>
                <w:sz w:val="18"/>
                <w:szCs w:val="18"/>
                <w:lang w:bidi="en-US"/>
              </w:rPr>
            </w:pPr>
            <w:r w:rsidRPr="00E54960">
              <w:rPr>
                <w:rFonts w:cstheme="minorHAnsi"/>
                <w:sz w:val="18"/>
                <w:szCs w:val="18"/>
                <w:lang w:bidi="en-US"/>
              </w:rPr>
              <w:t>Państwowe Gospodarstwo Wodne Wody Polskie</w:t>
            </w:r>
          </w:p>
        </w:tc>
        <w:tc>
          <w:tcPr>
            <w:tcW w:w="5373" w:type="dxa"/>
            <w:vAlign w:val="center"/>
          </w:tcPr>
          <w:p w14:paraId="01E6E709" w14:textId="7B0BDCAC" w:rsidR="00A64D11" w:rsidRPr="00A64D11" w:rsidRDefault="00A64D11" w:rsidP="00A64D11">
            <w:pPr>
              <w:spacing w:after="0" w:line="252" w:lineRule="auto"/>
              <w:jc w:val="left"/>
              <w:rPr>
                <w:rFonts w:cstheme="minorHAnsi"/>
                <w:sz w:val="18"/>
                <w:szCs w:val="18"/>
                <w:lang w:bidi="en-US"/>
              </w:rPr>
            </w:pPr>
            <w:r>
              <w:rPr>
                <w:rFonts w:cstheme="minorHAnsi"/>
                <w:sz w:val="18"/>
                <w:szCs w:val="18"/>
                <w:lang w:bidi="en-US"/>
              </w:rPr>
              <w:t xml:space="preserve">Wprowadzenie zapisów dotyczących </w:t>
            </w:r>
            <w:r w:rsidRPr="00A64D11">
              <w:rPr>
                <w:rFonts w:cstheme="minorHAnsi"/>
                <w:sz w:val="18"/>
                <w:szCs w:val="18"/>
                <w:lang w:bidi="en-US"/>
              </w:rPr>
              <w:t>zapewnieni</w:t>
            </w:r>
            <w:r>
              <w:rPr>
                <w:rFonts w:cstheme="minorHAnsi"/>
                <w:sz w:val="18"/>
                <w:szCs w:val="18"/>
                <w:lang w:bidi="en-US"/>
              </w:rPr>
              <w:t>a</w:t>
            </w:r>
            <w:r w:rsidRPr="00A64D11">
              <w:rPr>
                <w:rFonts w:cstheme="minorHAnsi"/>
                <w:sz w:val="18"/>
                <w:szCs w:val="18"/>
                <w:lang w:bidi="en-US"/>
              </w:rPr>
              <w:t xml:space="preserve"> racjonalnego gospodarowania obszarami</w:t>
            </w:r>
          </w:p>
          <w:p w14:paraId="53521EEF" w14:textId="39678EB5" w:rsidR="0075353B" w:rsidRPr="0075353B" w:rsidRDefault="00A64D11" w:rsidP="00A64D11">
            <w:pPr>
              <w:spacing w:after="0" w:line="252" w:lineRule="auto"/>
              <w:jc w:val="left"/>
              <w:rPr>
                <w:rFonts w:cstheme="minorHAnsi"/>
                <w:sz w:val="18"/>
                <w:szCs w:val="18"/>
                <w:lang w:bidi="en-US"/>
              </w:rPr>
            </w:pPr>
            <w:r w:rsidRPr="00A64D11">
              <w:rPr>
                <w:rFonts w:cstheme="minorHAnsi"/>
                <w:sz w:val="18"/>
                <w:szCs w:val="18"/>
                <w:lang w:bidi="en-US"/>
              </w:rPr>
              <w:t>zagrożenia powodziowego</w:t>
            </w:r>
            <w:r>
              <w:rPr>
                <w:rFonts w:cstheme="minorHAnsi"/>
                <w:sz w:val="18"/>
                <w:szCs w:val="18"/>
                <w:lang w:bidi="en-US"/>
              </w:rPr>
              <w:t xml:space="preserve"> </w:t>
            </w:r>
            <w:r w:rsidR="00487A17">
              <w:rPr>
                <w:rFonts w:cstheme="minorHAnsi"/>
                <w:sz w:val="18"/>
                <w:szCs w:val="18"/>
                <w:lang w:bidi="en-US"/>
              </w:rPr>
              <w:t xml:space="preserve">zgodnie z </w:t>
            </w:r>
            <w:r w:rsidR="00487A17" w:rsidRPr="00487A17">
              <w:rPr>
                <w:rFonts w:cstheme="minorHAnsi"/>
                <w:sz w:val="18"/>
                <w:szCs w:val="18"/>
                <w:lang w:bidi="en-US"/>
              </w:rPr>
              <w:t>map</w:t>
            </w:r>
            <w:r w:rsidR="00487A17">
              <w:rPr>
                <w:rFonts w:cstheme="minorHAnsi"/>
                <w:sz w:val="18"/>
                <w:szCs w:val="18"/>
                <w:lang w:bidi="en-US"/>
              </w:rPr>
              <w:t>ami</w:t>
            </w:r>
            <w:r w:rsidR="00487A17" w:rsidRPr="00487A17">
              <w:rPr>
                <w:rFonts w:cstheme="minorHAnsi"/>
                <w:sz w:val="18"/>
                <w:szCs w:val="18"/>
                <w:lang w:bidi="en-US"/>
              </w:rPr>
              <w:t xml:space="preserve"> zagrożenia powodziowego</w:t>
            </w:r>
            <w:r w:rsidR="00487A17">
              <w:rPr>
                <w:rFonts w:cstheme="minorHAnsi"/>
                <w:sz w:val="18"/>
                <w:szCs w:val="18"/>
                <w:lang w:bidi="en-US"/>
              </w:rPr>
              <w:t>.</w:t>
            </w:r>
          </w:p>
        </w:tc>
        <w:tc>
          <w:tcPr>
            <w:tcW w:w="1552" w:type="dxa"/>
            <w:vAlign w:val="center"/>
          </w:tcPr>
          <w:p w14:paraId="107998FC" w14:textId="754DE4AC" w:rsidR="0075353B" w:rsidRDefault="00487A17" w:rsidP="00B838F2">
            <w:pPr>
              <w:spacing w:after="0" w:line="252" w:lineRule="auto"/>
              <w:rPr>
                <w:rFonts w:cstheme="minorHAnsi"/>
                <w:sz w:val="18"/>
                <w:szCs w:val="18"/>
                <w:lang w:bidi="en-US"/>
              </w:rPr>
            </w:pPr>
            <w:r w:rsidRPr="00487A17">
              <w:rPr>
                <w:rFonts w:cstheme="minorHAnsi"/>
                <w:sz w:val="18"/>
                <w:szCs w:val="18"/>
                <w:lang w:bidi="en-US"/>
              </w:rPr>
              <w:t xml:space="preserve">Uwaga uwzględniona, </w:t>
            </w:r>
            <w:r w:rsidR="003E5479" w:rsidRPr="003E5479">
              <w:rPr>
                <w:rFonts w:cstheme="minorHAnsi"/>
                <w:sz w:val="18"/>
                <w:szCs w:val="18"/>
                <w:lang w:bidi="en-US"/>
              </w:rPr>
              <w:t>wprowadzono dodatkowy Rozdział 10.4</w:t>
            </w:r>
            <w:r w:rsidR="003E5479">
              <w:rPr>
                <w:rFonts w:cstheme="minorHAnsi"/>
                <w:sz w:val="18"/>
                <w:szCs w:val="18"/>
                <w:lang w:bidi="en-US"/>
              </w:rPr>
              <w:t xml:space="preserve"> </w:t>
            </w:r>
          </w:p>
        </w:tc>
      </w:tr>
      <w:tr w:rsidR="0075353B" w:rsidRPr="00B838F2" w14:paraId="6D04963E" w14:textId="77777777" w:rsidTr="0075353B">
        <w:tc>
          <w:tcPr>
            <w:tcW w:w="471" w:type="dxa"/>
            <w:vAlign w:val="center"/>
          </w:tcPr>
          <w:p w14:paraId="0B8D99FF" w14:textId="64BDF88F" w:rsidR="0075353B" w:rsidRDefault="00E54960" w:rsidP="00B838F2">
            <w:pPr>
              <w:spacing w:after="0" w:line="252" w:lineRule="auto"/>
              <w:rPr>
                <w:rFonts w:cstheme="minorHAnsi"/>
                <w:sz w:val="18"/>
                <w:szCs w:val="18"/>
                <w:lang w:bidi="en-US"/>
              </w:rPr>
            </w:pPr>
            <w:r>
              <w:rPr>
                <w:rFonts w:cstheme="minorHAnsi"/>
                <w:sz w:val="18"/>
                <w:szCs w:val="18"/>
                <w:lang w:bidi="en-US"/>
              </w:rPr>
              <w:t>5.</w:t>
            </w:r>
          </w:p>
        </w:tc>
        <w:tc>
          <w:tcPr>
            <w:tcW w:w="1664" w:type="dxa"/>
            <w:vAlign w:val="center"/>
          </w:tcPr>
          <w:p w14:paraId="52597BD1" w14:textId="2AD7C7FD" w:rsidR="0075353B" w:rsidRDefault="00E54960" w:rsidP="007F241A">
            <w:pPr>
              <w:spacing w:after="0" w:line="252" w:lineRule="auto"/>
              <w:jc w:val="left"/>
              <w:rPr>
                <w:rFonts w:cstheme="minorHAnsi"/>
                <w:sz w:val="18"/>
                <w:szCs w:val="18"/>
                <w:lang w:bidi="en-US"/>
              </w:rPr>
            </w:pPr>
            <w:r w:rsidRPr="00E54960">
              <w:rPr>
                <w:rFonts w:cstheme="minorHAnsi"/>
                <w:sz w:val="18"/>
                <w:szCs w:val="18"/>
                <w:lang w:bidi="en-US"/>
              </w:rPr>
              <w:t>Państwowe Gospodarstwo Wodne Wody Polskie</w:t>
            </w:r>
          </w:p>
        </w:tc>
        <w:tc>
          <w:tcPr>
            <w:tcW w:w="5373" w:type="dxa"/>
            <w:vAlign w:val="center"/>
          </w:tcPr>
          <w:p w14:paraId="4DEFD2E6" w14:textId="3830F472" w:rsidR="0075353B" w:rsidRPr="0075353B" w:rsidRDefault="00E54960" w:rsidP="00E54960">
            <w:pPr>
              <w:spacing w:after="0" w:line="252" w:lineRule="auto"/>
              <w:jc w:val="left"/>
              <w:rPr>
                <w:rFonts w:cstheme="minorHAnsi"/>
                <w:sz w:val="18"/>
                <w:szCs w:val="18"/>
                <w:lang w:bidi="en-US"/>
              </w:rPr>
            </w:pPr>
            <w:r w:rsidRPr="00E54960">
              <w:rPr>
                <w:rFonts w:cstheme="minorHAnsi"/>
                <w:sz w:val="18"/>
                <w:szCs w:val="18"/>
                <w:lang w:bidi="en-US"/>
              </w:rPr>
              <w:t>W projekcie strategii proponujemy wskazać, że całość terenu gminy Opole Lubelskie znajduje się</w:t>
            </w:r>
            <w:r>
              <w:rPr>
                <w:rFonts w:cstheme="minorHAnsi"/>
                <w:sz w:val="18"/>
                <w:szCs w:val="18"/>
                <w:lang w:bidi="en-US"/>
              </w:rPr>
              <w:t xml:space="preserve"> </w:t>
            </w:r>
            <w:r w:rsidRPr="00E54960">
              <w:rPr>
                <w:rFonts w:cstheme="minorHAnsi"/>
                <w:sz w:val="18"/>
                <w:szCs w:val="18"/>
                <w:lang w:bidi="en-US"/>
              </w:rPr>
              <w:t>na obszarze Głównego Zbiornika Wód Podziemnych (GZWP) nr 406 Zbiornik Niecka lubelska (Lublin)</w:t>
            </w:r>
            <w:r w:rsidR="00890205">
              <w:rPr>
                <w:rFonts w:cstheme="minorHAnsi"/>
                <w:sz w:val="18"/>
                <w:szCs w:val="18"/>
                <w:lang w:bidi="en-US"/>
              </w:rPr>
              <w:t>.</w:t>
            </w:r>
          </w:p>
        </w:tc>
        <w:tc>
          <w:tcPr>
            <w:tcW w:w="1552" w:type="dxa"/>
            <w:vAlign w:val="center"/>
          </w:tcPr>
          <w:p w14:paraId="047A9075" w14:textId="53BB76DA" w:rsidR="0075353B" w:rsidRDefault="00E54960" w:rsidP="00B838F2">
            <w:pPr>
              <w:spacing w:after="0" w:line="252" w:lineRule="auto"/>
              <w:rPr>
                <w:rFonts w:cstheme="minorHAnsi"/>
                <w:sz w:val="18"/>
                <w:szCs w:val="18"/>
                <w:lang w:bidi="en-US"/>
              </w:rPr>
            </w:pPr>
            <w:r w:rsidRPr="00E54960">
              <w:rPr>
                <w:rFonts w:cstheme="minorHAnsi"/>
                <w:sz w:val="18"/>
                <w:szCs w:val="18"/>
                <w:lang w:bidi="en-US"/>
              </w:rPr>
              <w:t>Uwaga uwzględniona,</w:t>
            </w:r>
            <w:r w:rsidR="003E5479">
              <w:t xml:space="preserve"> </w:t>
            </w:r>
            <w:r w:rsidR="003E5479" w:rsidRPr="003E5479">
              <w:rPr>
                <w:rFonts w:cstheme="minorHAnsi"/>
                <w:sz w:val="18"/>
                <w:szCs w:val="18"/>
                <w:lang w:bidi="en-US"/>
              </w:rPr>
              <w:t>wprowadzono dodatkowy Rozdział 10.4</w:t>
            </w:r>
            <w:r w:rsidRPr="00E54960">
              <w:rPr>
                <w:rFonts w:cstheme="minorHAnsi"/>
                <w:sz w:val="18"/>
                <w:szCs w:val="18"/>
                <w:lang w:bidi="en-US"/>
              </w:rPr>
              <w:t xml:space="preserve"> </w:t>
            </w:r>
            <w:r w:rsidR="003E5479">
              <w:rPr>
                <w:rFonts w:cstheme="minorHAnsi"/>
                <w:sz w:val="18"/>
                <w:szCs w:val="18"/>
                <w:lang w:bidi="en-US"/>
              </w:rPr>
              <w:t xml:space="preserve"> </w:t>
            </w:r>
          </w:p>
        </w:tc>
      </w:tr>
      <w:tr w:rsidR="0075353B" w:rsidRPr="00B838F2" w14:paraId="0519F7DD" w14:textId="77777777" w:rsidTr="0075353B">
        <w:tc>
          <w:tcPr>
            <w:tcW w:w="471" w:type="dxa"/>
            <w:vAlign w:val="center"/>
          </w:tcPr>
          <w:p w14:paraId="42FDFED6" w14:textId="1CB163BB" w:rsidR="0075353B" w:rsidRDefault="00B87AD0" w:rsidP="00B838F2">
            <w:pPr>
              <w:spacing w:after="0" w:line="252" w:lineRule="auto"/>
              <w:rPr>
                <w:rFonts w:cstheme="minorHAnsi"/>
                <w:sz w:val="18"/>
                <w:szCs w:val="18"/>
                <w:lang w:bidi="en-US"/>
              </w:rPr>
            </w:pPr>
            <w:r>
              <w:rPr>
                <w:rFonts w:cstheme="minorHAnsi"/>
                <w:sz w:val="18"/>
                <w:szCs w:val="18"/>
                <w:lang w:bidi="en-US"/>
              </w:rPr>
              <w:t>6.</w:t>
            </w:r>
          </w:p>
        </w:tc>
        <w:tc>
          <w:tcPr>
            <w:tcW w:w="1664" w:type="dxa"/>
            <w:vAlign w:val="center"/>
          </w:tcPr>
          <w:p w14:paraId="2526303C" w14:textId="4C15D9F5" w:rsidR="0075353B" w:rsidRDefault="00B87AD0" w:rsidP="007F241A">
            <w:pPr>
              <w:spacing w:after="0" w:line="252" w:lineRule="auto"/>
              <w:jc w:val="left"/>
              <w:rPr>
                <w:rFonts w:cstheme="minorHAnsi"/>
                <w:sz w:val="18"/>
                <w:szCs w:val="18"/>
                <w:lang w:bidi="en-US"/>
              </w:rPr>
            </w:pPr>
            <w:r>
              <w:rPr>
                <w:rFonts w:cstheme="minorHAnsi"/>
                <w:sz w:val="18"/>
                <w:szCs w:val="18"/>
                <w:lang w:bidi="en-US"/>
              </w:rPr>
              <w:t>Zarząd Województwa Lubelskiego</w:t>
            </w:r>
          </w:p>
        </w:tc>
        <w:tc>
          <w:tcPr>
            <w:tcW w:w="5373" w:type="dxa"/>
            <w:vAlign w:val="center"/>
          </w:tcPr>
          <w:p w14:paraId="43179803" w14:textId="5DD819E3" w:rsidR="0075353B" w:rsidRDefault="00DB381D" w:rsidP="00DB381D">
            <w:pPr>
              <w:spacing w:after="0" w:line="252" w:lineRule="auto"/>
              <w:jc w:val="left"/>
              <w:rPr>
                <w:rFonts w:cstheme="minorHAnsi"/>
                <w:sz w:val="18"/>
                <w:szCs w:val="18"/>
                <w:lang w:bidi="en-US"/>
              </w:rPr>
            </w:pPr>
            <w:r w:rsidRPr="00DB381D">
              <w:rPr>
                <w:rFonts w:cstheme="minorHAnsi"/>
                <w:sz w:val="18"/>
                <w:szCs w:val="18"/>
                <w:lang w:bidi="en-US"/>
              </w:rPr>
              <w:t>Mając na względzie znaczenie modelu struktury funkcjonalno-przestrzennej</w:t>
            </w:r>
            <w:r>
              <w:rPr>
                <w:rFonts w:cstheme="minorHAnsi"/>
                <w:sz w:val="18"/>
                <w:szCs w:val="18"/>
                <w:lang w:bidi="en-US"/>
              </w:rPr>
              <w:t xml:space="preserve"> </w:t>
            </w:r>
            <w:r w:rsidRPr="00DB381D">
              <w:rPr>
                <w:rFonts w:cstheme="minorHAnsi"/>
                <w:sz w:val="18"/>
                <w:szCs w:val="18"/>
                <w:lang w:bidi="en-US"/>
              </w:rPr>
              <w:t>w planowaniu rozwoju społeczno-gospodarczego, a także przepisy art. 10e ust. 3 ustawy</w:t>
            </w:r>
            <w:r>
              <w:rPr>
                <w:rFonts w:cstheme="minorHAnsi"/>
                <w:sz w:val="18"/>
                <w:szCs w:val="18"/>
                <w:lang w:bidi="en-US"/>
              </w:rPr>
              <w:t xml:space="preserve"> </w:t>
            </w:r>
            <w:r w:rsidRPr="00DB381D">
              <w:rPr>
                <w:rFonts w:cstheme="minorHAnsi"/>
                <w:sz w:val="18"/>
                <w:szCs w:val="18"/>
                <w:lang w:bidi="en-US"/>
              </w:rPr>
              <w:t>z dnia 8 marca 1990 r. o samorządzie gminnym (Dz. U. z 2024 r. poz. 1465, z późn. zm.),</w:t>
            </w:r>
            <w:r>
              <w:rPr>
                <w:rFonts w:cstheme="minorHAnsi"/>
                <w:sz w:val="18"/>
                <w:szCs w:val="18"/>
                <w:lang w:bidi="en-US"/>
              </w:rPr>
              <w:t xml:space="preserve"> </w:t>
            </w:r>
            <w:r w:rsidRPr="00DB381D">
              <w:rPr>
                <w:rFonts w:cstheme="minorHAnsi"/>
                <w:sz w:val="18"/>
                <w:szCs w:val="18"/>
                <w:lang w:bidi="en-US"/>
              </w:rPr>
              <w:t>rekomenduje się uporządkowanie treści rozdziału 9 A Model struktury funkcjonalnoprzestrzennej oraz rozdziału 9 B Ustalenia i rekomendacje, w tym przede wszystkim</w:t>
            </w:r>
            <w:r>
              <w:rPr>
                <w:rFonts w:cstheme="minorHAnsi"/>
                <w:sz w:val="18"/>
                <w:szCs w:val="18"/>
                <w:lang w:bidi="en-US"/>
              </w:rPr>
              <w:t xml:space="preserve"> </w:t>
            </w:r>
            <w:r w:rsidRPr="00DB381D">
              <w:rPr>
                <w:rFonts w:cstheme="minorHAnsi"/>
                <w:sz w:val="18"/>
                <w:szCs w:val="18"/>
                <w:lang w:bidi="en-US"/>
              </w:rPr>
              <w:t>w zakresie:</w:t>
            </w:r>
            <w:r>
              <w:rPr>
                <w:rFonts w:cstheme="minorHAnsi"/>
                <w:sz w:val="18"/>
                <w:szCs w:val="18"/>
                <w:lang w:bidi="en-US"/>
              </w:rPr>
              <w:t xml:space="preserve"> </w:t>
            </w:r>
          </w:p>
          <w:p w14:paraId="423F6457" w14:textId="46672D2F" w:rsidR="00DB381D" w:rsidRPr="00DB381D" w:rsidRDefault="00DB381D">
            <w:pPr>
              <w:pStyle w:val="Akapitzlist"/>
              <w:numPr>
                <w:ilvl w:val="0"/>
                <w:numId w:val="105"/>
              </w:numPr>
              <w:spacing w:after="0" w:line="252" w:lineRule="auto"/>
              <w:ind w:left="306" w:hanging="306"/>
              <w:jc w:val="left"/>
              <w:rPr>
                <w:rFonts w:cstheme="minorHAnsi"/>
                <w:sz w:val="18"/>
                <w:szCs w:val="18"/>
                <w:lang w:bidi="en-US"/>
              </w:rPr>
            </w:pPr>
            <w:r w:rsidRPr="00DB381D">
              <w:rPr>
                <w:rFonts w:cstheme="minorHAnsi"/>
                <w:sz w:val="18"/>
                <w:szCs w:val="18"/>
                <w:lang w:bidi="en-US"/>
              </w:rPr>
              <w:lastRenderedPageBreak/>
              <w:t>Wyodrębnienia w ramach rozdziału 9 A Model struktury funkcjonalno-przestrzennej podstawowych elementów, w tym:</w:t>
            </w:r>
          </w:p>
          <w:p w14:paraId="14F9429D" w14:textId="724D2FA8" w:rsidR="00DB381D" w:rsidRPr="00DB381D" w:rsidRDefault="00DB381D">
            <w:pPr>
              <w:pStyle w:val="Akapitzlist"/>
              <w:numPr>
                <w:ilvl w:val="0"/>
                <w:numId w:val="104"/>
              </w:numPr>
              <w:spacing w:after="0" w:line="252" w:lineRule="auto"/>
              <w:ind w:left="164" w:hanging="142"/>
              <w:jc w:val="left"/>
              <w:rPr>
                <w:rFonts w:cstheme="minorHAnsi"/>
                <w:sz w:val="18"/>
                <w:szCs w:val="18"/>
                <w:lang w:bidi="en-US"/>
              </w:rPr>
            </w:pPr>
            <w:r w:rsidRPr="00DB381D">
              <w:rPr>
                <w:rFonts w:cstheme="minorHAnsi"/>
                <w:sz w:val="18"/>
                <w:szCs w:val="18"/>
                <w:lang w:bidi="en-US"/>
              </w:rPr>
              <w:t>sieć osadnicza wraz z rolą i hierarchią jednostek,</w:t>
            </w:r>
          </w:p>
          <w:p w14:paraId="397D2ED1" w14:textId="6ACA33C1" w:rsidR="00DB381D" w:rsidRPr="00DB381D" w:rsidRDefault="00DB381D">
            <w:pPr>
              <w:pStyle w:val="Akapitzlist"/>
              <w:numPr>
                <w:ilvl w:val="0"/>
                <w:numId w:val="104"/>
              </w:numPr>
              <w:spacing w:after="0" w:line="252" w:lineRule="auto"/>
              <w:ind w:left="164" w:hanging="142"/>
              <w:jc w:val="left"/>
              <w:rPr>
                <w:rFonts w:cstheme="minorHAnsi"/>
                <w:sz w:val="18"/>
                <w:szCs w:val="18"/>
                <w:lang w:bidi="en-US"/>
              </w:rPr>
            </w:pPr>
            <w:r w:rsidRPr="00DB381D">
              <w:rPr>
                <w:rFonts w:cstheme="minorHAnsi"/>
                <w:sz w:val="18"/>
                <w:szCs w:val="18"/>
                <w:lang w:bidi="en-US"/>
              </w:rPr>
              <w:t>system powiązań przyrodniczych,</w:t>
            </w:r>
          </w:p>
          <w:p w14:paraId="1279E118" w14:textId="5B720E09" w:rsidR="00DB381D" w:rsidRPr="00DB381D" w:rsidRDefault="00DB381D">
            <w:pPr>
              <w:pStyle w:val="Akapitzlist"/>
              <w:numPr>
                <w:ilvl w:val="0"/>
                <w:numId w:val="104"/>
              </w:numPr>
              <w:spacing w:after="0" w:line="252" w:lineRule="auto"/>
              <w:ind w:left="164" w:hanging="142"/>
              <w:jc w:val="left"/>
              <w:rPr>
                <w:rFonts w:cstheme="minorHAnsi"/>
                <w:sz w:val="18"/>
                <w:szCs w:val="18"/>
                <w:lang w:bidi="en-US"/>
              </w:rPr>
            </w:pPr>
            <w:r w:rsidRPr="00DB381D">
              <w:rPr>
                <w:rFonts w:cstheme="minorHAnsi"/>
                <w:sz w:val="18"/>
                <w:szCs w:val="18"/>
                <w:lang w:bidi="en-US"/>
              </w:rPr>
              <w:t>główne korytarze i elementy sieci transportowych, w tym pieszych i rowerowych,</w:t>
            </w:r>
          </w:p>
          <w:p w14:paraId="45153521" w14:textId="01C1F9E7" w:rsidR="00DB381D" w:rsidRPr="00DB381D" w:rsidRDefault="00DB381D">
            <w:pPr>
              <w:pStyle w:val="Akapitzlist"/>
              <w:numPr>
                <w:ilvl w:val="0"/>
                <w:numId w:val="104"/>
              </w:numPr>
              <w:spacing w:after="0" w:line="252" w:lineRule="auto"/>
              <w:ind w:left="164" w:hanging="142"/>
              <w:jc w:val="left"/>
              <w:rPr>
                <w:rFonts w:cstheme="minorHAnsi"/>
                <w:sz w:val="18"/>
                <w:szCs w:val="18"/>
                <w:lang w:bidi="en-US"/>
              </w:rPr>
            </w:pPr>
            <w:r w:rsidRPr="00DB381D">
              <w:rPr>
                <w:rFonts w:cstheme="minorHAnsi"/>
                <w:sz w:val="18"/>
                <w:szCs w:val="18"/>
                <w:lang w:bidi="en-US"/>
              </w:rPr>
              <w:t>główne elementy infrastruktury technicznej i społecznej.</w:t>
            </w:r>
          </w:p>
        </w:tc>
        <w:tc>
          <w:tcPr>
            <w:tcW w:w="1552" w:type="dxa"/>
            <w:vAlign w:val="center"/>
          </w:tcPr>
          <w:p w14:paraId="59A409D4" w14:textId="09AB4F3F" w:rsidR="0075353B" w:rsidRDefault="00DB381D" w:rsidP="00DB381D">
            <w:pPr>
              <w:spacing w:after="0" w:line="252" w:lineRule="auto"/>
              <w:jc w:val="left"/>
              <w:rPr>
                <w:rFonts w:cstheme="minorHAnsi"/>
                <w:sz w:val="18"/>
                <w:szCs w:val="18"/>
                <w:lang w:bidi="en-US"/>
              </w:rPr>
            </w:pPr>
            <w:r w:rsidRPr="00DB381D">
              <w:rPr>
                <w:rFonts w:cstheme="minorHAnsi"/>
                <w:sz w:val="18"/>
                <w:szCs w:val="18"/>
                <w:lang w:bidi="en-US"/>
              </w:rPr>
              <w:lastRenderedPageBreak/>
              <w:t xml:space="preserve">Uwaga uwzględniona, </w:t>
            </w:r>
            <w:r w:rsidR="0074541E">
              <w:rPr>
                <w:rFonts w:cstheme="minorHAnsi"/>
                <w:sz w:val="18"/>
                <w:szCs w:val="18"/>
                <w:lang w:bidi="en-US"/>
              </w:rPr>
              <w:t>wprowadzono zmiany do</w:t>
            </w:r>
            <w:r>
              <w:rPr>
                <w:rFonts w:cstheme="minorHAnsi"/>
                <w:sz w:val="18"/>
                <w:szCs w:val="18"/>
                <w:lang w:bidi="en-US"/>
              </w:rPr>
              <w:t xml:space="preserve"> rozdziałów 9A i 9B</w:t>
            </w:r>
          </w:p>
        </w:tc>
      </w:tr>
      <w:tr w:rsidR="0075353B" w:rsidRPr="00B838F2" w14:paraId="62F6C16A" w14:textId="77777777" w:rsidTr="0075353B">
        <w:tc>
          <w:tcPr>
            <w:tcW w:w="471" w:type="dxa"/>
            <w:vAlign w:val="center"/>
          </w:tcPr>
          <w:p w14:paraId="162A82C6" w14:textId="30E00AB7" w:rsidR="0075353B" w:rsidRDefault="003D2C23" w:rsidP="00B838F2">
            <w:pPr>
              <w:spacing w:after="0" w:line="252" w:lineRule="auto"/>
              <w:rPr>
                <w:rFonts w:cstheme="minorHAnsi"/>
                <w:sz w:val="18"/>
                <w:szCs w:val="18"/>
                <w:lang w:bidi="en-US"/>
              </w:rPr>
            </w:pPr>
            <w:r>
              <w:rPr>
                <w:rFonts w:cstheme="minorHAnsi"/>
                <w:sz w:val="18"/>
                <w:szCs w:val="18"/>
                <w:lang w:bidi="en-US"/>
              </w:rPr>
              <w:t>7.</w:t>
            </w:r>
          </w:p>
        </w:tc>
        <w:tc>
          <w:tcPr>
            <w:tcW w:w="1664" w:type="dxa"/>
            <w:vAlign w:val="center"/>
          </w:tcPr>
          <w:p w14:paraId="77E7A1DF" w14:textId="2D49EC48" w:rsidR="0075353B" w:rsidRDefault="003D2C23" w:rsidP="007F241A">
            <w:pPr>
              <w:spacing w:after="0" w:line="252" w:lineRule="auto"/>
              <w:jc w:val="left"/>
              <w:rPr>
                <w:rFonts w:cstheme="minorHAnsi"/>
                <w:sz w:val="18"/>
                <w:szCs w:val="18"/>
                <w:lang w:bidi="en-US"/>
              </w:rPr>
            </w:pPr>
            <w:r>
              <w:rPr>
                <w:rFonts w:cstheme="minorHAnsi"/>
                <w:sz w:val="18"/>
                <w:szCs w:val="18"/>
                <w:lang w:bidi="en-US"/>
              </w:rPr>
              <w:t>Zarząd Województwa Lubelskiego</w:t>
            </w:r>
          </w:p>
        </w:tc>
        <w:tc>
          <w:tcPr>
            <w:tcW w:w="5373" w:type="dxa"/>
            <w:vAlign w:val="center"/>
          </w:tcPr>
          <w:p w14:paraId="7383A31F" w14:textId="77777777" w:rsidR="00DB381D" w:rsidRDefault="00DB381D" w:rsidP="00DB381D">
            <w:pPr>
              <w:spacing w:after="0" w:line="252" w:lineRule="auto"/>
              <w:jc w:val="left"/>
              <w:rPr>
                <w:rFonts w:cstheme="minorHAnsi"/>
                <w:sz w:val="18"/>
                <w:szCs w:val="18"/>
                <w:lang w:bidi="en-US"/>
              </w:rPr>
            </w:pPr>
            <w:r w:rsidRPr="00DB381D">
              <w:rPr>
                <w:rFonts w:cstheme="minorHAnsi"/>
                <w:sz w:val="18"/>
                <w:szCs w:val="18"/>
                <w:lang w:bidi="en-US"/>
              </w:rPr>
              <w:t>Mając na względzie znaczenie modelu struktury funkcjonalno-przestrzennej</w:t>
            </w:r>
            <w:r>
              <w:rPr>
                <w:rFonts w:cstheme="minorHAnsi"/>
                <w:sz w:val="18"/>
                <w:szCs w:val="18"/>
                <w:lang w:bidi="en-US"/>
              </w:rPr>
              <w:t xml:space="preserve"> </w:t>
            </w:r>
            <w:r w:rsidRPr="00DB381D">
              <w:rPr>
                <w:rFonts w:cstheme="minorHAnsi"/>
                <w:sz w:val="18"/>
                <w:szCs w:val="18"/>
                <w:lang w:bidi="en-US"/>
              </w:rPr>
              <w:t>w planowaniu rozwoju społeczno-gospodarczego, a także przepisy art. 10e ust. 3 ustawy</w:t>
            </w:r>
            <w:r>
              <w:rPr>
                <w:rFonts w:cstheme="minorHAnsi"/>
                <w:sz w:val="18"/>
                <w:szCs w:val="18"/>
                <w:lang w:bidi="en-US"/>
              </w:rPr>
              <w:t xml:space="preserve"> </w:t>
            </w:r>
            <w:r w:rsidRPr="00DB381D">
              <w:rPr>
                <w:rFonts w:cstheme="minorHAnsi"/>
                <w:sz w:val="18"/>
                <w:szCs w:val="18"/>
                <w:lang w:bidi="en-US"/>
              </w:rPr>
              <w:t>z dnia 8 marca 1990 r. o samorządzie gminnym (Dz. U. z 2024 r. poz. 1465, z późn. zm.),</w:t>
            </w:r>
            <w:r>
              <w:rPr>
                <w:rFonts w:cstheme="minorHAnsi"/>
                <w:sz w:val="18"/>
                <w:szCs w:val="18"/>
                <w:lang w:bidi="en-US"/>
              </w:rPr>
              <w:t xml:space="preserve"> </w:t>
            </w:r>
            <w:r w:rsidRPr="00DB381D">
              <w:rPr>
                <w:rFonts w:cstheme="minorHAnsi"/>
                <w:sz w:val="18"/>
                <w:szCs w:val="18"/>
                <w:lang w:bidi="en-US"/>
              </w:rPr>
              <w:t>rekomenduje się uporządkowanie treści rozdziału 9 A Model struktury funkcjonalnoprzestrzennej oraz rozdziału 9 B Ustalenia i rekomendacje, w tym przede wszystkim</w:t>
            </w:r>
            <w:r>
              <w:rPr>
                <w:rFonts w:cstheme="minorHAnsi"/>
                <w:sz w:val="18"/>
                <w:szCs w:val="18"/>
                <w:lang w:bidi="en-US"/>
              </w:rPr>
              <w:t xml:space="preserve"> </w:t>
            </w:r>
            <w:r w:rsidRPr="00DB381D">
              <w:rPr>
                <w:rFonts w:cstheme="minorHAnsi"/>
                <w:sz w:val="18"/>
                <w:szCs w:val="18"/>
                <w:lang w:bidi="en-US"/>
              </w:rPr>
              <w:t>w zakresie:</w:t>
            </w:r>
            <w:r>
              <w:rPr>
                <w:rFonts w:cstheme="minorHAnsi"/>
                <w:sz w:val="18"/>
                <w:szCs w:val="18"/>
                <w:lang w:bidi="en-US"/>
              </w:rPr>
              <w:t xml:space="preserve"> </w:t>
            </w:r>
          </w:p>
          <w:p w14:paraId="0C39CDD8" w14:textId="491E83E5" w:rsidR="0075353B" w:rsidRPr="00DB381D" w:rsidRDefault="00DB381D">
            <w:pPr>
              <w:pStyle w:val="Akapitzlist"/>
              <w:numPr>
                <w:ilvl w:val="0"/>
                <w:numId w:val="105"/>
              </w:numPr>
              <w:spacing w:after="0" w:line="252" w:lineRule="auto"/>
              <w:ind w:left="306" w:hanging="284"/>
              <w:jc w:val="left"/>
              <w:rPr>
                <w:rFonts w:cstheme="minorHAnsi"/>
                <w:sz w:val="18"/>
                <w:szCs w:val="18"/>
                <w:lang w:bidi="en-US"/>
              </w:rPr>
            </w:pPr>
            <w:r w:rsidRPr="00DB381D">
              <w:rPr>
                <w:rFonts w:cstheme="minorHAnsi"/>
                <w:sz w:val="18"/>
                <w:szCs w:val="18"/>
                <w:lang w:bidi="en-US"/>
              </w:rPr>
              <w:t>Definiowania elementów Modelu z uwzględnieniem wiodących funkcji rozwojowych, co pozwoli na czytelną interpretację zamierzeń rozwojowych Gminy oraz minimalizowanie kolizji i konfliktów przestrzennych</w:t>
            </w:r>
            <w:r w:rsidR="00890205">
              <w:rPr>
                <w:rFonts w:cstheme="minorHAnsi"/>
                <w:sz w:val="18"/>
                <w:szCs w:val="18"/>
                <w:lang w:bidi="en-US"/>
              </w:rPr>
              <w:t>.</w:t>
            </w:r>
          </w:p>
        </w:tc>
        <w:tc>
          <w:tcPr>
            <w:tcW w:w="1552" w:type="dxa"/>
            <w:vAlign w:val="center"/>
          </w:tcPr>
          <w:p w14:paraId="209A8541" w14:textId="3CA18AAF" w:rsidR="0075353B" w:rsidRDefault="0074541E" w:rsidP="007477E3">
            <w:pPr>
              <w:spacing w:after="0" w:line="252" w:lineRule="auto"/>
              <w:jc w:val="left"/>
              <w:rPr>
                <w:rFonts w:cstheme="minorHAnsi"/>
                <w:sz w:val="18"/>
                <w:szCs w:val="18"/>
                <w:lang w:bidi="en-US"/>
              </w:rPr>
            </w:pPr>
            <w:r w:rsidRPr="00DB381D">
              <w:rPr>
                <w:rFonts w:cstheme="minorHAnsi"/>
                <w:sz w:val="18"/>
                <w:szCs w:val="18"/>
                <w:lang w:bidi="en-US"/>
              </w:rPr>
              <w:t xml:space="preserve">Uwaga uwzględniona, </w:t>
            </w:r>
            <w:r>
              <w:rPr>
                <w:rFonts w:cstheme="minorHAnsi"/>
                <w:sz w:val="18"/>
                <w:szCs w:val="18"/>
                <w:lang w:bidi="en-US"/>
              </w:rPr>
              <w:t>wprowadzono zmiany</w:t>
            </w:r>
            <w:r w:rsidR="007477E3">
              <w:rPr>
                <w:rFonts w:cstheme="minorHAnsi"/>
                <w:sz w:val="18"/>
                <w:szCs w:val="18"/>
                <w:lang w:bidi="en-US"/>
              </w:rPr>
              <w:t xml:space="preserve"> </w:t>
            </w:r>
            <w:r>
              <w:rPr>
                <w:rFonts w:cstheme="minorHAnsi"/>
                <w:sz w:val="18"/>
                <w:szCs w:val="18"/>
                <w:lang w:bidi="en-US"/>
              </w:rPr>
              <w:t>do rozdziałów 9A i 9B</w:t>
            </w:r>
          </w:p>
        </w:tc>
      </w:tr>
      <w:tr w:rsidR="0075353B" w:rsidRPr="00B838F2" w14:paraId="58E99091" w14:textId="77777777" w:rsidTr="0075353B">
        <w:tc>
          <w:tcPr>
            <w:tcW w:w="471" w:type="dxa"/>
            <w:vAlign w:val="center"/>
          </w:tcPr>
          <w:p w14:paraId="69602E4A" w14:textId="2C71B11D" w:rsidR="0075353B" w:rsidRDefault="003D2C23" w:rsidP="00B838F2">
            <w:pPr>
              <w:spacing w:after="0" w:line="252" w:lineRule="auto"/>
              <w:rPr>
                <w:rFonts w:cstheme="minorHAnsi"/>
                <w:sz w:val="18"/>
                <w:szCs w:val="18"/>
                <w:lang w:bidi="en-US"/>
              </w:rPr>
            </w:pPr>
            <w:r>
              <w:rPr>
                <w:rFonts w:cstheme="minorHAnsi"/>
                <w:sz w:val="18"/>
                <w:szCs w:val="18"/>
                <w:lang w:bidi="en-US"/>
              </w:rPr>
              <w:t>8.</w:t>
            </w:r>
          </w:p>
        </w:tc>
        <w:tc>
          <w:tcPr>
            <w:tcW w:w="1664" w:type="dxa"/>
            <w:vAlign w:val="center"/>
          </w:tcPr>
          <w:p w14:paraId="29DCAAEB" w14:textId="2C47452C" w:rsidR="0075353B" w:rsidRDefault="003D2C23" w:rsidP="007F241A">
            <w:pPr>
              <w:spacing w:after="0" w:line="252" w:lineRule="auto"/>
              <w:jc w:val="left"/>
              <w:rPr>
                <w:rFonts w:cstheme="minorHAnsi"/>
                <w:sz w:val="18"/>
                <w:szCs w:val="18"/>
                <w:lang w:bidi="en-US"/>
              </w:rPr>
            </w:pPr>
            <w:r>
              <w:rPr>
                <w:rFonts w:cstheme="minorHAnsi"/>
                <w:sz w:val="18"/>
                <w:szCs w:val="18"/>
                <w:lang w:bidi="en-US"/>
              </w:rPr>
              <w:t>Zarząd Województwa Lubelskiego</w:t>
            </w:r>
          </w:p>
        </w:tc>
        <w:tc>
          <w:tcPr>
            <w:tcW w:w="5373" w:type="dxa"/>
            <w:vAlign w:val="center"/>
          </w:tcPr>
          <w:p w14:paraId="30CE89A5" w14:textId="77777777" w:rsidR="00DB381D" w:rsidRDefault="00DB381D" w:rsidP="00DB381D">
            <w:pPr>
              <w:spacing w:after="0" w:line="252" w:lineRule="auto"/>
              <w:jc w:val="left"/>
              <w:rPr>
                <w:rFonts w:cstheme="minorHAnsi"/>
                <w:sz w:val="18"/>
                <w:szCs w:val="18"/>
                <w:lang w:bidi="en-US"/>
              </w:rPr>
            </w:pPr>
            <w:r w:rsidRPr="00DB381D">
              <w:rPr>
                <w:rFonts w:cstheme="minorHAnsi"/>
                <w:sz w:val="18"/>
                <w:szCs w:val="18"/>
                <w:lang w:bidi="en-US"/>
              </w:rPr>
              <w:t>Mając na względzie znaczenie modelu struktury funkcjonalno-przestrzennej</w:t>
            </w:r>
            <w:r>
              <w:rPr>
                <w:rFonts w:cstheme="minorHAnsi"/>
                <w:sz w:val="18"/>
                <w:szCs w:val="18"/>
                <w:lang w:bidi="en-US"/>
              </w:rPr>
              <w:t xml:space="preserve"> </w:t>
            </w:r>
            <w:r w:rsidRPr="00DB381D">
              <w:rPr>
                <w:rFonts w:cstheme="minorHAnsi"/>
                <w:sz w:val="18"/>
                <w:szCs w:val="18"/>
                <w:lang w:bidi="en-US"/>
              </w:rPr>
              <w:t>w planowaniu rozwoju społeczno-gospodarczego, a także przepisy art. 10e ust. 3 ustawy</w:t>
            </w:r>
            <w:r>
              <w:rPr>
                <w:rFonts w:cstheme="minorHAnsi"/>
                <w:sz w:val="18"/>
                <w:szCs w:val="18"/>
                <w:lang w:bidi="en-US"/>
              </w:rPr>
              <w:t xml:space="preserve"> </w:t>
            </w:r>
            <w:r w:rsidRPr="00DB381D">
              <w:rPr>
                <w:rFonts w:cstheme="minorHAnsi"/>
                <w:sz w:val="18"/>
                <w:szCs w:val="18"/>
                <w:lang w:bidi="en-US"/>
              </w:rPr>
              <w:t>z dnia 8 marca 1990 r. o samorządzie gminnym (Dz. U. z 2024 r. poz. 1465, z późn. zm.),</w:t>
            </w:r>
            <w:r>
              <w:rPr>
                <w:rFonts w:cstheme="minorHAnsi"/>
                <w:sz w:val="18"/>
                <w:szCs w:val="18"/>
                <w:lang w:bidi="en-US"/>
              </w:rPr>
              <w:t xml:space="preserve"> </w:t>
            </w:r>
            <w:r w:rsidRPr="00DB381D">
              <w:rPr>
                <w:rFonts w:cstheme="minorHAnsi"/>
                <w:sz w:val="18"/>
                <w:szCs w:val="18"/>
                <w:lang w:bidi="en-US"/>
              </w:rPr>
              <w:t>rekomenduje się uporządkowanie treści rozdziału 9 A Model struktury funkcjonalnoprzestrzennej oraz rozdziału 9 B Ustalenia i rekomendacje, w tym przede wszystkim</w:t>
            </w:r>
            <w:r>
              <w:rPr>
                <w:rFonts w:cstheme="minorHAnsi"/>
                <w:sz w:val="18"/>
                <w:szCs w:val="18"/>
                <w:lang w:bidi="en-US"/>
              </w:rPr>
              <w:t xml:space="preserve"> </w:t>
            </w:r>
            <w:r w:rsidRPr="00DB381D">
              <w:rPr>
                <w:rFonts w:cstheme="minorHAnsi"/>
                <w:sz w:val="18"/>
                <w:szCs w:val="18"/>
                <w:lang w:bidi="en-US"/>
              </w:rPr>
              <w:t>w zakresie:</w:t>
            </w:r>
            <w:r>
              <w:rPr>
                <w:rFonts w:cstheme="minorHAnsi"/>
                <w:sz w:val="18"/>
                <w:szCs w:val="18"/>
                <w:lang w:bidi="en-US"/>
              </w:rPr>
              <w:t xml:space="preserve"> </w:t>
            </w:r>
          </w:p>
          <w:p w14:paraId="1195D1A4" w14:textId="2AB3C2D9" w:rsidR="0075353B" w:rsidRPr="00DB381D" w:rsidRDefault="00DB381D">
            <w:pPr>
              <w:pStyle w:val="Akapitzlist"/>
              <w:numPr>
                <w:ilvl w:val="0"/>
                <w:numId w:val="105"/>
              </w:numPr>
              <w:spacing w:after="0" w:line="252" w:lineRule="auto"/>
              <w:ind w:left="306" w:hanging="284"/>
              <w:jc w:val="left"/>
              <w:rPr>
                <w:rFonts w:cstheme="minorHAnsi"/>
                <w:sz w:val="18"/>
                <w:szCs w:val="18"/>
                <w:lang w:bidi="en-US"/>
              </w:rPr>
            </w:pPr>
            <w:r w:rsidRPr="00DB381D">
              <w:rPr>
                <w:rFonts w:cstheme="minorHAnsi"/>
                <w:sz w:val="18"/>
                <w:szCs w:val="18"/>
                <w:lang w:bidi="en-US"/>
              </w:rPr>
              <w:t>Stosowania jednolitych pojęć dotyczących elementów struktury funkcjonalnoprzestrzennej- ustalenia i rekomendacje odnoszą się do struktur przestrzennych, które nie zostały zdefiniowane w ramach Modelu.</w:t>
            </w:r>
          </w:p>
        </w:tc>
        <w:tc>
          <w:tcPr>
            <w:tcW w:w="1552" w:type="dxa"/>
            <w:vAlign w:val="center"/>
          </w:tcPr>
          <w:p w14:paraId="3B983301" w14:textId="263FEF26" w:rsidR="0075353B" w:rsidRDefault="0074541E" w:rsidP="007477E3">
            <w:pPr>
              <w:spacing w:after="0" w:line="252" w:lineRule="auto"/>
              <w:jc w:val="left"/>
              <w:rPr>
                <w:rFonts w:cstheme="minorHAnsi"/>
                <w:sz w:val="18"/>
                <w:szCs w:val="18"/>
                <w:lang w:bidi="en-US"/>
              </w:rPr>
            </w:pPr>
            <w:r w:rsidRPr="00DB381D">
              <w:rPr>
                <w:rFonts w:cstheme="minorHAnsi"/>
                <w:sz w:val="18"/>
                <w:szCs w:val="18"/>
                <w:lang w:bidi="en-US"/>
              </w:rPr>
              <w:t xml:space="preserve">Uwaga uwzględniona, </w:t>
            </w:r>
            <w:r>
              <w:rPr>
                <w:rFonts w:cstheme="minorHAnsi"/>
                <w:sz w:val="18"/>
                <w:szCs w:val="18"/>
                <w:lang w:bidi="en-US"/>
              </w:rPr>
              <w:t>wprowadzono zmiany do rozdziałów 9A i 9B</w:t>
            </w:r>
          </w:p>
        </w:tc>
      </w:tr>
      <w:tr w:rsidR="00B838F2" w:rsidRPr="00B838F2" w14:paraId="4427D67F" w14:textId="77777777" w:rsidTr="0075353B">
        <w:tc>
          <w:tcPr>
            <w:tcW w:w="471" w:type="dxa"/>
            <w:vAlign w:val="center"/>
          </w:tcPr>
          <w:p w14:paraId="00A6E44B" w14:textId="61303DA0" w:rsidR="00B838F2" w:rsidRPr="00B838F2" w:rsidRDefault="003D2C23" w:rsidP="00B838F2">
            <w:pPr>
              <w:spacing w:after="0" w:line="252" w:lineRule="auto"/>
              <w:rPr>
                <w:rFonts w:cstheme="minorHAnsi"/>
                <w:sz w:val="18"/>
                <w:szCs w:val="18"/>
                <w:lang w:bidi="en-US"/>
              </w:rPr>
            </w:pPr>
            <w:r>
              <w:rPr>
                <w:rFonts w:cstheme="minorHAnsi"/>
                <w:sz w:val="18"/>
                <w:szCs w:val="18"/>
                <w:lang w:bidi="en-US"/>
              </w:rPr>
              <w:t>9</w:t>
            </w:r>
            <w:r w:rsidR="00B838F2">
              <w:rPr>
                <w:rFonts w:cstheme="minorHAnsi"/>
                <w:sz w:val="18"/>
                <w:szCs w:val="18"/>
                <w:lang w:bidi="en-US"/>
              </w:rPr>
              <w:t>.</w:t>
            </w:r>
          </w:p>
        </w:tc>
        <w:tc>
          <w:tcPr>
            <w:tcW w:w="1664" w:type="dxa"/>
            <w:vAlign w:val="center"/>
          </w:tcPr>
          <w:p w14:paraId="64EB37D5" w14:textId="77777777" w:rsidR="007F241A" w:rsidRDefault="00B838F2" w:rsidP="007F241A">
            <w:pPr>
              <w:spacing w:after="0" w:line="252" w:lineRule="auto"/>
              <w:jc w:val="left"/>
              <w:rPr>
                <w:rFonts w:cstheme="minorHAnsi"/>
                <w:sz w:val="18"/>
                <w:szCs w:val="18"/>
                <w:lang w:bidi="en-US"/>
              </w:rPr>
            </w:pPr>
            <w:r>
              <w:rPr>
                <w:rFonts w:cstheme="minorHAnsi"/>
                <w:sz w:val="18"/>
                <w:szCs w:val="18"/>
                <w:lang w:bidi="en-US"/>
              </w:rPr>
              <w:t>Gmina Opole Lubelskie</w:t>
            </w:r>
          </w:p>
          <w:p w14:paraId="1D90BE81" w14:textId="001947FC" w:rsidR="00B838F2" w:rsidRDefault="00B838F2" w:rsidP="007F241A">
            <w:pPr>
              <w:spacing w:after="0" w:line="252" w:lineRule="auto"/>
              <w:jc w:val="left"/>
              <w:rPr>
                <w:rFonts w:cstheme="minorHAnsi"/>
                <w:sz w:val="18"/>
                <w:szCs w:val="18"/>
                <w:lang w:bidi="en-US"/>
              </w:rPr>
            </w:pPr>
            <w:r>
              <w:rPr>
                <w:rFonts w:cstheme="minorHAnsi"/>
                <w:sz w:val="18"/>
                <w:szCs w:val="18"/>
                <w:lang w:bidi="en-US"/>
              </w:rPr>
              <w:t>(autopoprawka)</w:t>
            </w:r>
          </w:p>
        </w:tc>
        <w:tc>
          <w:tcPr>
            <w:tcW w:w="5373" w:type="dxa"/>
            <w:vAlign w:val="center"/>
          </w:tcPr>
          <w:p w14:paraId="54E9299D" w14:textId="0B504B59" w:rsidR="00B838F2" w:rsidRDefault="003D2C23" w:rsidP="003D2C23">
            <w:pPr>
              <w:spacing w:after="0" w:line="252" w:lineRule="auto"/>
              <w:rPr>
                <w:rFonts w:cstheme="minorHAnsi"/>
                <w:sz w:val="18"/>
                <w:szCs w:val="18"/>
                <w:lang w:bidi="en-US"/>
              </w:rPr>
            </w:pPr>
            <w:r>
              <w:rPr>
                <w:rFonts w:cstheme="minorHAnsi"/>
                <w:sz w:val="18"/>
                <w:szCs w:val="18"/>
                <w:lang w:bidi="en-US"/>
              </w:rPr>
              <w:t xml:space="preserve">Wprowadzenie do treści Strategii informacji dotyczącej </w:t>
            </w:r>
            <w:r w:rsidRPr="003D2C23">
              <w:rPr>
                <w:rFonts w:cstheme="minorHAnsi"/>
                <w:sz w:val="18"/>
                <w:szCs w:val="18"/>
                <w:lang w:bidi="en-US"/>
              </w:rPr>
              <w:t>obszar</w:t>
            </w:r>
            <w:r>
              <w:rPr>
                <w:rFonts w:cstheme="minorHAnsi"/>
                <w:sz w:val="18"/>
                <w:szCs w:val="18"/>
                <w:lang w:bidi="en-US"/>
              </w:rPr>
              <w:t>ów</w:t>
            </w:r>
            <w:r w:rsidRPr="003D2C23">
              <w:rPr>
                <w:rFonts w:cstheme="minorHAnsi"/>
                <w:sz w:val="18"/>
                <w:szCs w:val="18"/>
                <w:lang w:bidi="en-US"/>
              </w:rPr>
              <w:t xml:space="preserve"> strategicznej interwencji kluczow</w:t>
            </w:r>
            <w:r>
              <w:rPr>
                <w:rFonts w:cstheme="minorHAnsi"/>
                <w:sz w:val="18"/>
                <w:szCs w:val="18"/>
                <w:lang w:bidi="en-US"/>
              </w:rPr>
              <w:t>ych</w:t>
            </w:r>
            <w:r w:rsidRPr="003D2C23">
              <w:rPr>
                <w:rFonts w:cstheme="minorHAnsi"/>
                <w:sz w:val="18"/>
                <w:szCs w:val="18"/>
                <w:lang w:bidi="en-US"/>
              </w:rPr>
              <w:t xml:space="preserve"> dla gminy</w:t>
            </w:r>
            <w:r>
              <w:rPr>
                <w:rFonts w:cstheme="minorHAnsi"/>
                <w:sz w:val="18"/>
                <w:szCs w:val="18"/>
                <w:lang w:bidi="en-US"/>
              </w:rPr>
              <w:t xml:space="preserve"> </w:t>
            </w:r>
            <w:r w:rsidRPr="003D2C23">
              <w:rPr>
                <w:rFonts w:cstheme="minorHAnsi"/>
                <w:sz w:val="18"/>
                <w:szCs w:val="18"/>
                <w:lang w:bidi="en-US"/>
              </w:rPr>
              <w:t>wraz z zakresem planowanych</w:t>
            </w:r>
            <w:r>
              <w:rPr>
                <w:rFonts w:cstheme="minorHAnsi"/>
                <w:sz w:val="18"/>
                <w:szCs w:val="18"/>
                <w:lang w:bidi="en-US"/>
              </w:rPr>
              <w:t xml:space="preserve"> </w:t>
            </w:r>
            <w:r w:rsidRPr="003D2C23">
              <w:rPr>
                <w:rFonts w:cstheme="minorHAnsi"/>
                <w:sz w:val="18"/>
                <w:szCs w:val="18"/>
                <w:lang w:bidi="en-US"/>
              </w:rPr>
              <w:t>działań</w:t>
            </w:r>
            <w:r>
              <w:rPr>
                <w:rFonts w:cstheme="minorHAnsi"/>
                <w:sz w:val="18"/>
                <w:szCs w:val="18"/>
                <w:lang w:bidi="en-US"/>
              </w:rPr>
              <w:t>.</w:t>
            </w:r>
          </w:p>
        </w:tc>
        <w:tc>
          <w:tcPr>
            <w:tcW w:w="1552" w:type="dxa"/>
            <w:vAlign w:val="center"/>
          </w:tcPr>
          <w:p w14:paraId="0FEE4DB5" w14:textId="66D0D1CF" w:rsidR="00B838F2" w:rsidRDefault="003D2C23" w:rsidP="007477E3">
            <w:pPr>
              <w:spacing w:after="0" w:line="252" w:lineRule="auto"/>
              <w:jc w:val="left"/>
              <w:rPr>
                <w:rFonts w:cstheme="minorHAnsi"/>
                <w:sz w:val="18"/>
                <w:szCs w:val="18"/>
                <w:lang w:bidi="en-US"/>
              </w:rPr>
            </w:pPr>
            <w:r w:rsidRPr="003D2C23">
              <w:rPr>
                <w:rFonts w:cstheme="minorHAnsi"/>
                <w:sz w:val="18"/>
                <w:szCs w:val="18"/>
                <w:lang w:bidi="en-US"/>
              </w:rPr>
              <w:t>Uwaga uwzględniona, wprowadzono</w:t>
            </w:r>
            <w:r>
              <w:rPr>
                <w:rFonts w:cstheme="minorHAnsi"/>
                <w:sz w:val="18"/>
                <w:szCs w:val="18"/>
                <w:lang w:bidi="en-US"/>
              </w:rPr>
              <w:t xml:space="preserve"> dodatkowy Rozdział 10.3</w:t>
            </w:r>
          </w:p>
        </w:tc>
      </w:tr>
    </w:tbl>
    <w:p w14:paraId="656E856A" w14:textId="77777777" w:rsidR="00B838F2" w:rsidRDefault="00B838F2" w:rsidP="00AE3E57">
      <w:pPr>
        <w:spacing w:after="240"/>
        <w:rPr>
          <w:rFonts w:cstheme="minorHAnsi"/>
          <w:b/>
          <w:bCs/>
          <w:color w:val="0070C0"/>
          <w:lang w:bidi="en-US"/>
        </w:rPr>
      </w:pPr>
    </w:p>
    <w:p w14:paraId="29B4F2C4" w14:textId="77777777" w:rsidR="004E5942" w:rsidRDefault="004E5942" w:rsidP="00AE3E57">
      <w:pPr>
        <w:spacing w:after="240"/>
        <w:rPr>
          <w:rFonts w:cstheme="minorHAnsi"/>
          <w:b/>
          <w:bCs/>
          <w:color w:val="0070C0"/>
          <w:lang w:bidi="en-US"/>
        </w:rPr>
      </w:pPr>
    </w:p>
    <w:p w14:paraId="1D1C4245" w14:textId="77777777" w:rsidR="004E5942" w:rsidRDefault="004E5942" w:rsidP="00AE3E57">
      <w:pPr>
        <w:spacing w:after="240"/>
        <w:rPr>
          <w:rFonts w:cstheme="minorHAnsi"/>
          <w:b/>
          <w:bCs/>
          <w:color w:val="0070C0"/>
          <w:lang w:bidi="en-US"/>
        </w:rPr>
      </w:pPr>
    </w:p>
    <w:p w14:paraId="7530E6B0" w14:textId="77777777" w:rsidR="004E5942" w:rsidRDefault="004E5942" w:rsidP="00AE3E57">
      <w:pPr>
        <w:spacing w:after="240"/>
        <w:rPr>
          <w:rFonts w:cstheme="minorHAnsi"/>
          <w:b/>
          <w:bCs/>
          <w:color w:val="0070C0"/>
          <w:lang w:bidi="en-US"/>
        </w:rPr>
      </w:pPr>
    </w:p>
    <w:p w14:paraId="39264172" w14:textId="77777777" w:rsidR="004E5942" w:rsidRDefault="004E5942" w:rsidP="00AE3E57">
      <w:pPr>
        <w:spacing w:after="240"/>
        <w:rPr>
          <w:rFonts w:cstheme="minorHAnsi"/>
          <w:b/>
          <w:bCs/>
          <w:color w:val="0070C0"/>
          <w:lang w:bidi="en-US"/>
        </w:rPr>
      </w:pPr>
    </w:p>
    <w:p w14:paraId="390F0469" w14:textId="77777777" w:rsidR="004E5942" w:rsidRDefault="004E5942" w:rsidP="00AE3E57">
      <w:pPr>
        <w:spacing w:after="240"/>
        <w:rPr>
          <w:rFonts w:cstheme="minorHAnsi"/>
          <w:b/>
          <w:bCs/>
          <w:color w:val="0070C0"/>
          <w:lang w:bidi="en-US"/>
        </w:rPr>
      </w:pPr>
    </w:p>
    <w:p w14:paraId="0F25A09A" w14:textId="77777777" w:rsidR="004E5942" w:rsidRDefault="004E5942" w:rsidP="00AE3E57">
      <w:pPr>
        <w:spacing w:after="240"/>
        <w:rPr>
          <w:rFonts w:cstheme="minorHAnsi"/>
          <w:b/>
          <w:bCs/>
          <w:color w:val="0070C0"/>
          <w:lang w:bidi="en-US"/>
        </w:rPr>
      </w:pPr>
    </w:p>
    <w:p w14:paraId="738FDABF" w14:textId="77777777" w:rsidR="004E5942" w:rsidRDefault="004E5942" w:rsidP="00AE3E57">
      <w:pPr>
        <w:spacing w:after="240"/>
        <w:rPr>
          <w:rFonts w:cstheme="minorHAnsi"/>
          <w:b/>
          <w:bCs/>
          <w:color w:val="0070C0"/>
          <w:lang w:bidi="en-US"/>
        </w:rPr>
      </w:pPr>
    </w:p>
    <w:p w14:paraId="667363C6" w14:textId="77777777" w:rsidR="004E5942" w:rsidRPr="00AE3E57" w:rsidRDefault="004E5942" w:rsidP="00AE3E57">
      <w:pPr>
        <w:spacing w:after="240"/>
        <w:rPr>
          <w:rFonts w:cstheme="minorHAnsi"/>
          <w:b/>
          <w:bCs/>
          <w:color w:val="0070C0"/>
          <w:lang w:bidi="en-US"/>
        </w:rPr>
      </w:pPr>
    </w:p>
    <w:p w14:paraId="551F75EE" w14:textId="6EE8961A" w:rsidR="003A3439" w:rsidRPr="002922FA" w:rsidRDefault="003A3439" w:rsidP="0040206F">
      <w:pPr>
        <w:pStyle w:val="Nagwek1"/>
        <w:jc w:val="left"/>
        <w:rPr>
          <w:lang w:bidi="en-US"/>
        </w:rPr>
      </w:pPr>
      <w:bookmarkStart w:id="218" w:name="_Toc191908813"/>
      <w:r w:rsidRPr="00B75436">
        <w:rPr>
          <w:lang w:bidi="en-US"/>
        </w:rPr>
        <w:lastRenderedPageBreak/>
        <w:t xml:space="preserve">Załącznik </w:t>
      </w:r>
      <w:r w:rsidR="00D340C1" w:rsidRPr="00B75436">
        <w:rPr>
          <w:lang w:bidi="en-US"/>
        </w:rPr>
        <w:t>3</w:t>
      </w:r>
      <w:r w:rsidR="0040206F">
        <w:rPr>
          <w:lang w:bidi="en-US"/>
        </w:rPr>
        <w:t xml:space="preserve"> - </w:t>
      </w:r>
      <w:r w:rsidR="00B408C1">
        <w:rPr>
          <w:lang w:bidi="en-US"/>
        </w:rPr>
        <w:t>Procedura s</w:t>
      </w:r>
      <w:r w:rsidRPr="003A3439">
        <w:rPr>
          <w:lang w:bidi="en-US"/>
        </w:rPr>
        <w:t>trategiczn</w:t>
      </w:r>
      <w:r w:rsidR="00B408C1">
        <w:rPr>
          <w:lang w:bidi="en-US"/>
        </w:rPr>
        <w:t>ej</w:t>
      </w:r>
      <w:r w:rsidRPr="003A3439">
        <w:rPr>
          <w:lang w:bidi="en-US"/>
        </w:rPr>
        <w:t xml:space="preserve"> ocen</w:t>
      </w:r>
      <w:r w:rsidR="00B408C1">
        <w:rPr>
          <w:lang w:bidi="en-US"/>
        </w:rPr>
        <w:t>y</w:t>
      </w:r>
      <w:r w:rsidRPr="003A3439">
        <w:rPr>
          <w:lang w:bidi="en-US"/>
        </w:rPr>
        <w:t xml:space="preserve"> oddziaływania na środowisko dla projektu </w:t>
      </w:r>
      <w:r w:rsidR="00B408C1">
        <w:rPr>
          <w:lang w:bidi="en-US"/>
        </w:rPr>
        <w:t>S</w:t>
      </w:r>
      <w:r w:rsidRPr="003A3439">
        <w:rPr>
          <w:lang w:bidi="en-US"/>
        </w:rPr>
        <w:t>trategii</w:t>
      </w:r>
      <w:bookmarkEnd w:id="218"/>
    </w:p>
    <w:p w14:paraId="142F09C5" w14:textId="7324A50E" w:rsidR="003F2902" w:rsidRPr="003F2902" w:rsidRDefault="003F2902" w:rsidP="00D03302">
      <w:pPr>
        <w:rPr>
          <w:lang w:bidi="en-US"/>
        </w:rPr>
      </w:pPr>
      <w:r w:rsidRPr="003F2902">
        <w:rPr>
          <w:lang w:bidi="en-US"/>
        </w:rPr>
        <w:t xml:space="preserve">W odpowiedzi na wniosek </w:t>
      </w:r>
      <w:r w:rsidR="00D03302" w:rsidRPr="00610437">
        <w:rPr>
          <w:lang w:bidi="en-US"/>
        </w:rPr>
        <w:t>Burmistrza Opola Lubelskiego</w:t>
      </w:r>
      <w:r w:rsidRPr="003F2902">
        <w:rPr>
          <w:lang w:bidi="en-US"/>
        </w:rPr>
        <w:t xml:space="preserve"> </w:t>
      </w:r>
      <w:r w:rsidR="00D03302" w:rsidRPr="00610437">
        <w:rPr>
          <w:lang w:bidi="en-US"/>
        </w:rPr>
        <w:t xml:space="preserve">z dnia 5 grudnia 2024 r. (znak: PSIP.033.28.3.2024) </w:t>
      </w:r>
      <w:r w:rsidRPr="003F2902">
        <w:rPr>
          <w:lang w:bidi="en-US"/>
        </w:rPr>
        <w:t>Regionalny Dyrektor Ochrony Środowiska w Lublinie pismem z dnia</w:t>
      </w:r>
      <w:r w:rsidR="00D03302" w:rsidRPr="00610437">
        <w:rPr>
          <w:lang w:bidi="en-US"/>
        </w:rPr>
        <w:t xml:space="preserve"> 23 grudnia 2024 r. (znak: WOOŚ.411.126.2024.ERU)</w:t>
      </w:r>
      <w:r w:rsidRPr="003F2902">
        <w:rPr>
          <w:lang w:bidi="en-US"/>
        </w:rPr>
        <w:t>, na podstawie art. 53 ustawy z dnia 3</w:t>
      </w:r>
      <w:r w:rsidR="004E5942">
        <w:rPr>
          <w:lang w:bidi="en-US"/>
        </w:rPr>
        <w:t> </w:t>
      </w:r>
      <w:r w:rsidRPr="003F2902">
        <w:rPr>
          <w:lang w:bidi="en-US"/>
        </w:rPr>
        <w:t>października 2008 r. o udostępnianiu informacji o środowisku i jego ochronie, udziale społeczeństwa w ochronie środowiska oraz o ocenach oddziaływania na środowisko</w:t>
      </w:r>
      <w:r w:rsidR="00D03302" w:rsidRPr="00610437">
        <w:rPr>
          <w:lang w:bidi="en-US"/>
        </w:rPr>
        <w:t xml:space="preserve"> (t.j. Dz. U. z 2024 r. poz. 1112 ze zm.)</w:t>
      </w:r>
      <w:r w:rsidRPr="003F2902">
        <w:rPr>
          <w:lang w:bidi="en-US"/>
        </w:rPr>
        <w:t xml:space="preserve">, uzgodnił zakres i stopnień szczegółowości informacji wymaganych w prognozie oddziaływania na środowisko dla projektu Strategii Rozwoju </w:t>
      </w:r>
      <w:r w:rsidR="00D03302" w:rsidRPr="00610437">
        <w:rPr>
          <w:lang w:bidi="en-US"/>
        </w:rPr>
        <w:t>Gminy Opole Lubelskie na lata 2025 – 2030.</w:t>
      </w:r>
    </w:p>
    <w:p w14:paraId="6B967725" w14:textId="52CA3C83" w:rsidR="003F2902" w:rsidRPr="003F2902" w:rsidRDefault="003F2902" w:rsidP="00D03302">
      <w:pPr>
        <w:rPr>
          <w:lang w:bidi="en-US"/>
        </w:rPr>
      </w:pPr>
      <w:r w:rsidRPr="003F2902">
        <w:rPr>
          <w:lang w:bidi="en-US"/>
        </w:rPr>
        <w:t xml:space="preserve">W odpowiedzi na wniosek </w:t>
      </w:r>
      <w:r w:rsidR="00D03302" w:rsidRPr="00610437">
        <w:rPr>
          <w:lang w:bidi="en-US"/>
        </w:rPr>
        <w:t>Burmistrza Opola Lubelskiego z dnia 5 grudnia 2024 r., (znak: PSIP.033.28.4.2024)</w:t>
      </w:r>
      <w:r w:rsidRPr="003F2902">
        <w:rPr>
          <w:lang w:bidi="en-US"/>
        </w:rPr>
        <w:t xml:space="preserve"> Lubelski Państwowy Wojewódzki Inspektor Sanitarny pismem z dnia</w:t>
      </w:r>
      <w:r w:rsidR="00D03302" w:rsidRPr="00610437">
        <w:rPr>
          <w:lang w:bidi="en-US"/>
        </w:rPr>
        <w:t xml:space="preserve"> 20.12.2024 r. (znak: DNS-NZ.7016.277.2024)</w:t>
      </w:r>
      <w:r w:rsidRPr="003F2902">
        <w:rPr>
          <w:lang w:bidi="en-US"/>
        </w:rPr>
        <w:t xml:space="preserve">, na podstawie </w:t>
      </w:r>
      <w:r w:rsidR="00D03302" w:rsidRPr="00610437">
        <w:rPr>
          <w:lang w:bidi="en-US"/>
        </w:rPr>
        <w:t xml:space="preserve">art. 53 ust. 1 oraz art. 58 ust. 1 pkt 2 </w:t>
      </w:r>
      <w:r w:rsidRPr="003F2902">
        <w:rPr>
          <w:lang w:bidi="en-US"/>
        </w:rPr>
        <w:t>ustawy z dnia 3 października 2008 r. o udostępnianiu informacji o środowisku i jego ochronie, udziale społeczeństwa w ochronie środowiska oraz o ocenach oddziaływania na środowisko</w:t>
      </w:r>
      <w:r w:rsidR="008F21EA" w:rsidRPr="00610437">
        <w:rPr>
          <w:lang w:bidi="en-US"/>
        </w:rPr>
        <w:t xml:space="preserve"> (t.j. Dz. U. z 2024 r. poz. 1112 ze zm.)</w:t>
      </w:r>
      <w:r w:rsidRPr="003F2902">
        <w:rPr>
          <w:lang w:bidi="en-US"/>
        </w:rPr>
        <w:t xml:space="preserve">, uzgodnił zakres i stopnień szczegółowości informacji wymaganych w prognozie oddziaływania na środowisko dla projektu </w:t>
      </w:r>
      <w:bookmarkStart w:id="219" w:name="_Hlk176891748"/>
      <w:r w:rsidRPr="003F2902">
        <w:rPr>
          <w:lang w:bidi="en-US"/>
        </w:rPr>
        <w:t xml:space="preserve">Strategii Rozwoju </w:t>
      </w:r>
      <w:bookmarkEnd w:id="219"/>
      <w:r w:rsidR="008F21EA" w:rsidRPr="00610437">
        <w:rPr>
          <w:lang w:bidi="en-US"/>
        </w:rPr>
        <w:t xml:space="preserve">Gminy Opole Lubelskie na lata 2025 – 2030. </w:t>
      </w:r>
    </w:p>
    <w:p w14:paraId="0665C992" w14:textId="31B71C88" w:rsidR="003F2902" w:rsidRPr="003F2902" w:rsidRDefault="003F2902" w:rsidP="003F2902">
      <w:pPr>
        <w:rPr>
          <w:lang w:bidi="en-US"/>
        </w:rPr>
      </w:pPr>
      <w:r w:rsidRPr="003F2902">
        <w:rPr>
          <w:lang w:bidi="en-US"/>
        </w:rPr>
        <w:t xml:space="preserve">Mając na uwadze ww. stanowiska </w:t>
      </w:r>
      <w:r w:rsidR="008F21EA" w:rsidRPr="00610437">
        <w:rPr>
          <w:lang w:bidi="en-US"/>
        </w:rPr>
        <w:t>Burmistrz</w:t>
      </w:r>
      <w:r w:rsidRPr="003F2902">
        <w:rPr>
          <w:lang w:bidi="en-US"/>
        </w:rPr>
        <w:t xml:space="preserve"> </w:t>
      </w:r>
      <w:r w:rsidR="008F21EA" w:rsidRPr="00610437">
        <w:rPr>
          <w:lang w:bidi="en-US"/>
        </w:rPr>
        <w:t xml:space="preserve">Opola Lubelskiego </w:t>
      </w:r>
      <w:r w:rsidRPr="003F2902">
        <w:rPr>
          <w:lang w:bidi="en-US"/>
        </w:rPr>
        <w:t>zdecydował</w:t>
      </w:r>
      <w:r w:rsidR="004E5942">
        <w:rPr>
          <w:lang w:bidi="en-US"/>
        </w:rPr>
        <w:t xml:space="preserve"> </w:t>
      </w:r>
      <w:r w:rsidRPr="003F2902">
        <w:rPr>
          <w:lang w:bidi="en-US"/>
        </w:rPr>
        <w:t>o</w:t>
      </w:r>
      <w:r w:rsidR="004E5942">
        <w:rPr>
          <w:lang w:bidi="en-US"/>
        </w:rPr>
        <w:t> </w:t>
      </w:r>
      <w:r w:rsidRPr="003F2902">
        <w:rPr>
          <w:lang w:bidi="en-US"/>
        </w:rPr>
        <w:t>przeprowadzeniu strategicznej oceny oddziaływania na środowisko dla projektu Strategii i</w:t>
      </w:r>
      <w:r w:rsidR="004E5942">
        <w:rPr>
          <w:lang w:bidi="en-US"/>
        </w:rPr>
        <w:t xml:space="preserve">  </w:t>
      </w:r>
      <w:r w:rsidRPr="003F2902">
        <w:rPr>
          <w:lang w:bidi="en-US"/>
        </w:rPr>
        <w:t xml:space="preserve">tym samym opracowaniu Prognozy oddziaływania na środowisko dla projektu Strategii Rozwoju </w:t>
      </w:r>
      <w:r w:rsidR="008F21EA" w:rsidRPr="00610437">
        <w:rPr>
          <w:lang w:bidi="en-US"/>
        </w:rPr>
        <w:t xml:space="preserve">Gminy Opole Lubelskie na lata 2025 – 2030. </w:t>
      </w:r>
    </w:p>
    <w:p w14:paraId="09F294B9" w14:textId="026CC147" w:rsidR="003F2902" w:rsidRPr="003F2902" w:rsidRDefault="003F2902" w:rsidP="003F2902">
      <w:pPr>
        <w:rPr>
          <w:lang w:bidi="en-US"/>
        </w:rPr>
      </w:pPr>
      <w:r w:rsidRPr="003F2902">
        <w:rPr>
          <w:lang w:bidi="en-US"/>
        </w:rPr>
        <w:t>Na podstawie art. 39 ust. 1, art. 40 i art. 54 ust. 2 ustawy o udostępnianiu informacji o środowisku i jego ochronie, udziale społeczeństwa w ochronie środowiska oraz o ocenach oddziaływania na środowisko,</w:t>
      </w:r>
      <w:r w:rsidR="008F21EA" w:rsidRPr="00610437">
        <w:rPr>
          <w:lang w:bidi="en-US"/>
        </w:rPr>
        <w:t xml:space="preserve"> Burmistrz Opola Lubelskiego</w:t>
      </w:r>
      <w:r w:rsidRPr="003F2902">
        <w:rPr>
          <w:lang w:bidi="en-US"/>
        </w:rPr>
        <w:t xml:space="preserve"> przeprowadził procedurę udziału społeczeństwa w</w:t>
      </w:r>
      <w:r w:rsidR="004E5942">
        <w:rPr>
          <w:lang w:bidi="en-US"/>
        </w:rPr>
        <w:t> </w:t>
      </w:r>
      <w:r w:rsidRPr="003F2902">
        <w:rPr>
          <w:lang w:bidi="en-US"/>
        </w:rPr>
        <w:t xml:space="preserve">ramach strategicznej oceny oddziaływania na środowisko projektu Strategii. </w:t>
      </w:r>
    </w:p>
    <w:p w14:paraId="52AA364C" w14:textId="65F1BE6A" w:rsidR="00093DA3" w:rsidRPr="00610437" w:rsidRDefault="003F2902" w:rsidP="00093DA3">
      <w:pPr>
        <w:spacing w:after="0"/>
        <w:rPr>
          <w:lang w:bidi="en-US"/>
        </w:rPr>
      </w:pPr>
      <w:r w:rsidRPr="003F2902">
        <w:rPr>
          <w:lang w:bidi="en-US"/>
        </w:rPr>
        <w:t>Konsultacje społeczne Prognozy oddziaływania na środowisko dla projektu Strategii odbyły się w dniach:</w:t>
      </w:r>
      <w:r w:rsidR="00093DA3" w:rsidRPr="00610437">
        <w:rPr>
          <w:lang w:bidi="en-US"/>
        </w:rPr>
        <w:t xml:space="preserve"> 03 stycznia 2025 r. – 24 stycznia 2025 r</w:t>
      </w:r>
      <w:r w:rsidRPr="003F2902">
        <w:rPr>
          <w:lang w:bidi="en-US"/>
        </w:rPr>
        <w:t xml:space="preserve">. Informacja dotycząca konsultacji społecznych opublikowana została na stronie internetowej </w:t>
      </w:r>
      <w:r w:rsidR="00093DA3" w:rsidRPr="00610437">
        <w:rPr>
          <w:lang w:bidi="en-US"/>
        </w:rPr>
        <w:t xml:space="preserve">Gminy Opole Lubelskie: </w:t>
      </w:r>
    </w:p>
    <w:p w14:paraId="62714003" w14:textId="6ACB4175" w:rsidR="00093DA3" w:rsidRPr="003F2902" w:rsidRDefault="00CC2DF8" w:rsidP="00093DA3">
      <w:pPr>
        <w:rPr>
          <w:lang w:bidi="en-US"/>
        </w:rPr>
      </w:pPr>
      <w:hyperlink r:id="rId94" w:history="1">
        <w:r w:rsidR="00093DA3" w:rsidRPr="00610437">
          <w:rPr>
            <w:rStyle w:val="Hipercze"/>
            <w:color w:val="auto"/>
            <w:lang w:bidi="en-US"/>
          </w:rPr>
          <w:t>https://opolelubelskie.pl/aktualnosc/konsultacje-spo%C5%82eczne-prognozy-oddzia%C5%82ywania-na-%C5%9Brodowisko</w:t>
        </w:r>
      </w:hyperlink>
      <w:r w:rsidR="00093DA3" w:rsidRPr="00610437">
        <w:rPr>
          <w:lang w:bidi="en-US"/>
        </w:rPr>
        <w:t xml:space="preserve"> </w:t>
      </w:r>
    </w:p>
    <w:p w14:paraId="4C871083" w14:textId="77777777" w:rsidR="003F2902" w:rsidRPr="003F2902" w:rsidRDefault="003F2902" w:rsidP="003F2902">
      <w:pPr>
        <w:rPr>
          <w:lang w:bidi="en-US"/>
        </w:rPr>
      </w:pPr>
      <w:r w:rsidRPr="003F2902">
        <w:rPr>
          <w:lang w:bidi="en-US"/>
        </w:rPr>
        <w:t xml:space="preserve">W wyniku przeprowadzonych konsultacji społecznych Prognozy oddziaływania na środowisko nie wpłynęły żadne uwagi. </w:t>
      </w:r>
    </w:p>
    <w:p w14:paraId="74914E33" w14:textId="3D837DE5" w:rsidR="003F2902" w:rsidRPr="003F2902" w:rsidRDefault="0010147A" w:rsidP="003F2902">
      <w:pPr>
        <w:rPr>
          <w:lang w:bidi="en-US"/>
        </w:rPr>
      </w:pPr>
      <w:r w:rsidRPr="00610437">
        <w:rPr>
          <w:lang w:bidi="en-US"/>
        </w:rPr>
        <w:t>Burmistrz Opola Lubelskiego</w:t>
      </w:r>
      <w:r w:rsidR="003F2902" w:rsidRPr="003F2902">
        <w:rPr>
          <w:lang w:bidi="en-US"/>
        </w:rPr>
        <w:t>, zgodnie z art. 54 ust. 1 ustawy z dnia 3 października 2008 r. o udostępnianiu informacji o środowisku i jego ochronie, udziale społeczeństwa w ochronie środowiska oraz o ocenach oddziaływania na środowisko,</w:t>
      </w:r>
      <w:r w:rsidR="008B53B9">
        <w:rPr>
          <w:lang w:bidi="en-US"/>
        </w:rPr>
        <w:t xml:space="preserve"> </w:t>
      </w:r>
      <w:r w:rsidR="00877924" w:rsidRPr="00610437">
        <w:rPr>
          <w:lang w:bidi="en-US"/>
        </w:rPr>
        <w:t xml:space="preserve">odrębnymi </w:t>
      </w:r>
      <w:r w:rsidR="003F2902" w:rsidRPr="003F2902">
        <w:rPr>
          <w:lang w:bidi="en-US"/>
        </w:rPr>
        <w:t>pis</w:t>
      </w:r>
      <w:r w:rsidR="00877924" w:rsidRPr="00610437">
        <w:rPr>
          <w:lang w:bidi="en-US"/>
        </w:rPr>
        <w:t>mami</w:t>
      </w:r>
      <w:r w:rsidR="003F2902" w:rsidRPr="003F2902">
        <w:rPr>
          <w:lang w:bidi="en-US"/>
        </w:rPr>
        <w:t xml:space="preserve"> z dnia </w:t>
      </w:r>
      <w:r w:rsidR="00877924" w:rsidRPr="00610437">
        <w:rPr>
          <w:lang w:bidi="en-US"/>
        </w:rPr>
        <w:t xml:space="preserve">03 stycznia 2025 r. </w:t>
      </w:r>
      <w:r w:rsidR="003F2902" w:rsidRPr="003F2902">
        <w:rPr>
          <w:lang w:bidi="en-US"/>
        </w:rPr>
        <w:t xml:space="preserve">zwrócił się z prośbą do Regionalnego Dyrektora Ochrony Środowiska w Lublinie oraz </w:t>
      </w:r>
      <w:r w:rsidR="00750285">
        <w:rPr>
          <w:lang w:bidi="en-US"/>
        </w:rPr>
        <w:t xml:space="preserve">do </w:t>
      </w:r>
      <w:r w:rsidR="003F2902" w:rsidRPr="003F2902">
        <w:rPr>
          <w:lang w:bidi="en-US"/>
        </w:rPr>
        <w:t xml:space="preserve">Lubelskiego Państwowego Wojewódzkiego Inspektora Sanitarnego o wydanie opinii dla projektu Strategii Rozwoju </w:t>
      </w:r>
      <w:r w:rsidR="00B260AA" w:rsidRPr="00610437">
        <w:rPr>
          <w:lang w:bidi="en-US"/>
        </w:rPr>
        <w:t xml:space="preserve">Gminy Opole Lubelskie na lata 2025 – 2030 </w:t>
      </w:r>
      <w:r w:rsidR="003F2902" w:rsidRPr="003F2902">
        <w:rPr>
          <w:lang w:bidi="en-US"/>
        </w:rPr>
        <w:t xml:space="preserve">wraz z prognozą oddziaływania na środowisko. </w:t>
      </w:r>
    </w:p>
    <w:p w14:paraId="0571E7DA" w14:textId="2F72E361" w:rsidR="003F2902" w:rsidRPr="003F2902" w:rsidRDefault="003F2902" w:rsidP="003F2902">
      <w:pPr>
        <w:rPr>
          <w:lang w:bidi="en-US"/>
        </w:rPr>
      </w:pPr>
      <w:r w:rsidRPr="003F2902">
        <w:rPr>
          <w:lang w:bidi="en-US"/>
        </w:rPr>
        <w:lastRenderedPageBreak/>
        <w:t xml:space="preserve">Pismem z dnia </w:t>
      </w:r>
      <w:r w:rsidR="001C79A2" w:rsidRPr="00610437">
        <w:rPr>
          <w:lang w:bidi="en-US"/>
        </w:rPr>
        <w:t xml:space="preserve">28 stycznia 2025 r. </w:t>
      </w:r>
      <w:r w:rsidRPr="003F2902">
        <w:rPr>
          <w:lang w:bidi="en-US"/>
        </w:rPr>
        <w:t>(znak:</w:t>
      </w:r>
      <w:r w:rsidR="001C79A2" w:rsidRPr="00610437">
        <w:rPr>
          <w:lang w:bidi="en-US"/>
        </w:rPr>
        <w:t xml:space="preserve"> </w:t>
      </w:r>
      <w:r w:rsidR="00CD40EC" w:rsidRPr="00610437">
        <w:rPr>
          <w:lang w:bidi="en-US"/>
        </w:rPr>
        <w:t>DNS-NZ.7016.3.2025</w:t>
      </w:r>
      <w:r w:rsidRPr="003F2902">
        <w:rPr>
          <w:lang w:bidi="en-US"/>
        </w:rPr>
        <w:t xml:space="preserve">) Lubelski Państwowy Wojewódzki Inspektor Sanitarny pozytywnie zaopiniował projekt Strategii Rozwoju </w:t>
      </w:r>
      <w:r w:rsidR="00B260AA" w:rsidRPr="00610437">
        <w:rPr>
          <w:lang w:bidi="en-US"/>
        </w:rPr>
        <w:t xml:space="preserve">Gminy Opole Lubelskie na lata 2025 – 2030 </w:t>
      </w:r>
      <w:r w:rsidRPr="003F2902">
        <w:rPr>
          <w:lang w:bidi="en-US"/>
        </w:rPr>
        <w:t>wraz z prognozą oddziaływania na środowisko.</w:t>
      </w:r>
      <w:r w:rsidR="00CD40EC" w:rsidRPr="00610437">
        <w:rPr>
          <w:lang w:bidi="en-US"/>
        </w:rPr>
        <w:t xml:space="preserve"> </w:t>
      </w:r>
    </w:p>
    <w:p w14:paraId="7DD84A44" w14:textId="548F5683" w:rsidR="003F2902" w:rsidRPr="003F2902" w:rsidRDefault="003F2902" w:rsidP="003F2902">
      <w:pPr>
        <w:rPr>
          <w:lang w:bidi="en-US"/>
        </w:rPr>
        <w:sectPr w:rsidR="003F2902" w:rsidRPr="003F2902" w:rsidSect="003F2902">
          <w:headerReference w:type="default" r:id="rId95"/>
          <w:headerReference w:type="first" r:id="rId96"/>
          <w:pgSz w:w="11906" w:h="16838"/>
          <w:pgMar w:top="1418" w:right="1418" w:bottom="1418" w:left="1418" w:header="709" w:footer="709" w:gutter="0"/>
          <w:cols w:space="708"/>
          <w:titlePg/>
        </w:sectPr>
      </w:pPr>
      <w:r w:rsidRPr="003F2902">
        <w:rPr>
          <w:lang w:bidi="en-US"/>
        </w:rPr>
        <w:t xml:space="preserve">Pismem z dnia </w:t>
      </w:r>
      <w:r w:rsidR="00B73019" w:rsidRPr="00B73019">
        <w:rPr>
          <w:lang w:bidi="en-US"/>
        </w:rPr>
        <w:t xml:space="preserve">31 stycznia 2025 r. </w:t>
      </w:r>
      <w:r w:rsidRPr="003F2902">
        <w:rPr>
          <w:lang w:bidi="en-US"/>
        </w:rPr>
        <w:t xml:space="preserve">(znak: </w:t>
      </w:r>
      <w:r w:rsidR="00B73019" w:rsidRPr="00B73019">
        <w:rPr>
          <w:lang w:bidi="en-US"/>
        </w:rPr>
        <w:t>WOOŚ.410.7.2025.ES</w:t>
      </w:r>
      <w:r w:rsidR="00B73019">
        <w:rPr>
          <w:lang w:bidi="en-US"/>
        </w:rPr>
        <w:t xml:space="preserve">) </w:t>
      </w:r>
      <w:r w:rsidRPr="003F2902">
        <w:rPr>
          <w:lang w:bidi="en-US"/>
        </w:rPr>
        <w:t>Regionalny Dyrektor Ochrony Środowiska w Lublinie</w:t>
      </w:r>
      <w:r w:rsidR="00750285">
        <w:rPr>
          <w:lang w:bidi="en-US"/>
        </w:rPr>
        <w:t xml:space="preserve"> przedstawił opinię do </w:t>
      </w:r>
      <w:r w:rsidR="00750285" w:rsidRPr="00750285">
        <w:rPr>
          <w:lang w:bidi="en-US"/>
        </w:rPr>
        <w:t>projekt</w:t>
      </w:r>
      <w:r w:rsidR="00750285">
        <w:rPr>
          <w:lang w:bidi="en-US"/>
        </w:rPr>
        <w:t>u</w:t>
      </w:r>
      <w:r w:rsidR="00750285" w:rsidRPr="00750285">
        <w:rPr>
          <w:lang w:bidi="en-US"/>
        </w:rPr>
        <w:t xml:space="preserve"> Strategii Rozwoju Gminy Opole Lubelskie na lata 2025 – 2030 </w:t>
      </w:r>
      <w:r w:rsidR="00750285">
        <w:rPr>
          <w:lang w:bidi="en-US"/>
        </w:rPr>
        <w:t>oraz</w:t>
      </w:r>
      <w:r w:rsidR="00750285" w:rsidRPr="00750285">
        <w:rPr>
          <w:lang w:bidi="en-US"/>
        </w:rPr>
        <w:t xml:space="preserve"> prognoz</w:t>
      </w:r>
      <w:r w:rsidR="00750285">
        <w:rPr>
          <w:lang w:bidi="en-US"/>
        </w:rPr>
        <w:t>y</w:t>
      </w:r>
      <w:r w:rsidR="00750285" w:rsidRPr="00750285">
        <w:rPr>
          <w:lang w:bidi="en-US"/>
        </w:rPr>
        <w:t xml:space="preserve"> oddziaływania na środowisko</w:t>
      </w:r>
      <w:r w:rsidR="00750285">
        <w:rPr>
          <w:lang w:bidi="en-US"/>
        </w:rPr>
        <w:t xml:space="preserve"> nie wnosząc uwag do ww. dokumentów</w:t>
      </w:r>
      <w:r w:rsidR="00611ED5">
        <w:rPr>
          <w:lang w:bidi="en-US"/>
        </w:rPr>
        <w:t>.</w:t>
      </w:r>
    </w:p>
    <w:p w14:paraId="2F8011CF" w14:textId="77777777" w:rsidR="003A3439" w:rsidRDefault="003A3439" w:rsidP="002922FA">
      <w:pPr>
        <w:rPr>
          <w:lang w:bidi="en-US"/>
        </w:rPr>
      </w:pPr>
    </w:p>
    <w:p w14:paraId="219C795C" w14:textId="3BFDB15F" w:rsidR="00AD5DC6" w:rsidRPr="002922FA" w:rsidRDefault="00AD5DC6" w:rsidP="0040206F">
      <w:pPr>
        <w:pStyle w:val="Nagwek1"/>
        <w:jc w:val="left"/>
        <w:rPr>
          <w:lang w:bidi="en-US"/>
        </w:rPr>
      </w:pPr>
      <w:bookmarkStart w:id="220" w:name="_Toc191908814"/>
      <w:r w:rsidRPr="00B75436">
        <w:rPr>
          <w:lang w:bidi="en-US"/>
        </w:rPr>
        <w:t xml:space="preserve">Załącznik </w:t>
      </w:r>
      <w:r w:rsidR="00D340C1" w:rsidRPr="00B75436">
        <w:rPr>
          <w:lang w:bidi="en-US"/>
        </w:rPr>
        <w:t>4</w:t>
      </w:r>
      <w:r w:rsidR="0040206F">
        <w:rPr>
          <w:lang w:bidi="en-US"/>
        </w:rPr>
        <w:t xml:space="preserve"> - </w:t>
      </w:r>
      <w:r>
        <w:rPr>
          <w:lang w:bidi="en-US"/>
        </w:rPr>
        <w:t xml:space="preserve">Ewaluacja </w:t>
      </w:r>
      <w:r w:rsidRPr="00C3476C">
        <w:rPr>
          <w:lang w:bidi="en-US"/>
        </w:rPr>
        <w:t>trafności, przewidywanej skuteczności i</w:t>
      </w:r>
      <w:r>
        <w:rPr>
          <w:lang w:bidi="en-US"/>
        </w:rPr>
        <w:t> </w:t>
      </w:r>
      <w:r w:rsidRPr="00C3476C">
        <w:rPr>
          <w:lang w:bidi="en-US"/>
        </w:rPr>
        <w:t xml:space="preserve">efektywności realizacji </w:t>
      </w:r>
      <w:r>
        <w:rPr>
          <w:lang w:bidi="en-US"/>
        </w:rPr>
        <w:t>S</w:t>
      </w:r>
      <w:r w:rsidRPr="00C3476C">
        <w:rPr>
          <w:lang w:bidi="en-US"/>
        </w:rPr>
        <w:t xml:space="preserve">trategii </w:t>
      </w:r>
      <w:r>
        <w:rPr>
          <w:lang w:bidi="en-US"/>
        </w:rPr>
        <w:t>R</w:t>
      </w:r>
      <w:r w:rsidRPr="00C3476C">
        <w:rPr>
          <w:lang w:bidi="en-US"/>
        </w:rPr>
        <w:t>ozwoju</w:t>
      </w:r>
      <w:r>
        <w:rPr>
          <w:lang w:bidi="en-US"/>
        </w:rPr>
        <w:t xml:space="preserve"> G</w:t>
      </w:r>
      <w:r w:rsidRPr="00C3476C">
        <w:rPr>
          <w:lang w:bidi="en-US"/>
        </w:rPr>
        <w:t xml:space="preserve">miny </w:t>
      </w:r>
      <w:r>
        <w:rPr>
          <w:lang w:bidi="en-US"/>
        </w:rPr>
        <w:t>O</w:t>
      </w:r>
      <w:r w:rsidRPr="00C3476C">
        <w:rPr>
          <w:lang w:bidi="en-US"/>
        </w:rPr>
        <w:t xml:space="preserve">pole </w:t>
      </w:r>
      <w:r>
        <w:rPr>
          <w:lang w:bidi="en-US"/>
        </w:rPr>
        <w:t>L</w:t>
      </w:r>
      <w:r w:rsidRPr="00C3476C">
        <w:rPr>
          <w:lang w:bidi="en-US"/>
        </w:rPr>
        <w:t>ubelskie na lata 202</w:t>
      </w:r>
      <w:r w:rsidR="00933D60">
        <w:rPr>
          <w:lang w:bidi="en-US"/>
        </w:rPr>
        <w:t>5</w:t>
      </w:r>
      <w:r w:rsidRPr="00C3476C">
        <w:rPr>
          <w:lang w:bidi="en-US"/>
        </w:rPr>
        <w:t xml:space="preserve"> - 2030</w:t>
      </w:r>
      <w:bookmarkEnd w:id="220"/>
    </w:p>
    <w:p w14:paraId="31EE7B4C" w14:textId="1299837B" w:rsidR="0014227F" w:rsidRPr="0014227F" w:rsidRDefault="0014227F" w:rsidP="004B73CF">
      <w:pPr>
        <w:rPr>
          <w:lang w:bidi="en-US"/>
        </w:rPr>
      </w:pPr>
      <w:r w:rsidRPr="0014227F">
        <w:rPr>
          <w:lang w:bidi="en-US"/>
        </w:rPr>
        <w:t xml:space="preserve">Analiza trafności, przewidywanej skuteczności i efektywności realizacji </w:t>
      </w:r>
      <w:r w:rsidR="000733EC">
        <w:rPr>
          <w:lang w:bidi="en-US"/>
        </w:rPr>
        <w:t>s</w:t>
      </w:r>
      <w:r w:rsidRPr="0014227F">
        <w:rPr>
          <w:lang w:bidi="en-US"/>
        </w:rPr>
        <w:t>trategii (ewaluacja ex-ante) przeprowadzona została w odniesieniu do projektu Strategi</w:t>
      </w:r>
      <w:r w:rsidR="000733EC">
        <w:rPr>
          <w:lang w:bidi="en-US"/>
        </w:rPr>
        <w:t>i</w:t>
      </w:r>
      <w:r w:rsidRPr="0014227F">
        <w:rPr>
          <w:lang w:bidi="en-US"/>
        </w:rPr>
        <w:t xml:space="preserve"> Rozwoju Gminy Opole Lubelskie na lata 2025 </w:t>
      </w:r>
      <w:r>
        <w:rPr>
          <w:lang w:bidi="en-US"/>
        </w:rPr>
        <w:t>–</w:t>
      </w:r>
      <w:r w:rsidRPr="0014227F">
        <w:rPr>
          <w:lang w:bidi="en-US"/>
        </w:rPr>
        <w:t xml:space="preserve"> 2030</w:t>
      </w:r>
      <w:r>
        <w:rPr>
          <w:lang w:bidi="en-US"/>
        </w:rPr>
        <w:t xml:space="preserve"> </w:t>
      </w:r>
      <w:r w:rsidRPr="0014227F">
        <w:rPr>
          <w:lang w:bidi="en-US"/>
        </w:rPr>
        <w:t>zgodnie z art. 10a ust. 2 ustawy o zasadach prowadzenia polityki rozwoju</w:t>
      </w:r>
      <w:r w:rsidR="004B73CF">
        <w:rPr>
          <w:lang w:bidi="en-US"/>
        </w:rPr>
        <w:t xml:space="preserve"> (Dz. U. z 2024 r. poz. 324 t.j.).</w:t>
      </w:r>
      <w:r w:rsidR="00750285">
        <w:rPr>
          <w:lang w:bidi="en-US"/>
        </w:rPr>
        <w:t xml:space="preserve"> </w:t>
      </w:r>
    </w:p>
    <w:p w14:paraId="24FCEF99" w14:textId="55D9463D" w:rsidR="0014227F" w:rsidRPr="0014227F" w:rsidRDefault="0014227F" w:rsidP="0014227F">
      <w:pPr>
        <w:rPr>
          <w:lang w:bidi="en-US"/>
        </w:rPr>
      </w:pPr>
      <w:r w:rsidRPr="0014227F">
        <w:rPr>
          <w:lang w:bidi="en-US"/>
        </w:rPr>
        <w:t xml:space="preserve">Celem analizy było dokonanie oceny dokumentu </w:t>
      </w:r>
      <w:r w:rsidR="00437896">
        <w:rPr>
          <w:lang w:bidi="en-US"/>
        </w:rPr>
        <w:t>Strategii</w:t>
      </w:r>
      <w:r w:rsidRPr="0014227F">
        <w:rPr>
          <w:lang w:bidi="en-US"/>
        </w:rPr>
        <w:t xml:space="preserve"> pod kątem jego kompletności, trafności, spójności wewnętrznej, spójności zewnętrznej, przyjęcia właściwego systemu wdrażania, systemu monitorowania i ewaluacji oraz adekwatnego określenia ram finansowych i potencjalnych źródeł finansowania. </w:t>
      </w:r>
    </w:p>
    <w:p w14:paraId="16808405" w14:textId="6F839E4F" w:rsidR="0014227F" w:rsidRPr="0014227F" w:rsidRDefault="0014227F" w:rsidP="0014227F">
      <w:pPr>
        <w:rPr>
          <w:lang w:bidi="en-US"/>
        </w:rPr>
      </w:pPr>
      <w:r w:rsidRPr="0014227F">
        <w:rPr>
          <w:lang w:bidi="en-US"/>
        </w:rPr>
        <w:t xml:space="preserve">Mając na uwadze kompletność dokonano weryfikacji, czy Strategia została opracowana zgodnie z obowiązującymi przepisami prawa, tj. </w:t>
      </w:r>
      <w:r w:rsidR="007769AA" w:rsidRPr="0014227F">
        <w:rPr>
          <w:lang w:bidi="en-US"/>
        </w:rPr>
        <w:t xml:space="preserve">ustawą o samorządzie gminnym </w:t>
      </w:r>
      <w:r w:rsidR="007769AA">
        <w:rPr>
          <w:lang w:bidi="en-US"/>
        </w:rPr>
        <w:t xml:space="preserve">i </w:t>
      </w:r>
      <w:r w:rsidRPr="0014227F">
        <w:rPr>
          <w:lang w:bidi="en-US"/>
        </w:rPr>
        <w:t>ustawą o</w:t>
      </w:r>
      <w:r w:rsidR="001D2731">
        <w:rPr>
          <w:lang w:bidi="en-US"/>
        </w:rPr>
        <w:t> </w:t>
      </w:r>
      <w:r w:rsidRPr="0014227F">
        <w:rPr>
          <w:lang w:bidi="en-US"/>
        </w:rPr>
        <w:t>zasadach prowadzenia polityki rozwoju</w:t>
      </w:r>
      <w:r w:rsidR="007769AA">
        <w:rPr>
          <w:lang w:bidi="en-US"/>
        </w:rPr>
        <w:t xml:space="preserve"> oraz czy </w:t>
      </w:r>
      <w:r w:rsidRPr="0014227F">
        <w:rPr>
          <w:lang w:bidi="en-US"/>
        </w:rPr>
        <w:t>zawiera wszystkie wymagane przepisami prawa elementy, a także czy powinna zostać uzupełniona o inne, fakultatywne elementy, które wzbogacą jej treść.</w:t>
      </w:r>
    </w:p>
    <w:p w14:paraId="5B557993" w14:textId="1E0D1F44" w:rsidR="0014227F" w:rsidRPr="0014227F" w:rsidRDefault="0014227F" w:rsidP="0014227F">
      <w:pPr>
        <w:rPr>
          <w:lang w:bidi="en-US"/>
        </w:rPr>
      </w:pPr>
      <w:r w:rsidRPr="0014227F">
        <w:rPr>
          <w:lang w:bidi="en-US"/>
        </w:rPr>
        <w:t>Analizując aspekt trafności skoncentrowano się na ocenie poprawności zakresu przeprowadzonej diagnozy sytuacji społecznej, gospodarczej i przestrzennej oraz ocenie czy na podstawie sformułowanych wniosków zostały trafnie zidentyfikowane mocne i słabe strony, a także potencjały i bariery rozwojowe gmin</w:t>
      </w:r>
      <w:r w:rsidR="000733EC">
        <w:rPr>
          <w:lang w:bidi="en-US"/>
        </w:rPr>
        <w:t xml:space="preserve">y Opole Lubelskie </w:t>
      </w:r>
      <w:r w:rsidRPr="0014227F">
        <w:rPr>
          <w:lang w:bidi="en-US"/>
        </w:rPr>
        <w:t xml:space="preserve">w poszczególnych obszarach tematycznych. Zweryfikowano również poprawność powiązania kierunków wsparcia </w:t>
      </w:r>
      <w:r w:rsidR="00D524CA">
        <w:rPr>
          <w:lang w:bidi="en-US"/>
        </w:rPr>
        <w:t xml:space="preserve">określonych w Strategii </w:t>
      </w:r>
      <w:r w:rsidRPr="0014227F">
        <w:rPr>
          <w:lang w:bidi="en-US"/>
        </w:rPr>
        <w:t>z</w:t>
      </w:r>
      <w:r w:rsidR="004E5942">
        <w:rPr>
          <w:lang w:bidi="en-US"/>
        </w:rPr>
        <w:t> </w:t>
      </w:r>
      <w:r w:rsidR="00D524CA">
        <w:rPr>
          <w:lang w:bidi="en-US"/>
        </w:rPr>
        <w:t>celami i kierunkami</w:t>
      </w:r>
      <w:r w:rsidRPr="0014227F">
        <w:rPr>
          <w:lang w:bidi="en-US"/>
        </w:rPr>
        <w:t xml:space="preserve"> polityki rozwoju na szczeblu regionalnym i krajowym</w:t>
      </w:r>
      <w:r w:rsidR="000733EC">
        <w:rPr>
          <w:lang w:bidi="en-US"/>
        </w:rPr>
        <w:t xml:space="preserve">, w tym w </w:t>
      </w:r>
      <w:r w:rsidRPr="0014227F">
        <w:rPr>
          <w:lang w:bidi="en-US"/>
        </w:rPr>
        <w:t xml:space="preserve">zakresie </w:t>
      </w:r>
      <w:r w:rsidR="000733EC">
        <w:rPr>
          <w:lang w:bidi="en-US"/>
        </w:rPr>
        <w:t>terytorialnego wymiaru polityki rozwoju</w:t>
      </w:r>
      <w:r w:rsidRPr="0014227F">
        <w:rPr>
          <w:lang w:bidi="en-US"/>
        </w:rPr>
        <w:t xml:space="preserve">. </w:t>
      </w:r>
    </w:p>
    <w:p w14:paraId="7925DA5C" w14:textId="631535BF" w:rsidR="0014227F" w:rsidRPr="0014227F" w:rsidRDefault="0014227F" w:rsidP="0014227F">
      <w:pPr>
        <w:rPr>
          <w:lang w:bidi="en-US"/>
        </w:rPr>
      </w:pPr>
      <w:r w:rsidRPr="0014227F">
        <w:rPr>
          <w:lang w:bidi="en-US"/>
        </w:rPr>
        <w:t>W zakresie spójności wewnętrznej skoncentrowano się na analizie spójności celów strategicznych z kierunkami działań oraz projektami realizującymi te cele. Zwrócono także uwagę na poprawność i spójność terminologiczną oraz jednoznaczność i czytelność zawartych w Strategii</w:t>
      </w:r>
      <w:r w:rsidR="00822C36">
        <w:rPr>
          <w:lang w:bidi="en-US"/>
        </w:rPr>
        <w:t xml:space="preserve"> </w:t>
      </w:r>
      <w:r w:rsidRPr="0014227F">
        <w:rPr>
          <w:lang w:bidi="en-US"/>
        </w:rPr>
        <w:t>zapisów. W przypadku spójności zewnętrznej zweryfikowano czy Strategia właściwie odnosi się i uwzględnia wszelkiego rodzaju zewnętrzne dokumenty strategiczne na poziomie regionalnym, krajowym i europejskim.</w:t>
      </w:r>
    </w:p>
    <w:p w14:paraId="3C36F315" w14:textId="7FB9C271" w:rsidR="0014227F" w:rsidRDefault="0014227F" w:rsidP="00003FAC">
      <w:pPr>
        <w:spacing w:after="240"/>
        <w:rPr>
          <w:lang w:bidi="en-US"/>
        </w:rPr>
      </w:pPr>
      <w:r w:rsidRPr="0014227F">
        <w:rPr>
          <w:lang w:bidi="en-US"/>
        </w:rPr>
        <w:t xml:space="preserve">W dalszej części analizy oceniono czy koncepcja systemu wdrażania jest wystarczająca do zapewnienia skutecznej i efektywnej realizacji wizji, celów strategicznych i kierunków działań. Elementem systemu realizacji Strategii jest także odpowiedni system monitorowania i ewaluacji, który powinien umożliwiać obserwowanie postępu we wdrażaniu dokumentu strategicznego. Zweryfikowano również określone </w:t>
      </w:r>
      <w:r w:rsidR="009D7C9F">
        <w:rPr>
          <w:lang w:bidi="en-US"/>
        </w:rPr>
        <w:t xml:space="preserve">w Strategii </w:t>
      </w:r>
      <w:r w:rsidRPr="0014227F">
        <w:rPr>
          <w:lang w:bidi="en-US"/>
        </w:rPr>
        <w:t>ramy finansowe i źródła finansowania pod kątem kompletności i trafności.</w:t>
      </w:r>
    </w:p>
    <w:p w14:paraId="357B1ABD" w14:textId="77777777" w:rsidR="004E5942" w:rsidRDefault="004E5942" w:rsidP="00003FAC">
      <w:pPr>
        <w:spacing w:after="240"/>
        <w:rPr>
          <w:lang w:bidi="en-US"/>
        </w:rPr>
      </w:pPr>
    </w:p>
    <w:p w14:paraId="5A907084" w14:textId="77777777" w:rsidR="004E5942" w:rsidRPr="0014227F" w:rsidRDefault="004E5942" w:rsidP="00003FAC">
      <w:pPr>
        <w:spacing w:after="240"/>
        <w:rPr>
          <w:lang w:bidi="en-US"/>
        </w:rPr>
      </w:pPr>
    </w:p>
    <w:p w14:paraId="2318499E" w14:textId="77777777" w:rsidR="0014227F" w:rsidRPr="0014227F" w:rsidRDefault="0014227F" w:rsidP="0014227F">
      <w:pPr>
        <w:rPr>
          <w:b/>
          <w:bCs/>
          <w:color w:val="C45911" w:themeColor="accent2" w:themeShade="BF"/>
          <w:lang w:bidi="en-US"/>
        </w:rPr>
      </w:pPr>
      <w:r w:rsidRPr="0014227F">
        <w:rPr>
          <w:b/>
          <w:bCs/>
          <w:color w:val="C45911" w:themeColor="accent2" w:themeShade="BF"/>
          <w:lang w:bidi="en-US"/>
        </w:rPr>
        <w:lastRenderedPageBreak/>
        <w:t>Ocena kompletności</w:t>
      </w:r>
    </w:p>
    <w:p w14:paraId="75CCF5D5" w14:textId="1F5C43E2" w:rsidR="0014227F" w:rsidRPr="0014227F" w:rsidRDefault="0014227F" w:rsidP="0014227F">
      <w:pPr>
        <w:rPr>
          <w:lang w:bidi="en-US"/>
        </w:rPr>
      </w:pPr>
      <w:r w:rsidRPr="0014227F">
        <w:rPr>
          <w:lang w:bidi="en-US"/>
        </w:rPr>
        <w:t xml:space="preserve">Strategia cechuje się zwięzłą formą, gdzie w części zasadniczej dokumentu umieszczono najważniejsze elementy jakie powinna posiadać strategia rozwoju </w:t>
      </w:r>
      <w:r w:rsidR="00B8354B">
        <w:rPr>
          <w:lang w:bidi="en-US"/>
        </w:rPr>
        <w:t>gminy</w:t>
      </w:r>
      <w:r w:rsidRPr="0014227F">
        <w:rPr>
          <w:lang w:bidi="en-US"/>
        </w:rPr>
        <w:t>. Opisano przesłanki i</w:t>
      </w:r>
      <w:r w:rsidR="004E5942">
        <w:rPr>
          <w:lang w:bidi="en-US"/>
        </w:rPr>
        <w:t> </w:t>
      </w:r>
      <w:r w:rsidRPr="0014227F">
        <w:rPr>
          <w:lang w:bidi="en-US"/>
        </w:rPr>
        <w:t>metodykę opracowywania Strategii. Zdecydowano o przygotowaniu dokumentu w modelu ekspercko-partycypacyjnym, stosując działania partycypacyjne i konsultacyjne.</w:t>
      </w:r>
    </w:p>
    <w:p w14:paraId="52FFD880" w14:textId="74AC07AF" w:rsidR="0014227F" w:rsidRPr="0014227F" w:rsidRDefault="0014227F" w:rsidP="0014227F">
      <w:pPr>
        <w:rPr>
          <w:lang w:bidi="en-US"/>
        </w:rPr>
      </w:pPr>
      <w:r w:rsidRPr="0014227F">
        <w:rPr>
          <w:lang w:bidi="en-US"/>
        </w:rPr>
        <w:t>Zgodnie z przyjętym modelem zdecydowano się na umieszczenie w Strategii diagnozy sytuacji społecznej, gospodarczej i przestrzennej</w:t>
      </w:r>
      <w:r w:rsidR="00FD7271">
        <w:rPr>
          <w:lang w:bidi="en-US"/>
        </w:rPr>
        <w:t xml:space="preserve"> oraz wniosków z diagnozy. Jednocześnie </w:t>
      </w:r>
      <w:r w:rsidRPr="0014227F">
        <w:rPr>
          <w:lang w:bidi="en-US"/>
        </w:rPr>
        <w:t xml:space="preserve">diagnoza </w:t>
      </w:r>
      <w:r w:rsidR="00FD7271">
        <w:rPr>
          <w:lang w:bidi="en-US"/>
        </w:rPr>
        <w:t>może być prezentowana w ramach</w:t>
      </w:r>
      <w:r w:rsidRPr="0014227F">
        <w:rPr>
          <w:lang w:bidi="en-US"/>
        </w:rPr>
        <w:t xml:space="preserve"> odrębnego dokumentu służącego szeroko rozumianym działaniom planistycznym obszaru </w:t>
      </w:r>
      <w:r w:rsidR="00B8354B">
        <w:rPr>
          <w:lang w:bidi="en-US"/>
        </w:rPr>
        <w:t>gminy Opole Lubelskie</w:t>
      </w:r>
      <w:r w:rsidRPr="0014227F">
        <w:rPr>
          <w:lang w:bidi="en-US"/>
        </w:rPr>
        <w:t xml:space="preserve">. Posłużono się analizą SWOT, będącą jedną z najpopularniejszych i skutecznych metod analizy strategicznej. </w:t>
      </w:r>
    </w:p>
    <w:p w14:paraId="3C218489" w14:textId="31A0D325" w:rsidR="0014227F" w:rsidRDefault="0014227F" w:rsidP="0014227F">
      <w:pPr>
        <w:rPr>
          <w:lang w:bidi="en-US"/>
        </w:rPr>
      </w:pPr>
      <w:r w:rsidRPr="0014227F">
        <w:rPr>
          <w:lang w:bidi="en-US"/>
        </w:rPr>
        <w:t>Dokument prawidłowo odzwierciedla logikę interwencji w planowaniu strategicznym i zawiera wymagane części: opis misji i wizji, cele strategiczne i kierunki działań, model wdrażania, system monitorowania i oceny realizacji Strategii</w:t>
      </w:r>
      <w:r w:rsidR="00B8354B">
        <w:rPr>
          <w:lang w:bidi="en-US"/>
        </w:rPr>
        <w:t xml:space="preserve"> oraz </w:t>
      </w:r>
      <w:r w:rsidRPr="0014227F">
        <w:rPr>
          <w:lang w:bidi="en-US"/>
        </w:rPr>
        <w:t xml:space="preserve">ramy finansowe wraz ze źródłami finansowania. Z uwagi na priorytetowe potraktowanie terytorialnego wymiaru wsparcia w polityce krajowej </w:t>
      </w:r>
      <w:r w:rsidR="004E5942">
        <w:rPr>
          <w:lang w:bidi="en-US"/>
        </w:rPr>
        <w:t>i </w:t>
      </w:r>
      <w:r w:rsidRPr="0014227F">
        <w:rPr>
          <w:lang w:bidi="en-US"/>
        </w:rPr>
        <w:t xml:space="preserve">europejskiej szczegółowo opisano aspekty związane ze zintegrowanym podejściem do stwierdzonych potrzeb i potencjałów rozwojowych </w:t>
      </w:r>
      <w:r w:rsidR="00B8354B">
        <w:rPr>
          <w:lang w:bidi="en-US"/>
        </w:rPr>
        <w:t>gminy Opole Lubelskie</w:t>
      </w:r>
      <w:r w:rsidRPr="0014227F">
        <w:rPr>
          <w:lang w:bidi="en-US"/>
        </w:rPr>
        <w:t xml:space="preserve"> oraz powiązania kierunków wsparcia z obszarami strategicznej interwencji na poziomie krajowym i regionalnym.</w:t>
      </w:r>
    </w:p>
    <w:p w14:paraId="52466CCB" w14:textId="152C9BC8" w:rsidR="00BA3263" w:rsidRPr="0014227F" w:rsidRDefault="00BA3263" w:rsidP="0014227F">
      <w:pPr>
        <w:rPr>
          <w:lang w:bidi="en-US"/>
        </w:rPr>
      </w:pPr>
      <w:r>
        <w:rPr>
          <w:lang w:bidi="en-US"/>
        </w:rPr>
        <w:t>W celu zachowania spójności i logiki interwencji strategicznych w gminie zdecydowano o</w:t>
      </w:r>
      <w:r w:rsidR="004E5942">
        <w:rPr>
          <w:lang w:bidi="en-US"/>
        </w:rPr>
        <w:t> </w:t>
      </w:r>
      <w:r>
        <w:rPr>
          <w:lang w:bidi="en-US"/>
        </w:rPr>
        <w:t>wyznaczeniu Obszaru Strategicznej Interwencji kluczow</w:t>
      </w:r>
      <w:r w:rsidR="00F5208F">
        <w:rPr>
          <w:lang w:bidi="en-US"/>
        </w:rPr>
        <w:t>ego</w:t>
      </w:r>
      <w:r>
        <w:rPr>
          <w:lang w:bidi="en-US"/>
        </w:rPr>
        <w:t xml:space="preserve"> dla rozwoju gminy – tożsamego z</w:t>
      </w:r>
      <w:r w:rsidR="004E5942">
        <w:rPr>
          <w:lang w:bidi="en-US"/>
        </w:rPr>
        <w:t> </w:t>
      </w:r>
      <w:r>
        <w:rPr>
          <w:lang w:bidi="en-US"/>
        </w:rPr>
        <w:t>obszarem zdegradowanym i obszarem rewitalizacji określonym w Gminnym Programie Rewitalizacji Gminy Opole Lubelskie. P</w:t>
      </w:r>
      <w:r w:rsidRPr="00BA3263">
        <w:rPr>
          <w:lang w:bidi="en-US"/>
        </w:rPr>
        <w:t xml:space="preserve">oprzez uwzględnienie założeń GPR w toku prac nad Strategią </w:t>
      </w:r>
      <w:r>
        <w:rPr>
          <w:lang w:bidi="en-US"/>
        </w:rPr>
        <w:t>zapewniono</w:t>
      </w:r>
      <w:r w:rsidRPr="00BA3263">
        <w:rPr>
          <w:lang w:bidi="en-US"/>
        </w:rPr>
        <w:t xml:space="preserve"> harmonizacj</w:t>
      </w:r>
      <w:r>
        <w:rPr>
          <w:lang w:bidi="en-US"/>
        </w:rPr>
        <w:t>ę</w:t>
      </w:r>
      <w:r w:rsidRPr="00BA3263">
        <w:rPr>
          <w:lang w:bidi="en-US"/>
        </w:rPr>
        <w:t xml:space="preserve"> gminnych dokumentów strategicznych oraz zapewn</w:t>
      </w:r>
      <w:r>
        <w:rPr>
          <w:lang w:bidi="en-US"/>
        </w:rPr>
        <w:t>iono</w:t>
      </w:r>
      <w:r w:rsidRPr="00BA3263">
        <w:rPr>
          <w:lang w:bidi="en-US"/>
        </w:rPr>
        <w:t xml:space="preserve"> zgodności pomiędzy dokumentami planistycznymi i rozwojowymi, w tym związanymi z</w:t>
      </w:r>
      <w:r w:rsidR="004E5942">
        <w:rPr>
          <w:lang w:bidi="en-US"/>
        </w:rPr>
        <w:t> </w:t>
      </w:r>
      <w:r w:rsidRPr="00BA3263">
        <w:rPr>
          <w:lang w:bidi="en-US"/>
        </w:rPr>
        <w:t>planowaniem i zagospodarowaniem przestrzennym, co zapewnia spójność lokalnej</w:t>
      </w:r>
      <w:r w:rsidR="00A82005" w:rsidRPr="00A82005">
        <w:rPr>
          <w:lang w:bidi="en-US"/>
        </w:rPr>
        <w:t xml:space="preserve"> </w:t>
      </w:r>
      <w:r w:rsidR="00A82005" w:rsidRPr="00BA3263">
        <w:rPr>
          <w:lang w:bidi="en-US"/>
        </w:rPr>
        <w:t>polityki</w:t>
      </w:r>
      <w:r w:rsidR="00A82005">
        <w:rPr>
          <w:lang w:bidi="en-US"/>
        </w:rPr>
        <w:t xml:space="preserve"> rowoju</w:t>
      </w:r>
      <w:r w:rsidRPr="00BA3263">
        <w:rPr>
          <w:lang w:bidi="en-US"/>
        </w:rPr>
        <w:t>.</w:t>
      </w:r>
    </w:p>
    <w:p w14:paraId="6CE65408" w14:textId="5BF7314C" w:rsidR="0014227F" w:rsidRPr="0014227F" w:rsidRDefault="0014227F" w:rsidP="0014227F">
      <w:pPr>
        <w:rPr>
          <w:lang w:bidi="en-US"/>
        </w:rPr>
      </w:pPr>
      <w:r w:rsidRPr="0014227F">
        <w:rPr>
          <w:lang w:bidi="en-US"/>
        </w:rPr>
        <w:t xml:space="preserve">Zgodnie z obecnym podejściem dotyczącym włączenia elementów planowania przestrzennego w proces planowania strategicznego, Strategia zawiera szczegółową analizę oraz model struktury funkcjonalno – przestrzennej </w:t>
      </w:r>
      <w:r w:rsidR="00BA3263">
        <w:rPr>
          <w:lang w:bidi="en-US"/>
        </w:rPr>
        <w:t>gminy Opole Lubelskie</w:t>
      </w:r>
      <w:r w:rsidRPr="0014227F">
        <w:rPr>
          <w:lang w:bidi="en-US"/>
        </w:rPr>
        <w:t xml:space="preserve"> wraz z ustaleniami i rekomendacjami w zakresie kształtowania i prowadzenia polityki przestrzennej.</w:t>
      </w:r>
    </w:p>
    <w:p w14:paraId="5B32B60F" w14:textId="77777777" w:rsidR="0014227F" w:rsidRPr="0014227F" w:rsidRDefault="0014227F" w:rsidP="00CD2014">
      <w:pPr>
        <w:spacing w:after="240"/>
        <w:rPr>
          <w:lang w:bidi="en-US"/>
        </w:rPr>
      </w:pPr>
      <w:r w:rsidRPr="0014227F">
        <w:rPr>
          <w:lang w:bidi="en-US"/>
        </w:rPr>
        <w:t>Podsumowując ocenę kompletności, należy stwierdzić, że cała architektura dokumentu tworzy skondensowany, wewnętrznie spójny układ przemyślanych rozdziałów, które zapewniają transparentność analizowanemu dokumentowi strategicznemu. Przy tym Strategia została opracowana zgodnie z obowiązującymi aktami prawnymi i zawiera wszystkie wymagane przepisami prawa elementy.</w:t>
      </w:r>
    </w:p>
    <w:p w14:paraId="437F40BB" w14:textId="77777777" w:rsidR="0014227F" w:rsidRPr="0014227F" w:rsidRDefault="0014227F" w:rsidP="0014227F">
      <w:pPr>
        <w:rPr>
          <w:b/>
          <w:bCs/>
          <w:color w:val="C45911" w:themeColor="accent2" w:themeShade="BF"/>
          <w:lang w:bidi="en-US"/>
        </w:rPr>
      </w:pPr>
      <w:r w:rsidRPr="0014227F">
        <w:rPr>
          <w:b/>
          <w:bCs/>
          <w:color w:val="C45911" w:themeColor="accent2" w:themeShade="BF"/>
          <w:lang w:bidi="en-US"/>
        </w:rPr>
        <w:t>Ocena trafności</w:t>
      </w:r>
    </w:p>
    <w:p w14:paraId="047DF261" w14:textId="3F7263D5" w:rsidR="00C779C3" w:rsidRDefault="00FC5167" w:rsidP="00C779C3">
      <w:pPr>
        <w:rPr>
          <w:lang w:bidi="en-US"/>
        </w:rPr>
      </w:pPr>
      <w:r>
        <w:rPr>
          <w:lang w:bidi="en-US"/>
        </w:rPr>
        <w:t xml:space="preserve">Zgodnie z przyjęta metodyką </w:t>
      </w:r>
      <w:r w:rsidR="0014227F" w:rsidRPr="0014227F">
        <w:rPr>
          <w:lang w:bidi="en-US"/>
        </w:rPr>
        <w:t xml:space="preserve">Diagnoza sytuacji społecznej, gospodarczej i przestrzennej obszaru </w:t>
      </w:r>
      <w:r w:rsidR="00C779C3">
        <w:rPr>
          <w:lang w:bidi="en-US"/>
        </w:rPr>
        <w:t>gminy Opole Lubelskie</w:t>
      </w:r>
      <w:r w:rsidR="0014227F" w:rsidRPr="0014227F">
        <w:rPr>
          <w:lang w:bidi="en-US"/>
        </w:rPr>
        <w:t xml:space="preserve"> została włączona do zasadniczej części dokumentu, co </w:t>
      </w:r>
      <w:r>
        <w:rPr>
          <w:lang w:bidi="en-US"/>
        </w:rPr>
        <w:t>podnosi</w:t>
      </w:r>
      <w:r w:rsidR="0014227F" w:rsidRPr="0014227F">
        <w:rPr>
          <w:lang w:bidi="en-US"/>
        </w:rPr>
        <w:t xml:space="preserve"> wartości merytoryczn</w:t>
      </w:r>
      <w:r>
        <w:rPr>
          <w:lang w:bidi="en-US"/>
        </w:rPr>
        <w:t>ą</w:t>
      </w:r>
      <w:r w:rsidR="0014227F" w:rsidRPr="0014227F">
        <w:rPr>
          <w:lang w:bidi="en-US"/>
        </w:rPr>
        <w:t xml:space="preserve"> Strategii. Diagnoza</w:t>
      </w:r>
      <w:r w:rsidR="00C779C3">
        <w:rPr>
          <w:lang w:bidi="en-US"/>
        </w:rPr>
        <w:t>,</w:t>
      </w:r>
      <w:r w:rsidR="0014227F" w:rsidRPr="0014227F">
        <w:rPr>
          <w:lang w:bidi="en-US"/>
        </w:rPr>
        <w:t xml:space="preserve"> </w:t>
      </w:r>
      <w:r w:rsidR="00C779C3" w:rsidRPr="0014227F">
        <w:rPr>
          <w:lang w:bidi="en-US"/>
        </w:rPr>
        <w:t>zawiera</w:t>
      </w:r>
      <w:r w:rsidR="00C779C3">
        <w:rPr>
          <w:lang w:bidi="en-US"/>
        </w:rPr>
        <w:t>jąca</w:t>
      </w:r>
      <w:r w:rsidR="00C779C3" w:rsidRPr="0014227F">
        <w:rPr>
          <w:lang w:bidi="en-US"/>
        </w:rPr>
        <w:t xml:space="preserve"> analizę kluczowych potencjałów i</w:t>
      </w:r>
      <w:r w:rsidR="004E5942">
        <w:rPr>
          <w:lang w:bidi="en-US"/>
        </w:rPr>
        <w:t xml:space="preserve">  </w:t>
      </w:r>
      <w:r w:rsidR="00C779C3" w:rsidRPr="0014227F">
        <w:rPr>
          <w:lang w:bidi="en-US"/>
        </w:rPr>
        <w:t xml:space="preserve">problemów </w:t>
      </w:r>
      <w:r>
        <w:rPr>
          <w:lang w:bidi="en-US"/>
        </w:rPr>
        <w:t>Opola Lubelskiego</w:t>
      </w:r>
      <w:r w:rsidR="00C779C3">
        <w:rPr>
          <w:lang w:bidi="en-US"/>
        </w:rPr>
        <w:t>, analizuje</w:t>
      </w:r>
      <w:r w:rsidR="0014227F" w:rsidRPr="0014227F">
        <w:rPr>
          <w:lang w:bidi="en-US"/>
        </w:rPr>
        <w:t xml:space="preserve"> </w:t>
      </w:r>
      <w:r w:rsidR="00C779C3">
        <w:rPr>
          <w:lang w:bidi="en-US"/>
        </w:rPr>
        <w:t>siedem kluczowych obszarów funkcjonowania gminy</w:t>
      </w:r>
      <w:r>
        <w:rPr>
          <w:lang w:bidi="en-US"/>
        </w:rPr>
        <w:t xml:space="preserve"> tj.</w:t>
      </w:r>
      <w:r w:rsidR="00C779C3">
        <w:rPr>
          <w:lang w:bidi="en-US"/>
        </w:rPr>
        <w:t>: 1)</w:t>
      </w:r>
      <w:r w:rsidR="004E5942">
        <w:rPr>
          <w:lang w:bidi="en-US"/>
        </w:rPr>
        <w:t> </w:t>
      </w:r>
      <w:r w:rsidR="00C779C3">
        <w:rPr>
          <w:lang w:bidi="en-US"/>
        </w:rPr>
        <w:t xml:space="preserve">położenie, przestrzeń i środowisko, 2) demografia i potencjał </w:t>
      </w:r>
      <w:r w:rsidR="00C779C3">
        <w:rPr>
          <w:lang w:bidi="en-US"/>
        </w:rPr>
        <w:lastRenderedPageBreak/>
        <w:t>społeczny, 3) rynek pracy, 4)</w:t>
      </w:r>
      <w:r w:rsidR="004E5942">
        <w:rPr>
          <w:lang w:bidi="en-US"/>
        </w:rPr>
        <w:t xml:space="preserve">  </w:t>
      </w:r>
      <w:r w:rsidR="00C779C3">
        <w:rPr>
          <w:lang w:bidi="en-US"/>
        </w:rPr>
        <w:t>potencjał gospodarczy, 5) infrastruktura techniczna, 6) infrastruktura społeczna i</w:t>
      </w:r>
      <w:r w:rsidR="004E5942">
        <w:rPr>
          <w:lang w:bidi="en-US"/>
        </w:rPr>
        <w:t> </w:t>
      </w:r>
      <w:r w:rsidR="00C779C3">
        <w:rPr>
          <w:lang w:bidi="en-US"/>
        </w:rPr>
        <w:t xml:space="preserve"> zaspokajanie potrzeb mieszkańców oraz 7) jakość zarządzania i</w:t>
      </w:r>
      <w:r>
        <w:rPr>
          <w:lang w:bidi="en-US"/>
        </w:rPr>
        <w:t> </w:t>
      </w:r>
      <w:r w:rsidR="00C779C3">
        <w:rPr>
          <w:lang w:bidi="en-US"/>
        </w:rPr>
        <w:t>sytuacja finansowa.</w:t>
      </w:r>
    </w:p>
    <w:p w14:paraId="03E31343" w14:textId="0E68DDEF" w:rsidR="0014227F" w:rsidRPr="0014227F" w:rsidRDefault="0014227F" w:rsidP="0014227F">
      <w:pPr>
        <w:rPr>
          <w:lang w:bidi="en-US"/>
        </w:rPr>
      </w:pPr>
      <w:r w:rsidRPr="0014227F">
        <w:rPr>
          <w:lang w:bidi="en-US"/>
        </w:rPr>
        <w:t xml:space="preserve">Zawartość i szczegółowość diagnozy należy ocenić </w:t>
      </w:r>
      <w:r w:rsidR="00C779C3">
        <w:rPr>
          <w:lang w:bidi="en-US"/>
        </w:rPr>
        <w:t xml:space="preserve">bardzo </w:t>
      </w:r>
      <w:r w:rsidRPr="0014227F">
        <w:rPr>
          <w:lang w:bidi="en-US"/>
        </w:rPr>
        <w:t>pozytywnie, gdyż daje odpowiednie merytoryczne podstawy dla sformułowania zawartych w dokumencie Strategii wniosków z diagnozy. Podział tematyczny diagnozy jest logiczny i</w:t>
      </w:r>
      <w:r w:rsidR="004E5942">
        <w:rPr>
          <w:lang w:bidi="en-US"/>
        </w:rPr>
        <w:t> </w:t>
      </w:r>
      <w:r w:rsidRPr="0014227F">
        <w:rPr>
          <w:lang w:bidi="en-US"/>
        </w:rPr>
        <w:t>czytelny, a tym samym ułatwia percepcję zawartych w niej treści. Analiza SWOT potraktowana została szeroko i</w:t>
      </w:r>
      <w:r w:rsidR="00A54FBD">
        <w:rPr>
          <w:lang w:bidi="en-US"/>
        </w:rPr>
        <w:t> </w:t>
      </w:r>
      <w:r w:rsidRPr="0014227F">
        <w:rPr>
          <w:lang w:bidi="en-US"/>
        </w:rPr>
        <w:t xml:space="preserve"> kompleksowo, obejmując wszystkie istotne kwestie społeczne, gospodarcze, środowiskowe</w:t>
      </w:r>
      <w:r w:rsidR="00C779C3">
        <w:rPr>
          <w:lang w:bidi="en-US"/>
        </w:rPr>
        <w:t>, klimatyczne</w:t>
      </w:r>
      <w:r w:rsidRPr="0014227F">
        <w:rPr>
          <w:lang w:bidi="en-US"/>
        </w:rPr>
        <w:t xml:space="preserve"> i przestrzenne. </w:t>
      </w:r>
    </w:p>
    <w:p w14:paraId="3966B633" w14:textId="2A4A8F1F" w:rsidR="0014227F" w:rsidRPr="0014227F" w:rsidRDefault="0014227F" w:rsidP="002641F5">
      <w:pPr>
        <w:spacing w:after="240"/>
        <w:rPr>
          <w:lang w:bidi="en-US"/>
        </w:rPr>
      </w:pPr>
      <w:r w:rsidRPr="0014227F">
        <w:rPr>
          <w:lang w:bidi="en-US"/>
        </w:rPr>
        <w:t xml:space="preserve">Wypracowana wizja oraz cele strategiczne i kierunki działań są przejrzyste i odzwierciedlają problemy, potrzeby oraz możliwości i potencjały rozwojowe </w:t>
      </w:r>
      <w:r w:rsidR="002641F5">
        <w:rPr>
          <w:lang w:bidi="en-US"/>
        </w:rPr>
        <w:t>gminy Opole Lubelskie</w:t>
      </w:r>
      <w:r w:rsidRPr="0014227F">
        <w:rPr>
          <w:lang w:bidi="en-US"/>
        </w:rPr>
        <w:t>. Sformułowano trzy cele strategiczne oraz powiąz</w:t>
      </w:r>
      <w:r w:rsidR="002641F5">
        <w:rPr>
          <w:lang w:bidi="en-US"/>
        </w:rPr>
        <w:t>ane</w:t>
      </w:r>
      <w:r w:rsidRPr="0014227F">
        <w:rPr>
          <w:lang w:bidi="en-US"/>
        </w:rPr>
        <w:t xml:space="preserve"> z nimi 1</w:t>
      </w:r>
      <w:r w:rsidR="002641F5" w:rsidRPr="002641F5">
        <w:rPr>
          <w:lang w:bidi="en-US"/>
        </w:rPr>
        <w:t>6</w:t>
      </w:r>
      <w:r w:rsidRPr="0014227F">
        <w:rPr>
          <w:lang w:bidi="en-US"/>
        </w:rPr>
        <w:t xml:space="preserve"> celów operacyjnych (kierunków działań), które w pełni korespondują ze sformułowaną diagnozą, analizą SWOT oraz wizją. Cele i kierunki działań mają charakter ambitny i realistyczny, nie są zdefiniowane nadmiernie szczegółowo, co mogłoby stwarzać ryzyko pominięcia istotnych dla realizacji Strategii przedsięwzięć. Liczba celów, zarówno strategicznych, jak i operacyjnych (kierunków działań) wskazuje na skupienie się na najbardziej istotnych problemach i potencjałach rozwojowych </w:t>
      </w:r>
      <w:r w:rsidR="002641F5">
        <w:rPr>
          <w:lang w:bidi="en-US"/>
        </w:rPr>
        <w:t>obszaru</w:t>
      </w:r>
      <w:r w:rsidRPr="0014227F">
        <w:rPr>
          <w:lang w:bidi="en-US"/>
        </w:rPr>
        <w:t xml:space="preserve">. Nie zidentyfikowano takich celów operacyjnych i przedsięwzięć, które nie sprzyjałyby osiągnięciu przyjętej wizji rozwoju </w:t>
      </w:r>
      <w:r w:rsidR="002641F5">
        <w:rPr>
          <w:lang w:bidi="en-US"/>
        </w:rPr>
        <w:t>gminy Opole Lubelskie</w:t>
      </w:r>
      <w:r w:rsidRPr="0014227F">
        <w:rPr>
          <w:lang w:bidi="en-US"/>
        </w:rPr>
        <w:t xml:space="preserve">. </w:t>
      </w:r>
    </w:p>
    <w:p w14:paraId="2BD9389B" w14:textId="77777777" w:rsidR="0014227F" w:rsidRPr="0014227F" w:rsidRDefault="0014227F" w:rsidP="0014227F">
      <w:pPr>
        <w:rPr>
          <w:b/>
          <w:bCs/>
          <w:color w:val="C45911" w:themeColor="accent2" w:themeShade="BF"/>
          <w:lang w:bidi="en-US"/>
        </w:rPr>
      </w:pPr>
      <w:r w:rsidRPr="0014227F">
        <w:rPr>
          <w:b/>
          <w:bCs/>
          <w:color w:val="C45911" w:themeColor="accent2" w:themeShade="BF"/>
          <w:lang w:bidi="en-US"/>
        </w:rPr>
        <w:t>Ocena spójności wewnętrznej</w:t>
      </w:r>
    </w:p>
    <w:p w14:paraId="475D6AB9" w14:textId="694DAB83" w:rsidR="0014227F" w:rsidRPr="0014227F" w:rsidRDefault="0014227F" w:rsidP="0014227F">
      <w:pPr>
        <w:rPr>
          <w:lang w:bidi="en-US"/>
        </w:rPr>
      </w:pPr>
      <w:r w:rsidRPr="0014227F">
        <w:rPr>
          <w:lang w:bidi="en-US"/>
        </w:rPr>
        <w:t xml:space="preserve">Strategię cechuje wysoka spójność wewnętrzna. Zachowano logikę powiązań z częścią diagnostyczną dokumentu, która tworzy podstawy do formułowania celów na poziomie strategicznym i operacyjnym (kierunków działań). Analiza adekwatności celów wskazuje, że we właściwy sposób odpowiadają one na zdiagnozowane problemy i potencjały rozwojowe </w:t>
      </w:r>
      <w:r w:rsidR="002641F5">
        <w:rPr>
          <w:lang w:bidi="en-US"/>
        </w:rPr>
        <w:t>gminy</w:t>
      </w:r>
      <w:r w:rsidRPr="0014227F">
        <w:rPr>
          <w:lang w:bidi="en-US"/>
        </w:rPr>
        <w:t>. Relacje między celami posiadają odpowiednią hierarchię.</w:t>
      </w:r>
    </w:p>
    <w:p w14:paraId="0F9F08D2" w14:textId="77777777" w:rsidR="006E3B55" w:rsidRDefault="0014227F" w:rsidP="006E3B55">
      <w:pPr>
        <w:spacing w:after="0"/>
        <w:rPr>
          <w:lang w:bidi="en-US"/>
        </w:rPr>
      </w:pPr>
      <w:r w:rsidRPr="0014227F">
        <w:rPr>
          <w:lang w:bidi="en-US"/>
        </w:rPr>
        <w:t xml:space="preserve">Analiza treści kierunków działań pozwala stwierdzić, że dają one realną szansę na realizację celów strategicznych, co z kolei pozwala patrzeć z dużym prawdopodobieństwem na to, że w 2030 roku </w:t>
      </w:r>
      <w:r w:rsidR="002641F5">
        <w:rPr>
          <w:lang w:bidi="en-US"/>
        </w:rPr>
        <w:t>gmina Opole Lubelskie</w:t>
      </w:r>
      <w:r w:rsidRPr="0014227F">
        <w:rPr>
          <w:lang w:bidi="en-US"/>
        </w:rPr>
        <w:t xml:space="preserve"> będzie obszarem </w:t>
      </w:r>
      <w:r w:rsidR="006E3B55" w:rsidRPr="006E3B55">
        <w:rPr>
          <w:lang w:bidi="en-US"/>
        </w:rPr>
        <w:t>bezpieczny</w:t>
      </w:r>
      <w:r w:rsidR="006E3B55">
        <w:rPr>
          <w:lang w:bidi="en-US"/>
        </w:rPr>
        <w:t>m</w:t>
      </w:r>
      <w:r w:rsidR="006E3B55" w:rsidRPr="006E3B55">
        <w:rPr>
          <w:lang w:bidi="en-US"/>
        </w:rPr>
        <w:t xml:space="preserve"> i atrakcyjny</w:t>
      </w:r>
      <w:r w:rsidR="006E3B55">
        <w:rPr>
          <w:lang w:bidi="en-US"/>
        </w:rPr>
        <w:t>m</w:t>
      </w:r>
      <w:r w:rsidR="006E3B55" w:rsidRPr="006E3B55">
        <w:rPr>
          <w:lang w:bidi="en-US"/>
        </w:rPr>
        <w:t xml:space="preserve"> jako miejsce zamieszkania, pracy i wypoczynku, wykorzystujący</w:t>
      </w:r>
      <w:r w:rsidR="006E3B55">
        <w:rPr>
          <w:lang w:bidi="en-US"/>
        </w:rPr>
        <w:t>m</w:t>
      </w:r>
      <w:r w:rsidR="006E3B55" w:rsidRPr="006E3B55">
        <w:rPr>
          <w:lang w:bidi="en-US"/>
        </w:rPr>
        <w:t xml:space="preserve"> swój potencjał turystyczny i kulturowy. Gmina </w:t>
      </w:r>
      <w:r w:rsidR="006E3B55">
        <w:rPr>
          <w:lang w:bidi="en-US"/>
        </w:rPr>
        <w:t xml:space="preserve">będzie </w:t>
      </w:r>
      <w:r w:rsidR="006E3B55" w:rsidRPr="006E3B55">
        <w:rPr>
          <w:lang w:bidi="en-US"/>
        </w:rPr>
        <w:t>rozwija</w:t>
      </w:r>
      <w:r w:rsidR="006E3B55">
        <w:rPr>
          <w:lang w:bidi="en-US"/>
        </w:rPr>
        <w:t>ła</w:t>
      </w:r>
      <w:r w:rsidR="006E3B55" w:rsidRPr="006E3B55">
        <w:rPr>
          <w:lang w:bidi="en-US"/>
        </w:rPr>
        <w:t xml:space="preserve"> swoją konkurencyjność, wzmacniając przy tym pozycję gospodarczą w regionie. Prowadzona </w:t>
      </w:r>
      <w:r w:rsidR="006E3B55">
        <w:rPr>
          <w:lang w:bidi="en-US"/>
        </w:rPr>
        <w:t>będzie</w:t>
      </w:r>
      <w:r w:rsidR="006E3B55" w:rsidRPr="006E3B55">
        <w:rPr>
          <w:lang w:bidi="en-US"/>
        </w:rPr>
        <w:t xml:space="preserve"> odpowiedzialna polityka społeczna dzięki której stopniowo niwelowane </w:t>
      </w:r>
      <w:r w:rsidR="006E3B55">
        <w:rPr>
          <w:lang w:bidi="en-US"/>
        </w:rPr>
        <w:t>będą</w:t>
      </w:r>
      <w:r w:rsidR="006E3B55" w:rsidRPr="006E3B55">
        <w:rPr>
          <w:lang w:bidi="en-US"/>
        </w:rPr>
        <w:t xml:space="preserve"> negatywne zjawiska społeczne i demograficzne.</w:t>
      </w:r>
      <w:r w:rsidR="006E3B55">
        <w:rPr>
          <w:lang w:bidi="en-US"/>
        </w:rPr>
        <w:t xml:space="preserve"> </w:t>
      </w:r>
    </w:p>
    <w:p w14:paraId="65D421EF" w14:textId="606B4E13" w:rsidR="0014227F" w:rsidRPr="0014227F" w:rsidRDefault="0014227F" w:rsidP="0014227F">
      <w:pPr>
        <w:rPr>
          <w:lang w:bidi="en-US"/>
        </w:rPr>
      </w:pPr>
      <w:r w:rsidRPr="0014227F">
        <w:rPr>
          <w:lang w:bidi="en-US"/>
        </w:rPr>
        <w:t xml:space="preserve">Wobec powyższego Strategia zawiera klarowny przekaz, który nie jest rozmyty poprzez zbyt dużą ilość celów strategicznych oraz operacyjnych oraz nadmierną liczbę celów i priorytetów niższego rzędu.  </w:t>
      </w:r>
    </w:p>
    <w:p w14:paraId="1626A8CA" w14:textId="478E5B07" w:rsidR="0014227F" w:rsidRPr="0014227F" w:rsidRDefault="0014227F" w:rsidP="000C75C9">
      <w:pPr>
        <w:spacing w:after="0"/>
        <w:rPr>
          <w:lang w:bidi="en-US"/>
        </w:rPr>
      </w:pPr>
      <w:r w:rsidRPr="0014227F">
        <w:rPr>
          <w:lang w:bidi="en-US"/>
        </w:rPr>
        <w:t xml:space="preserve">Lista projektów zawiera kompletny zestaw inwestycji realizujących cele strategiczne i operacyjne. Propozycje przedsięwzięć przewidzianych do realizacji w ramach Strategii zostały dostosowane do uwarunkowań i możliwości finansowania ze środków </w:t>
      </w:r>
      <w:r w:rsidR="00A71E81">
        <w:rPr>
          <w:lang w:bidi="en-US"/>
        </w:rPr>
        <w:t>własnych oraz krajowych i europejskich środków zewnętrznych</w:t>
      </w:r>
      <w:r w:rsidRPr="0014227F">
        <w:rPr>
          <w:lang w:bidi="en-US"/>
        </w:rPr>
        <w:t>. Zgodnie z logiką interwencji projekty zgrupowane są w taki sposób, aby wpisywały się w odpowiadające im kierunki działań i</w:t>
      </w:r>
      <w:r w:rsidR="004E5942">
        <w:rPr>
          <w:lang w:bidi="en-US"/>
        </w:rPr>
        <w:t> </w:t>
      </w:r>
      <w:r w:rsidRPr="0014227F">
        <w:rPr>
          <w:lang w:bidi="en-US"/>
        </w:rPr>
        <w:t xml:space="preserve">realizowały poszczególne cele strategiczne. Lista projektów nie stanowi swoistej „listy </w:t>
      </w:r>
      <w:r w:rsidRPr="0014227F">
        <w:rPr>
          <w:lang w:bidi="en-US"/>
        </w:rPr>
        <w:lastRenderedPageBreak/>
        <w:t>życzeniowej”, jest realistyczna i dostosowana do możliwości organizacyjnych, finansowych oraz prawnych samorząd</w:t>
      </w:r>
      <w:r w:rsidR="00A71E81">
        <w:rPr>
          <w:lang w:bidi="en-US"/>
        </w:rPr>
        <w:t>u</w:t>
      </w:r>
      <w:r w:rsidRPr="0014227F">
        <w:rPr>
          <w:lang w:bidi="en-US"/>
        </w:rPr>
        <w:t xml:space="preserve"> </w:t>
      </w:r>
      <w:r w:rsidR="00A71E81">
        <w:rPr>
          <w:lang w:bidi="en-US"/>
        </w:rPr>
        <w:t>Opola Lubelskiego</w:t>
      </w:r>
      <w:r w:rsidRPr="0014227F">
        <w:rPr>
          <w:lang w:bidi="en-US"/>
        </w:rPr>
        <w:t>.</w:t>
      </w:r>
    </w:p>
    <w:p w14:paraId="6426147D" w14:textId="17B27C64" w:rsidR="0014227F" w:rsidRPr="0014227F" w:rsidRDefault="0014227F" w:rsidP="000C75C9">
      <w:pPr>
        <w:spacing w:after="240"/>
        <w:rPr>
          <w:lang w:bidi="en-US"/>
        </w:rPr>
      </w:pPr>
      <w:r w:rsidRPr="0014227F">
        <w:rPr>
          <w:lang w:bidi="en-US"/>
        </w:rPr>
        <w:t xml:space="preserve">Lista obejmuje zestaw przedsięwzięć, które z jednej strony rozwiązują najważniejsze problemy i bariery opisane w diagnozie, z drugiej zaś wspierają potencjały i zwiększają możliwości rozwojowe </w:t>
      </w:r>
      <w:r w:rsidR="000C75C9">
        <w:rPr>
          <w:lang w:bidi="en-US"/>
        </w:rPr>
        <w:t>gminy</w:t>
      </w:r>
      <w:r w:rsidRPr="0014227F">
        <w:rPr>
          <w:lang w:bidi="en-US"/>
        </w:rPr>
        <w:t>.</w:t>
      </w:r>
    </w:p>
    <w:p w14:paraId="528204F6" w14:textId="77777777" w:rsidR="0014227F" w:rsidRPr="0014227F" w:rsidRDefault="0014227F" w:rsidP="0014227F">
      <w:pPr>
        <w:rPr>
          <w:b/>
          <w:bCs/>
          <w:color w:val="C45911" w:themeColor="accent2" w:themeShade="BF"/>
          <w:lang w:bidi="en-US"/>
        </w:rPr>
      </w:pPr>
      <w:r w:rsidRPr="0014227F">
        <w:rPr>
          <w:b/>
          <w:bCs/>
          <w:color w:val="C45911" w:themeColor="accent2" w:themeShade="BF"/>
          <w:lang w:bidi="en-US"/>
        </w:rPr>
        <w:t>Ocena spójności zewnętrznej</w:t>
      </w:r>
    </w:p>
    <w:p w14:paraId="61053505" w14:textId="2DCA508F" w:rsidR="0014227F" w:rsidRPr="0014227F" w:rsidRDefault="0014227F" w:rsidP="0014227F">
      <w:pPr>
        <w:rPr>
          <w:lang w:bidi="en-US"/>
        </w:rPr>
      </w:pPr>
      <w:r w:rsidRPr="0014227F">
        <w:rPr>
          <w:lang w:bidi="en-US"/>
        </w:rPr>
        <w:t xml:space="preserve">Zakres oraz tryb opracowania, opiniowania i przyjmowania dokumentu jest zgodny z obowiązującymi regulacjami prawnymi dotyczącymi strategii rozwoju </w:t>
      </w:r>
      <w:r w:rsidR="008737BD">
        <w:rPr>
          <w:lang w:bidi="en-US"/>
        </w:rPr>
        <w:t>gminy</w:t>
      </w:r>
      <w:r w:rsidRPr="0014227F">
        <w:rPr>
          <w:lang w:bidi="en-US"/>
        </w:rPr>
        <w:t xml:space="preserve"> zawartymi w</w:t>
      </w:r>
      <w:r w:rsidR="004E5942">
        <w:rPr>
          <w:lang w:bidi="en-US"/>
        </w:rPr>
        <w:t> </w:t>
      </w:r>
      <w:r w:rsidRPr="0014227F">
        <w:rPr>
          <w:lang w:bidi="en-US"/>
        </w:rPr>
        <w:t xml:space="preserve">ustawie o samorządzie gminnym </w:t>
      </w:r>
      <w:r w:rsidR="008737BD">
        <w:rPr>
          <w:lang w:bidi="en-US"/>
        </w:rPr>
        <w:t>(</w:t>
      </w:r>
      <w:r w:rsidRPr="0014227F">
        <w:rPr>
          <w:lang w:bidi="en-US"/>
        </w:rPr>
        <w:t>przede wszystkim w zakresie art. 10g</w:t>
      </w:r>
      <w:r w:rsidR="008737BD">
        <w:rPr>
          <w:lang w:bidi="en-US"/>
        </w:rPr>
        <w:t xml:space="preserve"> i 10f) oraz w ustawie o</w:t>
      </w:r>
      <w:r w:rsidR="008737BD" w:rsidRPr="008737BD">
        <w:rPr>
          <w:lang w:bidi="en-US"/>
        </w:rPr>
        <w:t xml:space="preserve"> zasadach prowadzenia polityki rozwoju</w:t>
      </w:r>
      <w:r w:rsidR="008737BD">
        <w:rPr>
          <w:lang w:bidi="en-US"/>
        </w:rPr>
        <w:t>.</w:t>
      </w:r>
    </w:p>
    <w:p w14:paraId="1FCFF0FD" w14:textId="54AE90F4" w:rsidR="0014227F" w:rsidRPr="0014227F" w:rsidRDefault="0014227F" w:rsidP="0014227F">
      <w:pPr>
        <w:rPr>
          <w:lang w:bidi="en-US"/>
        </w:rPr>
      </w:pPr>
      <w:r w:rsidRPr="0014227F">
        <w:rPr>
          <w:lang w:bidi="en-US"/>
        </w:rPr>
        <w:t>Właściwy jest horyzont czasowy określony w Strategii – perspektywa 2030 roku dotyczy większości aktów nadrzędnych o charakterze regionalnym, krajowym i europejskim. Wskazany horyzont czasowy jest również prawidłowy w kontekście możliwości finansowania zawartych w Strategii przedsięwzięć z budżetu UE 2021 – 2027 (zachowanie zasady n+3</w:t>
      </w:r>
      <w:r w:rsidR="008F3DD3">
        <w:rPr>
          <w:lang w:bidi="en-US"/>
        </w:rPr>
        <w:t>/n+2</w:t>
      </w:r>
      <w:r w:rsidRPr="0014227F">
        <w:rPr>
          <w:lang w:bidi="en-US"/>
        </w:rPr>
        <w:t>, czyli możliwości rozliczania projektu do 20</w:t>
      </w:r>
      <w:r w:rsidR="008F3DD3">
        <w:rPr>
          <w:lang w:bidi="en-US"/>
        </w:rPr>
        <w:t>29</w:t>
      </w:r>
      <w:r w:rsidRPr="0014227F">
        <w:rPr>
          <w:lang w:bidi="en-US"/>
        </w:rPr>
        <w:t xml:space="preserve"> roku).</w:t>
      </w:r>
    </w:p>
    <w:p w14:paraId="5424A24B" w14:textId="77777777" w:rsidR="0000327F" w:rsidRDefault="0014227F" w:rsidP="0000327F">
      <w:pPr>
        <w:rPr>
          <w:rFonts w:cstheme="minorHAnsi"/>
          <w:lang w:bidi="en-US"/>
        </w:rPr>
      </w:pPr>
      <w:r w:rsidRPr="0014227F">
        <w:rPr>
          <w:lang w:bidi="en-US"/>
        </w:rPr>
        <w:t xml:space="preserve">Analiza spójności zewnętrznej wykazała także silne powiązania Strategii z politykami </w:t>
      </w:r>
      <w:r w:rsidRPr="0014227F">
        <w:rPr>
          <w:rFonts w:cstheme="minorHAnsi"/>
          <w:lang w:bidi="en-US"/>
        </w:rPr>
        <w:t>publicznymi i celami rozwojowymi zarówno w wymiarze regionalnym</w:t>
      </w:r>
      <w:r w:rsidR="006E6538" w:rsidRPr="0000327F">
        <w:rPr>
          <w:rFonts w:cstheme="minorHAnsi"/>
          <w:lang w:bidi="en-US"/>
        </w:rPr>
        <w:t xml:space="preserve">, </w:t>
      </w:r>
      <w:r w:rsidRPr="0014227F">
        <w:rPr>
          <w:rFonts w:cstheme="minorHAnsi"/>
          <w:lang w:bidi="en-US"/>
        </w:rPr>
        <w:t xml:space="preserve">krajowym, jak </w:t>
      </w:r>
      <w:r w:rsidR="006E6538" w:rsidRPr="0000327F">
        <w:rPr>
          <w:rFonts w:cstheme="minorHAnsi"/>
          <w:lang w:bidi="en-US"/>
        </w:rPr>
        <w:t>też</w:t>
      </w:r>
      <w:r w:rsidRPr="0014227F">
        <w:rPr>
          <w:rFonts w:cstheme="minorHAnsi"/>
          <w:lang w:bidi="en-US"/>
        </w:rPr>
        <w:t xml:space="preserve"> europejskim. </w:t>
      </w:r>
    </w:p>
    <w:p w14:paraId="777245D7" w14:textId="2ADF16E9" w:rsidR="0000327F" w:rsidRPr="0014227F" w:rsidRDefault="0000327F" w:rsidP="0014227F">
      <w:pPr>
        <w:rPr>
          <w:rFonts w:cstheme="minorHAnsi"/>
          <w:b/>
          <w:bCs/>
          <w:lang w:bidi="en-US"/>
        </w:rPr>
      </w:pPr>
      <w:r w:rsidRPr="0000327F">
        <w:rPr>
          <w:rFonts w:cstheme="minorHAnsi"/>
          <w:lang w:bidi="en-US"/>
        </w:rPr>
        <w:t xml:space="preserve">Na podstawie art. 41 ust. 1 ustawy o samorządzie województwa oraz art. 10f ust. 2 </w:t>
      </w:r>
      <w:r>
        <w:rPr>
          <w:rFonts w:cstheme="minorHAnsi"/>
          <w:lang w:bidi="en-US"/>
        </w:rPr>
        <w:t xml:space="preserve">ustawy </w:t>
      </w:r>
      <w:r w:rsidRPr="0000327F">
        <w:rPr>
          <w:rFonts w:cstheme="minorHAnsi"/>
          <w:lang w:bidi="en-US"/>
        </w:rPr>
        <w:t>o</w:t>
      </w:r>
      <w:r w:rsidR="004E5942">
        <w:rPr>
          <w:rFonts w:cstheme="minorHAnsi"/>
          <w:lang w:bidi="en-US"/>
        </w:rPr>
        <w:t> </w:t>
      </w:r>
      <w:r w:rsidRPr="0000327F">
        <w:rPr>
          <w:rFonts w:cstheme="minorHAnsi"/>
          <w:lang w:bidi="en-US"/>
        </w:rPr>
        <w:t>samorządzie gminnym Zarząd Województwa Lubelskiego uchwałą NR LXIX/1268/2024 z dnia 10 grudnia 2024 r. w sprawie wyrażenia opinii dotyczącej projektu Strategii Rozwoju Gminy Opole Lubelskie na lata 2025-2030</w:t>
      </w:r>
      <w:r>
        <w:rPr>
          <w:rFonts w:cstheme="minorHAnsi"/>
          <w:b/>
          <w:bCs/>
          <w:lang w:bidi="en-US"/>
        </w:rPr>
        <w:t xml:space="preserve"> </w:t>
      </w:r>
      <w:r w:rsidRPr="0000327F">
        <w:rPr>
          <w:rFonts w:cstheme="minorHAnsi"/>
          <w:lang w:bidi="en-US"/>
        </w:rPr>
        <w:t xml:space="preserve">pozytywnie </w:t>
      </w:r>
      <w:r w:rsidR="00AE3E57">
        <w:rPr>
          <w:rFonts w:cstheme="minorHAnsi"/>
          <w:lang w:bidi="en-US"/>
        </w:rPr>
        <w:t xml:space="preserve">(z uwagami) </w:t>
      </w:r>
      <w:r>
        <w:rPr>
          <w:rFonts w:cstheme="minorHAnsi"/>
          <w:lang w:bidi="en-US"/>
        </w:rPr>
        <w:t xml:space="preserve">zaopiniował </w:t>
      </w:r>
      <w:r w:rsidRPr="0000327F">
        <w:rPr>
          <w:rFonts w:cstheme="minorHAnsi"/>
          <w:lang w:bidi="en-US"/>
        </w:rPr>
        <w:t>projekt Strategii Rozwoju Gminy Opole Lubelskie na lata 2025-2030 w zakresie sposobu uwzględnienia ustaleń i</w:t>
      </w:r>
      <w:r w:rsidR="004E5942">
        <w:rPr>
          <w:rFonts w:cstheme="minorHAnsi"/>
          <w:lang w:bidi="en-US"/>
        </w:rPr>
        <w:t> </w:t>
      </w:r>
      <w:r w:rsidRPr="0000327F">
        <w:rPr>
          <w:rFonts w:cstheme="minorHAnsi"/>
          <w:lang w:bidi="en-US"/>
        </w:rPr>
        <w:t>rekomendacji dotyczących kształtowania i prowadzenia polityki przestrzennej w</w:t>
      </w:r>
      <w:r w:rsidR="004E5942">
        <w:rPr>
          <w:rFonts w:cstheme="minorHAnsi"/>
          <w:lang w:bidi="en-US"/>
        </w:rPr>
        <w:t> </w:t>
      </w:r>
      <w:r w:rsidRPr="0000327F">
        <w:rPr>
          <w:rFonts w:cstheme="minorHAnsi"/>
          <w:lang w:bidi="en-US"/>
        </w:rPr>
        <w:t>województwie określonych w Strategii Rozwoju Województwa Lubelskiego do 2030 roku przyjętej uchwałą nr XXIV/406/2021 Sejmiku Województwa Lubelskiego z dnia 29 marca 2021 roku</w:t>
      </w:r>
      <w:r>
        <w:rPr>
          <w:rFonts w:cstheme="minorHAnsi"/>
          <w:lang w:bidi="en-US"/>
        </w:rPr>
        <w:t>.</w:t>
      </w:r>
    </w:p>
    <w:p w14:paraId="211936A3" w14:textId="3CC23372" w:rsidR="008940E9" w:rsidRPr="0014227F" w:rsidRDefault="0014227F" w:rsidP="00445F52">
      <w:pPr>
        <w:spacing w:after="240"/>
        <w:rPr>
          <w:lang w:bidi="en-US"/>
        </w:rPr>
      </w:pPr>
      <w:r w:rsidRPr="0014227F">
        <w:rPr>
          <w:lang w:bidi="en-US"/>
        </w:rPr>
        <w:t xml:space="preserve">W rezultacie dokument </w:t>
      </w:r>
      <w:r w:rsidR="00544210">
        <w:rPr>
          <w:lang w:bidi="en-US"/>
        </w:rPr>
        <w:t xml:space="preserve">Strategii </w:t>
      </w:r>
      <w:r w:rsidRPr="0014227F">
        <w:rPr>
          <w:lang w:bidi="en-US"/>
        </w:rPr>
        <w:t xml:space="preserve">jest spójny z dokumentami strategicznymi szczebla regionalnego, krajowego i unijnego. </w:t>
      </w:r>
    </w:p>
    <w:p w14:paraId="475D1D4E" w14:textId="447918CD" w:rsidR="0014227F" w:rsidRPr="0014227F" w:rsidRDefault="0014227F" w:rsidP="0014227F">
      <w:pPr>
        <w:rPr>
          <w:b/>
          <w:bCs/>
          <w:color w:val="FF0000"/>
          <w:lang w:bidi="en-US"/>
        </w:rPr>
      </w:pPr>
      <w:r w:rsidRPr="0014227F">
        <w:rPr>
          <w:b/>
          <w:bCs/>
          <w:color w:val="C45911" w:themeColor="accent2" w:themeShade="BF"/>
          <w:lang w:bidi="en-US"/>
        </w:rPr>
        <w:t>Ocena systemu wdrażania</w:t>
      </w:r>
    </w:p>
    <w:p w14:paraId="5A3A1DD0" w14:textId="0C035999" w:rsidR="0014227F" w:rsidRPr="0014227F" w:rsidRDefault="0014227F" w:rsidP="0014227F">
      <w:pPr>
        <w:rPr>
          <w:lang w:bidi="en-US"/>
        </w:rPr>
      </w:pPr>
      <w:r w:rsidRPr="0014227F">
        <w:rPr>
          <w:lang w:bidi="en-US"/>
        </w:rPr>
        <w:t xml:space="preserve">Zaproponowany system wdrażania Strategii jest przejrzysty, prawidłowo określony oraz zgodny z obowiązującymi aktami prawnymi. </w:t>
      </w:r>
    </w:p>
    <w:p w14:paraId="683790AE" w14:textId="75830F93" w:rsidR="0014227F" w:rsidRPr="0014227F" w:rsidRDefault="0014227F" w:rsidP="00353F7E">
      <w:pPr>
        <w:rPr>
          <w:lang w:bidi="en-US"/>
        </w:rPr>
      </w:pPr>
      <w:r w:rsidRPr="0014227F">
        <w:rPr>
          <w:lang w:bidi="en-US"/>
        </w:rPr>
        <w:t>Dla osiągnięcia skuteczności realizacji celów zaplanowano efektywną i niegenerującą dodatkowych kosztów i obciążeń administracyjnych strukturę zarządczą oraz określono zasady i tryb prac w procesie wdrażania Strategii. Opisane zostały zadania i funkcje podmiotów uczestniczących w opracowaniu i wdrażaniu Strategii:</w:t>
      </w:r>
      <w:r w:rsidR="00353F7E">
        <w:rPr>
          <w:lang w:bidi="en-US"/>
        </w:rPr>
        <w:t xml:space="preserve"> Rady Miejskiej w Opolu Lubelskim, Burmistrza Opola Lubelskiego, Koordynatora wdrażania strategii</w:t>
      </w:r>
      <w:r w:rsidR="00B87B5C">
        <w:rPr>
          <w:lang w:bidi="en-US"/>
        </w:rPr>
        <w:t xml:space="preserve"> oraz </w:t>
      </w:r>
      <w:r w:rsidR="00353F7E">
        <w:rPr>
          <w:lang w:bidi="en-US"/>
        </w:rPr>
        <w:t>Zespołów roboczych ds. wdrażania strategii.</w:t>
      </w:r>
    </w:p>
    <w:p w14:paraId="36B64046" w14:textId="5F8E2D50" w:rsidR="0014227F" w:rsidRPr="0014227F" w:rsidRDefault="0014227F" w:rsidP="00572122">
      <w:pPr>
        <w:spacing w:after="240"/>
        <w:rPr>
          <w:lang w:bidi="en-US"/>
        </w:rPr>
      </w:pPr>
      <w:r w:rsidRPr="0014227F">
        <w:rPr>
          <w:lang w:bidi="en-US"/>
        </w:rPr>
        <w:lastRenderedPageBreak/>
        <w:t>Tak określony system, uzupełniony o</w:t>
      </w:r>
      <w:r w:rsidR="00353F7E">
        <w:rPr>
          <w:lang w:bidi="en-US"/>
        </w:rPr>
        <w:t xml:space="preserve"> udział partnerów społecznych i gospodarczy</w:t>
      </w:r>
      <w:r w:rsidR="00B87B5C">
        <w:rPr>
          <w:lang w:bidi="en-US"/>
        </w:rPr>
        <w:t>ch</w:t>
      </w:r>
      <w:r w:rsidRPr="0014227F">
        <w:rPr>
          <w:lang w:bidi="en-US"/>
        </w:rPr>
        <w:t>, prawidłowo definiuje relacje między poszczególnymi podmiotami oraz zasady zarządzania, gwarantując sprawne i skuteczne wdrażanie i monitoring Strategii.</w:t>
      </w:r>
    </w:p>
    <w:p w14:paraId="08CC9ED7" w14:textId="77777777" w:rsidR="0014227F" w:rsidRPr="00572122" w:rsidRDefault="0014227F" w:rsidP="0014227F">
      <w:pPr>
        <w:rPr>
          <w:b/>
          <w:bCs/>
          <w:color w:val="C45911" w:themeColor="accent2" w:themeShade="BF"/>
          <w:lang w:bidi="en-US"/>
        </w:rPr>
      </w:pPr>
      <w:r w:rsidRPr="00572122">
        <w:rPr>
          <w:b/>
          <w:bCs/>
          <w:color w:val="C45911" w:themeColor="accent2" w:themeShade="BF"/>
          <w:lang w:bidi="en-US"/>
        </w:rPr>
        <w:t xml:space="preserve">Ocena systemu monitorowania </w:t>
      </w:r>
    </w:p>
    <w:p w14:paraId="2CF656AE" w14:textId="77777777" w:rsidR="0014227F" w:rsidRPr="0014227F" w:rsidRDefault="0014227F" w:rsidP="0014227F">
      <w:pPr>
        <w:rPr>
          <w:lang w:bidi="en-US"/>
        </w:rPr>
      </w:pPr>
      <w:r w:rsidRPr="0014227F">
        <w:rPr>
          <w:lang w:bidi="en-US"/>
        </w:rPr>
        <w:t>Część wykonawczą Strategii, obejmującą system monitorowania należy ocenić pozytywnie. Zaproponowana liczba wskaźników przypisanych do kierunków działań, nie jest rozbudowana i nie będzie stanowić obciążenia dla podmiotów monitorujących realizację Strategii (zdefiniowanie zbyt dużej liczby wskaźników w systemie monitorowania może powodować ryzyko opóźnień w sporządzaniu raportów monitorujących). Jednocześnie zdecydowana większość zaproponowanych wskaźników jest łatwa do pozyskania lub możliwa do pozyskania. Jednocześnie odzwierciadlają one dobrze zakres poszczególnych kierunków działań i odpowiadających im celów strategicznych.</w:t>
      </w:r>
    </w:p>
    <w:p w14:paraId="0F54BC6E" w14:textId="71FADD22" w:rsidR="0014227F" w:rsidRPr="0014227F" w:rsidRDefault="0014227F" w:rsidP="0014227F">
      <w:pPr>
        <w:rPr>
          <w:lang w:bidi="en-US"/>
        </w:rPr>
      </w:pPr>
      <w:r w:rsidRPr="0014227F">
        <w:rPr>
          <w:lang w:bidi="en-US"/>
        </w:rPr>
        <w:t xml:space="preserve">Na obecnym etapie prac nad Strategią i projektami </w:t>
      </w:r>
      <w:r w:rsidR="00F95A82">
        <w:rPr>
          <w:lang w:bidi="en-US"/>
        </w:rPr>
        <w:t>Gmina Opole Lubelskie</w:t>
      </w:r>
      <w:r w:rsidRPr="0014227F">
        <w:rPr>
          <w:lang w:bidi="en-US"/>
        </w:rPr>
        <w:t xml:space="preserve"> nie dysponuje narzędziami i danymi do wprowadzenia wartości wskaźników. Wartości wskaźników zostaną określone w oparciu o uzyskaną dokumentację projektową i techniczną poszczególnych projektów przewidzianych do realizacji w </w:t>
      </w:r>
      <w:r w:rsidR="00F95A82">
        <w:rPr>
          <w:lang w:bidi="en-US"/>
        </w:rPr>
        <w:t>ramach Strategii</w:t>
      </w:r>
      <w:r w:rsidRPr="0014227F">
        <w:rPr>
          <w:lang w:bidi="en-US"/>
        </w:rPr>
        <w:t>.</w:t>
      </w:r>
    </w:p>
    <w:p w14:paraId="40CD894D" w14:textId="5020895B" w:rsidR="0014227F" w:rsidRPr="0014227F" w:rsidRDefault="0014227F" w:rsidP="006A40B5">
      <w:pPr>
        <w:spacing w:after="240"/>
        <w:rPr>
          <w:lang w:bidi="en-US"/>
        </w:rPr>
      </w:pPr>
      <w:r w:rsidRPr="0014227F">
        <w:rPr>
          <w:lang w:bidi="en-US"/>
        </w:rPr>
        <w:t>Korzyścią przedstawionego systemu wskaźników jest również możliwość uzyskania pełnego i </w:t>
      </w:r>
      <w:r w:rsidR="008C3A2F">
        <w:rPr>
          <w:lang w:bidi="en-US"/>
        </w:rPr>
        <w:t xml:space="preserve"> </w:t>
      </w:r>
      <w:r w:rsidRPr="0014227F">
        <w:rPr>
          <w:lang w:bidi="en-US"/>
        </w:rPr>
        <w:t xml:space="preserve">rzetelnego obrazu realizacji celów Strategii oraz podjęcia odpowiednich działań korygujących. </w:t>
      </w:r>
    </w:p>
    <w:p w14:paraId="28191CF0" w14:textId="77777777" w:rsidR="0014227F" w:rsidRPr="006A40B5" w:rsidRDefault="0014227F" w:rsidP="0014227F">
      <w:pPr>
        <w:rPr>
          <w:b/>
          <w:bCs/>
          <w:color w:val="C45911" w:themeColor="accent2" w:themeShade="BF"/>
          <w:lang w:bidi="en-US"/>
        </w:rPr>
      </w:pPr>
      <w:r w:rsidRPr="006A40B5">
        <w:rPr>
          <w:b/>
          <w:bCs/>
          <w:color w:val="C45911" w:themeColor="accent2" w:themeShade="BF"/>
          <w:lang w:bidi="en-US"/>
        </w:rPr>
        <w:t>Ocena planu operacyjnego i finansowego wdrażania Strategii</w:t>
      </w:r>
    </w:p>
    <w:p w14:paraId="6677E9C5" w14:textId="4DFE2D41" w:rsidR="0014227F" w:rsidRPr="0014227F" w:rsidRDefault="0014227F" w:rsidP="0014227F">
      <w:pPr>
        <w:rPr>
          <w:lang w:bidi="en-US"/>
        </w:rPr>
      </w:pPr>
      <w:r w:rsidRPr="0014227F">
        <w:rPr>
          <w:lang w:bidi="en-US"/>
        </w:rPr>
        <w:t xml:space="preserve">Określono </w:t>
      </w:r>
      <w:r w:rsidR="006A40B5">
        <w:rPr>
          <w:lang w:bidi="en-US"/>
        </w:rPr>
        <w:t>zakres zadań do realizacji w ramach</w:t>
      </w:r>
      <w:r w:rsidRPr="0014227F">
        <w:rPr>
          <w:lang w:bidi="en-US"/>
        </w:rPr>
        <w:t xml:space="preserve"> poszczególnych przedsięwzięć </w:t>
      </w:r>
      <w:r w:rsidR="00871315">
        <w:rPr>
          <w:lang w:bidi="en-US"/>
        </w:rPr>
        <w:t>strategicznych oraz przypisano je do celów szczegółowych</w:t>
      </w:r>
      <w:r w:rsidR="007C1208">
        <w:rPr>
          <w:lang w:bidi="en-US"/>
        </w:rPr>
        <w:t xml:space="preserve"> (</w:t>
      </w:r>
      <w:r w:rsidR="00871315">
        <w:rPr>
          <w:lang w:bidi="en-US"/>
        </w:rPr>
        <w:t>kierunków działań</w:t>
      </w:r>
      <w:r w:rsidR="007C1208">
        <w:rPr>
          <w:lang w:bidi="en-US"/>
        </w:rPr>
        <w:t>)</w:t>
      </w:r>
      <w:r w:rsidR="00871315">
        <w:rPr>
          <w:lang w:bidi="en-US"/>
        </w:rPr>
        <w:t xml:space="preserve"> Strategii</w:t>
      </w:r>
      <w:r w:rsidRPr="0014227F">
        <w:rPr>
          <w:lang w:bidi="en-US"/>
        </w:rPr>
        <w:t xml:space="preserve">. </w:t>
      </w:r>
      <w:r w:rsidR="00871315">
        <w:rPr>
          <w:lang w:bidi="en-US"/>
        </w:rPr>
        <w:t xml:space="preserve">Głównym, </w:t>
      </w:r>
      <w:r w:rsidRPr="0014227F">
        <w:rPr>
          <w:lang w:bidi="en-US"/>
        </w:rPr>
        <w:t>zewnętrznym źródłem finansowania przedsięwzięć strategicznych będą przede wszystkim środki z programu Fundusze Europejskie dla Lubelskiego na lata 2021 – 2027</w:t>
      </w:r>
      <w:r w:rsidR="00871315">
        <w:rPr>
          <w:lang w:bidi="en-US"/>
        </w:rPr>
        <w:t xml:space="preserve"> (FELU)</w:t>
      </w:r>
      <w:r w:rsidRPr="0014227F">
        <w:rPr>
          <w:lang w:bidi="en-US"/>
        </w:rPr>
        <w:t xml:space="preserve">, </w:t>
      </w:r>
      <w:r w:rsidR="00871315">
        <w:rPr>
          <w:lang w:bidi="en-US"/>
        </w:rPr>
        <w:t xml:space="preserve">a ich dostępność i poziom dofinansowania </w:t>
      </w:r>
      <w:r w:rsidR="007C1208">
        <w:rPr>
          <w:lang w:bidi="en-US"/>
        </w:rPr>
        <w:t xml:space="preserve">konkretnych projektów </w:t>
      </w:r>
      <w:r w:rsidR="00871315">
        <w:rPr>
          <w:lang w:bidi="en-US"/>
        </w:rPr>
        <w:t>uzależnion</w:t>
      </w:r>
      <w:r w:rsidR="007C1208">
        <w:rPr>
          <w:lang w:bidi="en-US"/>
        </w:rPr>
        <w:t>e</w:t>
      </w:r>
      <w:r w:rsidR="00871315">
        <w:rPr>
          <w:lang w:bidi="en-US"/>
        </w:rPr>
        <w:t xml:space="preserve"> </w:t>
      </w:r>
      <w:r w:rsidR="007C1208">
        <w:rPr>
          <w:lang w:bidi="en-US"/>
        </w:rPr>
        <w:t>są</w:t>
      </w:r>
      <w:r w:rsidR="00871315">
        <w:rPr>
          <w:lang w:bidi="en-US"/>
        </w:rPr>
        <w:t xml:space="preserve"> od harmonogramu naborów dla poszczególnych Działań FELU oraz szczegółowych warunków kwalifikowalności określonych przez Instytucję Zarządzającą (Zarząd Województwa Lubelskiego)</w:t>
      </w:r>
      <w:r w:rsidR="007C1208">
        <w:rPr>
          <w:lang w:bidi="en-US"/>
        </w:rPr>
        <w:t>.</w:t>
      </w:r>
    </w:p>
    <w:p w14:paraId="21500874" w14:textId="4A3CE7C3" w:rsidR="0014227F" w:rsidRPr="0014227F" w:rsidRDefault="00CB76F6" w:rsidP="00106BFE">
      <w:pPr>
        <w:spacing w:after="240"/>
        <w:rPr>
          <w:lang w:bidi="en-US"/>
        </w:rPr>
      </w:pPr>
      <w:r>
        <w:rPr>
          <w:lang w:bidi="en-US"/>
        </w:rPr>
        <w:t>Dodatkowo stwierdzić należy, że s</w:t>
      </w:r>
      <w:r w:rsidR="0014227F" w:rsidRPr="0014227F">
        <w:rPr>
          <w:lang w:bidi="en-US"/>
        </w:rPr>
        <w:t xml:space="preserve">zczegółowa charakterystyka źródeł finansowania wynikająca z programu </w:t>
      </w:r>
      <w:r w:rsidR="00FA3B06" w:rsidRPr="00FA3B06">
        <w:rPr>
          <w:lang w:bidi="en-US"/>
        </w:rPr>
        <w:t>Fundusze Europejskie dla Lubelskiego na lata</w:t>
      </w:r>
      <w:r w:rsidR="0014227F" w:rsidRPr="0014227F">
        <w:rPr>
          <w:lang w:bidi="en-US"/>
        </w:rPr>
        <w:t xml:space="preserve"> 2021 – 2027 pozwala na ich dostosowanie do specyfiki poszczególnych projektów.</w:t>
      </w:r>
    </w:p>
    <w:p w14:paraId="16611479" w14:textId="77777777" w:rsidR="0014227F" w:rsidRPr="00106BFE" w:rsidRDefault="0014227F" w:rsidP="0014227F">
      <w:pPr>
        <w:rPr>
          <w:b/>
          <w:bCs/>
          <w:color w:val="C45911" w:themeColor="accent2" w:themeShade="BF"/>
          <w:lang w:bidi="en-US"/>
        </w:rPr>
      </w:pPr>
      <w:r w:rsidRPr="00106BFE">
        <w:rPr>
          <w:b/>
          <w:bCs/>
          <w:color w:val="C45911" w:themeColor="accent2" w:themeShade="BF"/>
          <w:lang w:bidi="en-US"/>
        </w:rPr>
        <w:t xml:space="preserve">Ocena procesu partycypacji społecznej i konsultacji społecznych </w:t>
      </w:r>
    </w:p>
    <w:p w14:paraId="255B20A1" w14:textId="77777777" w:rsidR="0014227F" w:rsidRPr="0014227F" w:rsidRDefault="0014227F" w:rsidP="0014227F">
      <w:pPr>
        <w:rPr>
          <w:lang w:bidi="en-US"/>
        </w:rPr>
      </w:pPr>
      <w:r w:rsidRPr="0014227F">
        <w:rPr>
          <w:lang w:bidi="en-US"/>
        </w:rPr>
        <w:t xml:space="preserve">Proces opracowania Strategii realizowano z poszanowaniem zasad partycypacji i konsultacji społecznych w oparciu o art. 6 ustawy o zasadach prowadzenia polityki rozwoju, zapewniając możliwość uczestnictwa interesariuszy w procesie planistycznym oraz uzyskania szerszej reprezentacji i poparcia społecznego dla decyzji strategicznych. </w:t>
      </w:r>
    </w:p>
    <w:p w14:paraId="33FF7C95" w14:textId="498A1865" w:rsidR="0014227F" w:rsidRDefault="0014227F" w:rsidP="0014227F">
      <w:pPr>
        <w:rPr>
          <w:lang w:bidi="en-US"/>
        </w:rPr>
      </w:pPr>
      <w:r w:rsidRPr="0014227F">
        <w:rPr>
          <w:lang w:bidi="en-US"/>
        </w:rPr>
        <w:t xml:space="preserve">Strategia </w:t>
      </w:r>
      <w:r w:rsidR="00106BFE">
        <w:rPr>
          <w:lang w:bidi="en-US"/>
        </w:rPr>
        <w:t xml:space="preserve">(w Załączniku 2) </w:t>
      </w:r>
      <w:r w:rsidRPr="0014227F">
        <w:rPr>
          <w:lang w:bidi="en-US"/>
        </w:rPr>
        <w:t xml:space="preserve">zawiera </w:t>
      </w:r>
      <w:r w:rsidR="00106BFE">
        <w:rPr>
          <w:lang w:bidi="en-US"/>
        </w:rPr>
        <w:t>S</w:t>
      </w:r>
      <w:r w:rsidR="00106BFE" w:rsidRPr="00106BFE">
        <w:rPr>
          <w:lang w:bidi="en-US"/>
        </w:rPr>
        <w:t>prawozdanie z przebiegu i wyników procesu partycypacji i konsultacji społecznych</w:t>
      </w:r>
      <w:r w:rsidR="00106BFE">
        <w:rPr>
          <w:lang w:bidi="en-US"/>
        </w:rPr>
        <w:t>.</w:t>
      </w:r>
    </w:p>
    <w:p w14:paraId="195C1F80" w14:textId="77777777" w:rsidR="00EE45C7" w:rsidRPr="0014227F" w:rsidRDefault="00EE45C7" w:rsidP="0014227F">
      <w:pPr>
        <w:rPr>
          <w:lang w:bidi="en-US"/>
        </w:rPr>
      </w:pPr>
    </w:p>
    <w:p w14:paraId="6B5B2D87" w14:textId="0DCEEA36" w:rsidR="0014227F" w:rsidRPr="0014227F" w:rsidRDefault="0014227F" w:rsidP="0014227F">
      <w:pPr>
        <w:rPr>
          <w:b/>
          <w:bCs/>
          <w:lang w:bidi="en-US"/>
        </w:rPr>
      </w:pPr>
      <w:r w:rsidRPr="0014227F">
        <w:rPr>
          <w:b/>
          <w:bCs/>
          <w:lang w:bidi="en-US"/>
        </w:rPr>
        <w:t>Zgodnie z obowiązującymi przepisami, w procesie opracowania i konsultowania Strategii uzyskano odpowiednie opinie i uzgodnienia: Zarząd Województwa Lubelskiego pozytywnie zaopiniował projekt Strategii w zakresie sposobu uwzględnienia ustaleń i rekomendacji dotyczących kształtowania i prowadzenia polityki przestrzennej w województwie określonych w Strategii Rozwoju Województwa Lubelskiego do 2030, Państwowe Gospodarstwo Wodne Wody Polskie zgłosiło uwag</w:t>
      </w:r>
      <w:r w:rsidR="000865CB">
        <w:rPr>
          <w:b/>
          <w:bCs/>
          <w:lang w:bidi="en-US"/>
        </w:rPr>
        <w:t>i</w:t>
      </w:r>
      <w:r w:rsidRPr="0014227F">
        <w:rPr>
          <w:b/>
          <w:bCs/>
          <w:lang w:bidi="en-US"/>
        </w:rPr>
        <w:t xml:space="preserve"> do dokumentu Strategii</w:t>
      </w:r>
      <w:r w:rsidR="000865CB">
        <w:rPr>
          <w:b/>
          <w:bCs/>
          <w:lang w:bidi="en-US"/>
        </w:rPr>
        <w:t xml:space="preserve"> (</w:t>
      </w:r>
      <w:r w:rsidR="000865CB" w:rsidRPr="000865CB">
        <w:rPr>
          <w:b/>
          <w:bCs/>
          <w:i/>
          <w:iCs/>
          <w:lang w:bidi="en-US"/>
        </w:rPr>
        <w:t>sposób odniesienia do uwag został przedstawiony w Załączniku 2 -  Sprawozdanie z przebiegu i wyników procesu partycypacji i konsultacji społecznych</w:t>
      </w:r>
      <w:r w:rsidR="000865CB">
        <w:rPr>
          <w:b/>
          <w:bCs/>
          <w:lang w:bidi="en-US"/>
        </w:rPr>
        <w:t>)</w:t>
      </w:r>
      <w:r w:rsidRPr="0014227F">
        <w:rPr>
          <w:b/>
          <w:bCs/>
          <w:lang w:bidi="en-US"/>
        </w:rPr>
        <w:t>, Regionalny Dyrektor Ochrony Środowiska w Lublinie oraz Lubelski Państwowy Wojewódzki Inspektor Sanitarny pozytywnie zaopiniowali projekt Strategii wraz z Prognozą oddziaływania na środowisko.</w:t>
      </w:r>
    </w:p>
    <w:p w14:paraId="10A07EBF" w14:textId="7A1060A1" w:rsidR="0014227F" w:rsidRPr="0014227F" w:rsidRDefault="0014227F" w:rsidP="0014227F">
      <w:pPr>
        <w:rPr>
          <w:b/>
          <w:bCs/>
          <w:lang w:bidi="en-US"/>
        </w:rPr>
      </w:pPr>
      <w:r w:rsidRPr="0014227F">
        <w:rPr>
          <w:b/>
          <w:bCs/>
          <w:lang w:bidi="en-US"/>
        </w:rPr>
        <w:t>Uwzględniając powyższą analizę, rekomenduje się przyjęcie Strategii Rozwoju</w:t>
      </w:r>
      <w:r w:rsidR="000865CB">
        <w:rPr>
          <w:b/>
          <w:bCs/>
          <w:lang w:bidi="en-US"/>
        </w:rPr>
        <w:t xml:space="preserve"> </w:t>
      </w:r>
      <w:r w:rsidR="000865CB" w:rsidRPr="000865CB">
        <w:rPr>
          <w:b/>
          <w:bCs/>
          <w:lang w:bidi="en-US"/>
        </w:rPr>
        <w:t>Gminy Opole Lubelskie na lata 2025 - 2030</w:t>
      </w:r>
      <w:r w:rsidRPr="0014227F">
        <w:rPr>
          <w:b/>
          <w:bCs/>
          <w:lang w:bidi="en-US"/>
        </w:rPr>
        <w:t xml:space="preserve">, w formie w jakiej wypracowano ten dokument i uzgodniono ze społecznością lokalną </w:t>
      </w:r>
      <w:r w:rsidR="00292818">
        <w:rPr>
          <w:b/>
          <w:bCs/>
          <w:lang w:bidi="en-US"/>
        </w:rPr>
        <w:t>oraz</w:t>
      </w:r>
      <w:r w:rsidR="007022F2">
        <w:rPr>
          <w:b/>
          <w:bCs/>
          <w:lang w:bidi="en-US"/>
        </w:rPr>
        <w:t xml:space="preserve"> właściwymi organami </w:t>
      </w:r>
      <w:r w:rsidRPr="0014227F">
        <w:rPr>
          <w:b/>
          <w:bCs/>
          <w:lang w:bidi="en-US"/>
        </w:rPr>
        <w:t>w ramach przeprowadzon</w:t>
      </w:r>
      <w:r w:rsidR="007022F2">
        <w:rPr>
          <w:b/>
          <w:bCs/>
          <w:lang w:bidi="en-US"/>
        </w:rPr>
        <w:t>ej procedury opiniowania i</w:t>
      </w:r>
      <w:r w:rsidRPr="0014227F">
        <w:rPr>
          <w:b/>
          <w:bCs/>
          <w:lang w:bidi="en-US"/>
        </w:rPr>
        <w:t xml:space="preserve"> konsultacji społecznych.</w:t>
      </w:r>
      <w:r w:rsidR="000865CB">
        <w:rPr>
          <w:b/>
          <w:bCs/>
          <w:lang w:bidi="en-US"/>
        </w:rPr>
        <w:t xml:space="preserve"> </w:t>
      </w:r>
    </w:p>
    <w:p w14:paraId="637B0485" w14:textId="77777777" w:rsidR="00AD5DC6" w:rsidRPr="0014227F" w:rsidRDefault="00AD5DC6" w:rsidP="002922FA">
      <w:pPr>
        <w:rPr>
          <w:lang w:bidi="en-US"/>
        </w:rPr>
      </w:pPr>
    </w:p>
    <w:p w14:paraId="6D1922EB" w14:textId="2F0F9076" w:rsidR="00F82A41" w:rsidRDefault="00F82A41" w:rsidP="00F82A41">
      <w:pPr>
        <w:tabs>
          <w:tab w:val="left" w:pos="7200"/>
        </w:tabs>
        <w:rPr>
          <w:lang w:bidi="en-US"/>
        </w:rPr>
      </w:pPr>
    </w:p>
    <w:p w14:paraId="73CD99CC" w14:textId="77777777" w:rsidR="003F2001" w:rsidRDefault="003F2001" w:rsidP="00F82A41">
      <w:pPr>
        <w:tabs>
          <w:tab w:val="left" w:pos="7200"/>
        </w:tabs>
        <w:rPr>
          <w:lang w:bidi="en-US"/>
        </w:rPr>
      </w:pPr>
    </w:p>
    <w:p w14:paraId="4FB8B146" w14:textId="77777777" w:rsidR="003F2001" w:rsidRDefault="003F2001" w:rsidP="00F82A41">
      <w:pPr>
        <w:tabs>
          <w:tab w:val="left" w:pos="7200"/>
        </w:tabs>
        <w:rPr>
          <w:lang w:bidi="en-US"/>
        </w:rPr>
      </w:pPr>
    </w:p>
    <w:p w14:paraId="6BA1976F" w14:textId="77777777" w:rsidR="003F2001" w:rsidRDefault="003F2001" w:rsidP="00F82A41">
      <w:pPr>
        <w:tabs>
          <w:tab w:val="left" w:pos="7200"/>
        </w:tabs>
        <w:rPr>
          <w:lang w:bidi="en-US"/>
        </w:rPr>
      </w:pPr>
    </w:p>
    <w:p w14:paraId="4FEA1135" w14:textId="77777777" w:rsidR="003F2001" w:rsidRDefault="003F2001" w:rsidP="00F82A41">
      <w:pPr>
        <w:tabs>
          <w:tab w:val="left" w:pos="7200"/>
        </w:tabs>
        <w:rPr>
          <w:lang w:bidi="en-US"/>
        </w:rPr>
      </w:pPr>
    </w:p>
    <w:p w14:paraId="43C12624" w14:textId="77777777" w:rsidR="003F2001" w:rsidRDefault="003F2001" w:rsidP="00F82A41">
      <w:pPr>
        <w:tabs>
          <w:tab w:val="left" w:pos="7200"/>
        </w:tabs>
        <w:rPr>
          <w:lang w:bidi="en-US"/>
        </w:rPr>
      </w:pPr>
    </w:p>
    <w:p w14:paraId="4C51BE30" w14:textId="77777777" w:rsidR="003F2001" w:rsidRDefault="003F2001" w:rsidP="00F82A41">
      <w:pPr>
        <w:tabs>
          <w:tab w:val="left" w:pos="7200"/>
        </w:tabs>
        <w:rPr>
          <w:lang w:bidi="en-US"/>
        </w:rPr>
      </w:pPr>
    </w:p>
    <w:p w14:paraId="7427AEEF" w14:textId="77777777" w:rsidR="003F2001" w:rsidRDefault="003F2001" w:rsidP="00F82A41">
      <w:pPr>
        <w:tabs>
          <w:tab w:val="left" w:pos="7200"/>
        </w:tabs>
        <w:rPr>
          <w:lang w:bidi="en-US"/>
        </w:rPr>
      </w:pPr>
    </w:p>
    <w:p w14:paraId="0A1A388E" w14:textId="77777777" w:rsidR="003F2001" w:rsidRDefault="003F2001" w:rsidP="00F82A41">
      <w:pPr>
        <w:tabs>
          <w:tab w:val="left" w:pos="7200"/>
        </w:tabs>
        <w:rPr>
          <w:lang w:bidi="en-US"/>
        </w:rPr>
      </w:pPr>
    </w:p>
    <w:p w14:paraId="12B448B4" w14:textId="77777777" w:rsidR="003F2001" w:rsidRDefault="003F2001" w:rsidP="00F82A41">
      <w:pPr>
        <w:tabs>
          <w:tab w:val="left" w:pos="7200"/>
        </w:tabs>
        <w:rPr>
          <w:lang w:bidi="en-US"/>
        </w:rPr>
      </w:pPr>
    </w:p>
    <w:p w14:paraId="5F8E9AE4" w14:textId="77777777" w:rsidR="003F2001" w:rsidRDefault="003F2001" w:rsidP="00F82A41">
      <w:pPr>
        <w:tabs>
          <w:tab w:val="left" w:pos="7200"/>
        </w:tabs>
        <w:rPr>
          <w:lang w:bidi="en-US"/>
        </w:rPr>
      </w:pPr>
    </w:p>
    <w:p w14:paraId="2F91F536" w14:textId="77777777" w:rsidR="003F2001" w:rsidRDefault="003F2001" w:rsidP="00F82A41">
      <w:pPr>
        <w:tabs>
          <w:tab w:val="left" w:pos="7200"/>
        </w:tabs>
        <w:rPr>
          <w:lang w:bidi="en-US"/>
        </w:rPr>
      </w:pPr>
    </w:p>
    <w:p w14:paraId="701D70A9" w14:textId="77777777" w:rsidR="003F2001" w:rsidRDefault="003F2001" w:rsidP="00F82A41">
      <w:pPr>
        <w:tabs>
          <w:tab w:val="left" w:pos="7200"/>
        </w:tabs>
        <w:rPr>
          <w:lang w:bidi="en-US"/>
        </w:rPr>
      </w:pPr>
    </w:p>
    <w:p w14:paraId="3DE02271" w14:textId="77777777" w:rsidR="00EE45C7" w:rsidRDefault="00EE45C7" w:rsidP="00F82A41">
      <w:pPr>
        <w:tabs>
          <w:tab w:val="left" w:pos="7200"/>
        </w:tabs>
        <w:rPr>
          <w:lang w:bidi="en-US"/>
        </w:rPr>
      </w:pPr>
    </w:p>
    <w:p w14:paraId="58CCC2A8" w14:textId="77777777" w:rsidR="004E5942" w:rsidRDefault="004E5942" w:rsidP="00F82A41">
      <w:pPr>
        <w:tabs>
          <w:tab w:val="left" w:pos="7200"/>
        </w:tabs>
        <w:rPr>
          <w:lang w:bidi="en-US"/>
        </w:rPr>
      </w:pPr>
    </w:p>
    <w:p w14:paraId="425334FB" w14:textId="77777777" w:rsidR="004E5942" w:rsidRDefault="004E5942" w:rsidP="00F82A41">
      <w:pPr>
        <w:tabs>
          <w:tab w:val="left" w:pos="7200"/>
        </w:tabs>
        <w:rPr>
          <w:lang w:bidi="en-US"/>
        </w:rPr>
      </w:pPr>
    </w:p>
    <w:p w14:paraId="46D32634" w14:textId="77777777" w:rsidR="004E5942" w:rsidRDefault="004E5942" w:rsidP="00F82A41">
      <w:pPr>
        <w:tabs>
          <w:tab w:val="left" w:pos="7200"/>
        </w:tabs>
        <w:rPr>
          <w:lang w:bidi="en-US"/>
        </w:rPr>
      </w:pPr>
    </w:p>
    <w:p w14:paraId="5D6F43BB" w14:textId="77777777" w:rsidR="004E5942" w:rsidRDefault="004E5942" w:rsidP="00F82A41">
      <w:pPr>
        <w:tabs>
          <w:tab w:val="left" w:pos="7200"/>
        </w:tabs>
        <w:rPr>
          <w:lang w:bidi="en-US"/>
        </w:rPr>
      </w:pPr>
    </w:p>
    <w:p w14:paraId="08EFF018" w14:textId="77777777" w:rsidR="004E5942" w:rsidRDefault="004E5942" w:rsidP="00F82A41">
      <w:pPr>
        <w:tabs>
          <w:tab w:val="left" w:pos="7200"/>
        </w:tabs>
        <w:rPr>
          <w:lang w:bidi="en-US"/>
        </w:rPr>
      </w:pPr>
    </w:p>
    <w:p w14:paraId="7AD89A35" w14:textId="77777777" w:rsidR="003F2001" w:rsidRDefault="003F2001" w:rsidP="00F82A41">
      <w:pPr>
        <w:tabs>
          <w:tab w:val="left" w:pos="7200"/>
        </w:tabs>
        <w:rPr>
          <w:lang w:bidi="en-US"/>
        </w:rPr>
      </w:pPr>
    </w:p>
    <w:p w14:paraId="68BEA5D3" w14:textId="5578EDC0" w:rsidR="003F2001" w:rsidRPr="003F2001" w:rsidRDefault="003F2001" w:rsidP="0053400A">
      <w:pPr>
        <w:pStyle w:val="Nagwek1"/>
        <w:rPr>
          <w:lang w:bidi="en-US"/>
        </w:rPr>
      </w:pPr>
      <w:bookmarkStart w:id="221" w:name="_Toc191908815"/>
      <w:r w:rsidRPr="003F2001">
        <w:rPr>
          <w:lang w:bidi="en-US"/>
        </w:rPr>
        <w:t>Spis rycin</w:t>
      </w:r>
      <w:bookmarkEnd w:id="221"/>
    </w:p>
    <w:p w14:paraId="74EC7075" w14:textId="77777777" w:rsidR="003F2001" w:rsidRPr="003F2001" w:rsidRDefault="003F2001" w:rsidP="005C20FD">
      <w:pPr>
        <w:pStyle w:val="Nagwek2"/>
      </w:pPr>
      <w:bookmarkStart w:id="222" w:name="_Toc191908816"/>
      <w:r w:rsidRPr="003F2001">
        <w:t>Spis tabel</w:t>
      </w:r>
      <w:bookmarkEnd w:id="222"/>
    </w:p>
    <w:p w14:paraId="3B067374" w14:textId="1C3773FB" w:rsidR="0059675A" w:rsidRDefault="003F2001">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r w:rsidRPr="003F2001">
        <w:rPr>
          <w:rFonts w:cs="Times New Roman"/>
        </w:rPr>
        <w:fldChar w:fldCharType="begin"/>
      </w:r>
      <w:r w:rsidRPr="003F2001">
        <w:rPr>
          <w:rFonts w:cs="Times New Roman"/>
        </w:rPr>
        <w:instrText xml:space="preserve"> TOC \h \z \c "Tabela" </w:instrText>
      </w:r>
      <w:r w:rsidRPr="003F2001">
        <w:rPr>
          <w:rFonts w:cs="Times New Roman"/>
        </w:rPr>
        <w:fldChar w:fldCharType="separate"/>
      </w:r>
      <w:hyperlink w:anchor="_Toc189166333" w:history="1">
        <w:r w:rsidR="0059675A" w:rsidRPr="00ED719B">
          <w:rPr>
            <w:rStyle w:val="Hipercze"/>
            <w:rFonts w:eastAsia="Calibri" w:cs="Times New Roman"/>
            <w:b/>
            <w:bCs/>
            <w:noProof/>
          </w:rPr>
          <w:t>Tabela 1. Zabytki wpisane do rejestru zabytków nieruchomych i rejestru zabytków archeologicznych na terenie Gminy Opole Lubelskie</w:t>
        </w:r>
        <w:r w:rsidR="0059675A">
          <w:rPr>
            <w:noProof/>
            <w:webHidden/>
          </w:rPr>
          <w:tab/>
        </w:r>
        <w:r w:rsidR="0059675A">
          <w:rPr>
            <w:noProof/>
            <w:webHidden/>
          </w:rPr>
          <w:fldChar w:fldCharType="begin"/>
        </w:r>
        <w:r w:rsidR="0059675A">
          <w:rPr>
            <w:noProof/>
            <w:webHidden/>
          </w:rPr>
          <w:instrText xml:space="preserve"> PAGEREF _Toc189166333 \h </w:instrText>
        </w:r>
        <w:r w:rsidR="0059675A">
          <w:rPr>
            <w:noProof/>
            <w:webHidden/>
          </w:rPr>
        </w:r>
        <w:r w:rsidR="0059675A">
          <w:rPr>
            <w:noProof/>
            <w:webHidden/>
          </w:rPr>
          <w:fldChar w:fldCharType="separate"/>
        </w:r>
        <w:r w:rsidR="008E0CB6">
          <w:rPr>
            <w:noProof/>
            <w:webHidden/>
          </w:rPr>
          <w:t>18</w:t>
        </w:r>
        <w:r w:rsidR="0059675A">
          <w:rPr>
            <w:noProof/>
            <w:webHidden/>
          </w:rPr>
          <w:fldChar w:fldCharType="end"/>
        </w:r>
      </w:hyperlink>
    </w:p>
    <w:p w14:paraId="0187FE6A" w14:textId="57F4491E"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34" w:history="1">
        <w:r w:rsidR="0059675A" w:rsidRPr="00ED719B">
          <w:rPr>
            <w:rStyle w:val="Hipercze"/>
            <w:rFonts w:eastAsia="Calibri" w:cs="Times New Roman"/>
            <w:b/>
            <w:bCs/>
            <w:noProof/>
          </w:rPr>
          <w:t>Tabela 2. Zmiana liczby ludności w Gminie Opole Lubelskie oraz jednostkach porównawczych w latach 2014-2023.</w:t>
        </w:r>
        <w:r w:rsidR="0059675A">
          <w:rPr>
            <w:noProof/>
            <w:webHidden/>
          </w:rPr>
          <w:tab/>
        </w:r>
        <w:r w:rsidR="0059675A">
          <w:rPr>
            <w:noProof/>
            <w:webHidden/>
          </w:rPr>
          <w:fldChar w:fldCharType="begin"/>
        </w:r>
        <w:r w:rsidR="0059675A">
          <w:rPr>
            <w:noProof/>
            <w:webHidden/>
          </w:rPr>
          <w:instrText xml:space="preserve"> PAGEREF _Toc189166334 \h </w:instrText>
        </w:r>
        <w:r w:rsidR="0059675A">
          <w:rPr>
            <w:noProof/>
            <w:webHidden/>
          </w:rPr>
        </w:r>
        <w:r w:rsidR="0059675A">
          <w:rPr>
            <w:noProof/>
            <w:webHidden/>
          </w:rPr>
          <w:fldChar w:fldCharType="separate"/>
        </w:r>
        <w:r w:rsidR="008E0CB6">
          <w:rPr>
            <w:noProof/>
            <w:webHidden/>
          </w:rPr>
          <w:t>22</w:t>
        </w:r>
        <w:r w:rsidR="0059675A">
          <w:rPr>
            <w:noProof/>
            <w:webHidden/>
          </w:rPr>
          <w:fldChar w:fldCharType="end"/>
        </w:r>
      </w:hyperlink>
    </w:p>
    <w:p w14:paraId="5937D0BE" w14:textId="6623CBB5"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35" w:history="1">
        <w:r w:rsidR="0059675A" w:rsidRPr="00ED719B">
          <w:rPr>
            <w:rStyle w:val="Hipercze"/>
            <w:rFonts w:eastAsia="Calibri" w:cs="Times New Roman"/>
            <w:b/>
            <w:bCs/>
            <w:noProof/>
          </w:rPr>
          <w:t>Tabela 3. Wybrane wskaźniki dotyczące ruchu naturalnego i migracji w 2023 r.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_Toc189166335 \h </w:instrText>
        </w:r>
        <w:r w:rsidR="0059675A">
          <w:rPr>
            <w:noProof/>
            <w:webHidden/>
          </w:rPr>
        </w:r>
        <w:r w:rsidR="0059675A">
          <w:rPr>
            <w:noProof/>
            <w:webHidden/>
          </w:rPr>
          <w:fldChar w:fldCharType="separate"/>
        </w:r>
        <w:r w:rsidR="008E0CB6">
          <w:rPr>
            <w:noProof/>
            <w:webHidden/>
          </w:rPr>
          <w:t>25</w:t>
        </w:r>
        <w:r w:rsidR="0059675A">
          <w:rPr>
            <w:noProof/>
            <w:webHidden/>
          </w:rPr>
          <w:fldChar w:fldCharType="end"/>
        </w:r>
      </w:hyperlink>
    </w:p>
    <w:p w14:paraId="4D4FF79E" w14:textId="7BEEAD02"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36" w:history="1">
        <w:r w:rsidR="0059675A" w:rsidRPr="00ED719B">
          <w:rPr>
            <w:rStyle w:val="Hipercze"/>
            <w:rFonts w:eastAsia="Calibri" w:cs="Times New Roman"/>
            <w:b/>
            <w:bCs/>
            <w:noProof/>
          </w:rPr>
          <w:t>Tabela 4. Wybrane wskaźniki obciążenia demograficznego w 2023 r.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_Toc189166336 \h </w:instrText>
        </w:r>
        <w:r w:rsidR="0059675A">
          <w:rPr>
            <w:noProof/>
            <w:webHidden/>
          </w:rPr>
        </w:r>
        <w:r w:rsidR="0059675A">
          <w:rPr>
            <w:noProof/>
            <w:webHidden/>
          </w:rPr>
          <w:fldChar w:fldCharType="separate"/>
        </w:r>
        <w:r w:rsidR="008E0CB6">
          <w:rPr>
            <w:noProof/>
            <w:webHidden/>
          </w:rPr>
          <w:t>27</w:t>
        </w:r>
        <w:r w:rsidR="0059675A">
          <w:rPr>
            <w:noProof/>
            <w:webHidden/>
          </w:rPr>
          <w:fldChar w:fldCharType="end"/>
        </w:r>
      </w:hyperlink>
    </w:p>
    <w:p w14:paraId="0FDB519A" w14:textId="7E12FCB9"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37" w:history="1">
        <w:r w:rsidR="0059675A" w:rsidRPr="00ED719B">
          <w:rPr>
            <w:rStyle w:val="Hipercze"/>
            <w:rFonts w:eastAsia="Calibri" w:cs="Times New Roman"/>
            <w:b/>
            <w:bCs/>
            <w:noProof/>
          </w:rPr>
          <w:t>Tabela 5. Frekwencja wyborcza w wyborach powszechnych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_Toc189166337 \h </w:instrText>
        </w:r>
        <w:r w:rsidR="0059675A">
          <w:rPr>
            <w:noProof/>
            <w:webHidden/>
          </w:rPr>
        </w:r>
        <w:r w:rsidR="0059675A">
          <w:rPr>
            <w:noProof/>
            <w:webHidden/>
          </w:rPr>
          <w:fldChar w:fldCharType="separate"/>
        </w:r>
        <w:r w:rsidR="008E0CB6">
          <w:rPr>
            <w:noProof/>
            <w:webHidden/>
          </w:rPr>
          <w:t>31</w:t>
        </w:r>
        <w:r w:rsidR="0059675A">
          <w:rPr>
            <w:noProof/>
            <w:webHidden/>
          </w:rPr>
          <w:fldChar w:fldCharType="end"/>
        </w:r>
      </w:hyperlink>
    </w:p>
    <w:p w14:paraId="6BD63551" w14:textId="09AABAF6"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38" w:history="1">
        <w:r w:rsidR="0059675A" w:rsidRPr="00ED719B">
          <w:rPr>
            <w:rStyle w:val="Hipercze"/>
            <w:rFonts w:eastAsia="Calibri" w:cs="Times New Roman"/>
            <w:b/>
            <w:bCs/>
            <w:noProof/>
          </w:rPr>
          <w:t>Tabela 6. Liczba organizacji pozarządowych w 2023 r.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_Toc189166338 \h </w:instrText>
        </w:r>
        <w:r w:rsidR="0059675A">
          <w:rPr>
            <w:noProof/>
            <w:webHidden/>
          </w:rPr>
        </w:r>
        <w:r w:rsidR="0059675A">
          <w:rPr>
            <w:noProof/>
            <w:webHidden/>
          </w:rPr>
          <w:fldChar w:fldCharType="separate"/>
        </w:r>
        <w:r w:rsidR="008E0CB6">
          <w:rPr>
            <w:noProof/>
            <w:webHidden/>
          </w:rPr>
          <w:t>32</w:t>
        </w:r>
        <w:r w:rsidR="0059675A">
          <w:rPr>
            <w:noProof/>
            <w:webHidden/>
          </w:rPr>
          <w:fldChar w:fldCharType="end"/>
        </w:r>
      </w:hyperlink>
    </w:p>
    <w:p w14:paraId="13C8635B" w14:textId="400C28B8"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39" w:history="1">
        <w:r w:rsidR="0059675A" w:rsidRPr="00ED719B">
          <w:rPr>
            <w:rStyle w:val="Hipercze"/>
            <w:rFonts w:eastAsia="Calibri" w:cs="Times New Roman"/>
            <w:b/>
            <w:bCs/>
            <w:noProof/>
          </w:rPr>
          <w:t>Tabela 7. Osoby fizyczne prowadzące działalność gospodarczą w 2023 r.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_Toc189166339 \h </w:instrText>
        </w:r>
        <w:r w:rsidR="0059675A">
          <w:rPr>
            <w:noProof/>
            <w:webHidden/>
          </w:rPr>
        </w:r>
        <w:r w:rsidR="0059675A">
          <w:rPr>
            <w:noProof/>
            <w:webHidden/>
          </w:rPr>
          <w:fldChar w:fldCharType="separate"/>
        </w:r>
        <w:r w:rsidR="008E0CB6">
          <w:rPr>
            <w:noProof/>
            <w:webHidden/>
          </w:rPr>
          <w:t>33</w:t>
        </w:r>
        <w:r w:rsidR="0059675A">
          <w:rPr>
            <w:noProof/>
            <w:webHidden/>
          </w:rPr>
          <w:fldChar w:fldCharType="end"/>
        </w:r>
      </w:hyperlink>
    </w:p>
    <w:p w14:paraId="09986883" w14:textId="12D7FBEC"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40" w:history="1">
        <w:r w:rsidR="0059675A" w:rsidRPr="00ED719B">
          <w:rPr>
            <w:rStyle w:val="Hipercze"/>
            <w:rFonts w:eastAsia="Calibri" w:cs="Times New Roman"/>
            <w:b/>
            <w:bCs/>
            <w:noProof/>
          </w:rPr>
          <w:t>Tabela 8. Pracujący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_Toc189166340 \h </w:instrText>
        </w:r>
        <w:r w:rsidR="0059675A">
          <w:rPr>
            <w:noProof/>
            <w:webHidden/>
          </w:rPr>
        </w:r>
        <w:r w:rsidR="0059675A">
          <w:rPr>
            <w:noProof/>
            <w:webHidden/>
          </w:rPr>
          <w:fldChar w:fldCharType="separate"/>
        </w:r>
        <w:r w:rsidR="008E0CB6">
          <w:rPr>
            <w:noProof/>
            <w:webHidden/>
          </w:rPr>
          <w:t>38</w:t>
        </w:r>
        <w:r w:rsidR="0059675A">
          <w:rPr>
            <w:noProof/>
            <w:webHidden/>
          </w:rPr>
          <w:fldChar w:fldCharType="end"/>
        </w:r>
      </w:hyperlink>
    </w:p>
    <w:p w14:paraId="36EE23E3" w14:textId="25EB0726"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41" w:history="1">
        <w:r w:rsidR="0059675A" w:rsidRPr="00ED719B">
          <w:rPr>
            <w:rStyle w:val="Hipercze"/>
            <w:rFonts w:eastAsia="Calibri" w:cs="Times New Roman"/>
            <w:b/>
            <w:bCs/>
            <w:noProof/>
          </w:rPr>
          <w:t>Tabela 9. Bezrobotni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_Toc189166341 \h </w:instrText>
        </w:r>
        <w:r w:rsidR="0059675A">
          <w:rPr>
            <w:noProof/>
            <w:webHidden/>
          </w:rPr>
        </w:r>
        <w:r w:rsidR="0059675A">
          <w:rPr>
            <w:noProof/>
            <w:webHidden/>
          </w:rPr>
          <w:fldChar w:fldCharType="separate"/>
        </w:r>
        <w:r w:rsidR="008E0CB6">
          <w:rPr>
            <w:noProof/>
            <w:webHidden/>
          </w:rPr>
          <w:t>40</w:t>
        </w:r>
        <w:r w:rsidR="0059675A">
          <w:rPr>
            <w:noProof/>
            <w:webHidden/>
          </w:rPr>
          <w:fldChar w:fldCharType="end"/>
        </w:r>
      </w:hyperlink>
    </w:p>
    <w:p w14:paraId="68E37B14" w14:textId="32157930"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42" w:history="1">
        <w:r w:rsidR="0059675A" w:rsidRPr="00ED719B">
          <w:rPr>
            <w:rStyle w:val="Hipercze"/>
            <w:rFonts w:eastAsia="Calibri" w:cs="Times New Roman"/>
            <w:b/>
            <w:bCs/>
            <w:noProof/>
          </w:rPr>
          <w:t>Tabela 10. Struktura bezrobocia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_Toc189166342 \h </w:instrText>
        </w:r>
        <w:r w:rsidR="0059675A">
          <w:rPr>
            <w:noProof/>
            <w:webHidden/>
          </w:rPr>
        </w:r>
        <w:r w:rsidR="0059675A">
          <w:rPr>
            <w:noProof/>
            <w:webHidden/>
          </w:rPr>
          <w:fldChar w:fldCharType="separate"/>
        </w:r>
        <w:r w:rsidR="008E0CB6">
          <w:rPr>
            <w:noProof/>
            <w:webHidden/>
          </w:rPr>
          <w:t>41</w:t>
        </w:r>
        <w:r w:rsidR="0059675A">
          <w:rPr>
            <w:noProof/>
            <w:webHidden/>
          </w:rPr>
          <w:fldChar w:fldCharType="end"/>
        </w:r>
      </w:hyperlink>
    </w:p>
    <w:p w14:paraId="79F59045" w14:textId="60210ABB"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43" w:history="1">
        <w:r w:rsidR="0059675A" w:rsidRPr="00ED719B">
          <w:rPr>
            <w:rStyle w:val="Hipercze"/>
            <w:rFonts w:eastAsia="Calibri" w:cs="Times New Roman"/>
            <w:b/>
            <w:bCs/>
            <w:noProof/>
          </w:rPr>
          <w:t>Tabela 11. Liczba podmiotów gospodarki narodowej wpisanych do rejestru REGON oraz wskaźniki przedsiębiorczości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_Toc189166343 \h </w:instrText>
        </w:r>
        <w:r w:rsidR="0059675A">
          <w:rPr>
            <w:noProof/>
            <w:webHidden/>
          </w:rPr>
        </w:r>
        <w:r w:rsidR="0059675A">
          <w:rPr>
            <w:noProof/>
            <w:webHidden/>
          </w:rPr>
          <w:fldChar w:fldCharType="separate"/>
        </w:r>
        <w:r w:rsidR="008E0CB6">
          <w:rPr>
            <w:noProof/>
            <w:webHidden/>
          </w:rPr>
          <w:t>48</w:t>
        </w:r>
        <w:r w:rsidR="0059675A">
          <w:rPr>
            <w:noProof/>
            <w:webHidden/>
          </w:rPr>
          <w:fldChar w:fldCharType="end"/>
        </w:r>
      </w:hyperlink>
    </w:p>
    <w:p w14:paraId="5CAC9762" w14:textId="5EDD95B0"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44" w:history="1">
        <w:r w:rsidR="0059675A" w:rsidRPr="00ED719B">
          <w:rPr>
            <w:rStyle w:val="Hipercze"/>
            <w:rFonts w:eastAsia="Calibri" w:cs="Times New Roman"/>
            <w:b/>
            <w:bCs/>
            <w:noProof/>
          </w:rPr>
          <w:t>Tabela 12. Gospodarka wodna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_Toc189166344 \h </w:instrText>
        </w:r>
        <w:r w:rsidR="0059675A">
          <w:rPr>
            <w:noProof/>
            <w:webHidden/>
          </w:rPr>
        </w:r>
        <w:r w:rsidR="0059675A">
          <w:rPr>
            <w:noProof/>
            <w:webHidden/>
          </w:rPr>
          <w:fldChar w:fldCharType="separate"/>
        </w:r>
        <w:r w:rsidR="008E0CB6">
          <w:rPr>
            <w:noProof/>
            <w:webHidden/>
          </w:rPr>
          <w:t>63</w:t>
        </w:r>
        <w:r w:rsidR="0059675A">
          <w:rPr>
            <w:noProof/>
            <w:webHidden/>
          </w:rPr>
          <w:fldChar w:fldCharType="end"/>
        </w:r>
      </w:hyperlink>
    </w:p>
    <w:p w14:paraId="64386F3A" w14:textId="08515C2D"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45" w:history="1">
        <w:r w:rsidR="0059675A" w:rsidRPr="00ED719B">
          <w:rPr>
            <w:rStyle w:val="Hipercze"/>
            <w:rFonts w:eastAsia="Calibri" w:cs="Times New Roman"/>
            <w:b/>
            <w:bCs/>
            <w:noProof/>
          </w:rPr>
          <w:t>Tabela 13. Gospodarka ściekowa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_Toc189166345 \h </w:instrText>
        </w:r>
        <w:r w:rsidR="0059675A">
          <w:rPr>
            <w:noProof/>
            <w:webHidden/>
          </w:rPr>
        </w:r>
        <w:r w:rsidR="0059675A">
          <w:rPr>
            <w:noProof/>
            <w:webHidden/>
          </w:rPr>
          <w:fldChar w:fldCharType="separate"/>
        </w:r>
        <w:r w:rsidR="008E0CB6">
          <w:rPr>
            <w:noProof/>
            <w:webHidden/>
          </w:rPr>
          <w:t>64</w:t>
        </w:r>
        <w:r w:rsidR="0059675A">
          <w:rPr>
            <w:noProof/>
            <w:webHidden/>
          </w:rPr>
          <w:fldChar w:fldCharType="end"/>
        </w:r>
      </w:hyperlink>
    </w:p>
    <w:p w14:paraId="64100219" w14:textId="11AA2F80"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46" w:history="1">
        <w:r w:rsidR="0059675A" w:rsidRPr="00ED719B">
          <w:rPr>
            <w:rStyle w:val="Hipercze"/>
            <w:rFonts w:eastAsia="Calibri" w:cs="Times New Roman"/>
            <w:b/>
            <w:bCs/>
            <w:noProof/>
          </w:rPr>
          <w:t>Tabela 14. Energia elektryczna w gospodarstwach domowych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_Toc189166346 \h </w:instrText>
        </w:r>
        <w:r w:rsidR="0059675A">
          <w:rPr>
            <w:noProof/>
            <w:webHidden/>
          </w:rPr>
        </w:r>
        <w:r w:rsidR="0059675A">
          <w:rPr>
            <w:noProof/>
            <w:webHidden/>
          </w:rPr>
          <w:fldChar w:fldCharType="separate"/>
        </w:r>
        <w:r w:rsidR="008E0CB6">
          <w:rPr>
            <w:noProof/>
            <w:webHidden/>
          </w:rPr>
          <w:t>65</w:t>
        </w:r>
        <w:r w:rsidR="0059675A">
          <w:rPr>
            <w:noProof/>
            <w:webHidden/>
          </w:rPr>
          <w:fldChar w:fldCharType="end"/>
        </w:r>
      </w:hyperlink>
    </w:p>
    <w:p w14:paraId="552D66DA" w14:textId="447C3822"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47" w:history="1">
        <w:r w:rsidR="0059675A" w:rsidRPr="00ED719B">
          <w:rPr>
            <w:rStyle w:val="Hipercze"/>
            <w:rFonts w:eastAsia="Calibri" w:cs="Times New Roman"/>
            <w:b/>
            <w:bCs/>
            <w:noProof/>
          </w:rPr>
          <w:t>Tabela 15. Gaz ziemny w gospodarstwach domowych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_Toc189166347 \h </w:instrText>
        </w:r>
        <w:r w:rsidR="0059675A">
          <w:rPr>
            <w:noProof/>
            <w:webHidden/>
          </w:rPr>
        </w:r>
        <w:r w:rsidR="0059675A">
          <w:rPr>
            <w:noProof/>
            <w:webHidden/>
          </w:rPr>
          <w:fldChar w:fldCharType="separate"/>
        </w:r>
        <w:r w:rsidR="008E0CB6">
          <w:rPr>
            <w:noProof/>
            <w:webHidden/>
          </w:rPr>
          <w:t>66</w:t>
        </w:r>
        <w:r w:rsidR="0059675A">
          <w:rPr>
            <w:noProof/>
            <w:webHidden/>
          </w:rPr>
          <w:fldChar w:fldCharType="end"/>
        </w:r>
      </w:hyperlink>
    </w:p>
    <w:p w14:paraId="49CF9701" w14:textId="5B6B223C"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48" w:history="1">
        <w:r w:rsidR="0059675A" w:rsidRPr="00ED719B">
          <w:rPr>
            <w:rStyle w:val="Hipercze"/>
            <w:rFonts w:eastAsia="Calibri" w:cs="Times New Roman"/>
            <w:b/>
            <w:bCs/>
            <w:noProof/>
          </w:rPr>
          <w:t>Tabela 16. Gospodarka odpadami komunalnymi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_Toc189166348 \h </w:instrText>
        </w:r>
        <w:r w:rsidR="0059675A">
          <w:rPr>
            <w:noProof/>
            <w:webHidden/>
          </w:rPr>
        </w:r>
        <w:r w:rsidR="0059675A">
          <w:rPr>
            <w:noProof/>
            <w:webHidden/>
          </w:rPr>
          <w:fldChar w:fldCharType="separate"/>
        </w:r>
        <w:r w:rsidR="008E0CB6">
          <w:rPr>
            <w:noProof/>
            <w:webHidden/>
          </w:rPr>
          <w:t>70</w:t>
        </w:r>
        <w:r w:rsidR="0059675A">
          <w:rPr>
            <w:noProof/>
            <w:webHidden/>
          </w:rPr>
          <w:fldChar w:fldCharType="end"/>
        </w:r>
      </w:hyperlink>
    </w:p>
    <w:p w14:paraId="3BE0EB16" w14:textId="6CA0929C"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49" w:history="1">
        <w:r w:rsidR="0059675A" w:rsidRPr="00ED719B">
          <w:rPr>
            <w:rStyle w:val="Hipercze"/>
            <w:rFonts w:eastAsia="Calibri" w:cs="Times New Roman"/>
            <w:b/>
            <w:bCs/>
            <w:noProof/>
          </w:rPr>
          <w:t>Tabela 17. Oferta edukacyjna szkół ponadpodstawowych i policealnych prowadzących działalność na terenie Gminy Opole Lubelskie.</w:t>
        </w:r>
        <w:r w:rsidR="0059675A">
          <w:rPr>
            <w:noProof/>
            <w:webHidden/>
          </w:rPr>
          <w:tab/>
        </w:r>
        <w:r w:rsidR="0059675A">
          <w:rPr>
            <w:noProof/>
            <w:webHidden/>
          </w:rPr>
          <w:fldChar w:fldCharType="begin"/>
        </w:r>
        <w:r w:rsidR="0059675A">
          <w:rPr>
            <w:noProof/>
            <w:webHidden/>
          </w:rPr>
          <w:instrText xml:space="preserve"> PAGEREF _Toc189166349 \h </w:instrText>
        </w:r>
        <w:r w:rsidR="0059675A">
          <w:rPr>
            <w:noProof/>
            <w:webHidden/>
          </w:rPr>
        </w:r>
        <w:r w:rsidR="0059675A">
          <w:rPr>
            <w:noProof/>
            <w:webHidden/>
          </w:rPr>
          <w:fldChar w:fldCharType="separate"/>
        </w:r>
        <w:r w:rsidR="008E0CB6">
          <w:rPr>
            <w:noProof/>
            <w:webHidden/>
          </w:rPr>
          <w:t>80</w:t>
        </w:r>
        <w:r w:rsidR="0059675A">
          <w:rPr>
            <w:noProof/>
            <w:webHidden/>
          </w:rPr>
          <w:fldChar w:fldCharType="end"/>
        </w:r>
      </w:hyperlink>
    </w:p>
    <w:p w14:paraId="3EA79025" w14:textId="1F0F4151"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50" w:history="1">
        <w:r w:rsidR="0059675A" w:rsidRPr="00ED719B">
          <w:rPr>
            <w:rStyle w:val="Hipercze"/>
            <w:rFonts w:eastAsia="Calibri" w:cs="Times New Roman"/>
            <w:b/>
            <w:bCs/>
            <w:noProof/>
          </w:rPr>
          <w:t>Tabela 18. Wyniki egzaminu ósmoklasisty w szkołach podstawowych na terenie Gminy Opole Lubelskie w 2024 r.</w:t>
        </w:r>
        <w:r w:rsidR="0059675A">
          <w:rPr>
            <w:noProof/>
            <w:webHidden/>
          </w:rPr>
          <w:tab/>
        </w:r>
        <w:r w:rsidR="0059675A">
          <w:rPr>
            <w:noProof/>
            <w:webHidden/>
          </w:rPr>
          <w:fldChar w:fldCharType="begin"/>
        </w:r>
        <w:r w:rsidR="0059675A">
          <w:rPr>
            <w:noProof/>
            <w:webHidden/>
          </w:rPr>
          <w:instrText xml:space="preserve"> PAGEREF _Toc189166350 \h </w:instrText>
        </w:r>
        <w:r w:rsidR="0059675A">
          <w:rPr>
            <w:noProof/>
            <w:webHidden/>
          </w:rPr>
        </w:r>
        <w:r w:rsidR="0059675A">
          <w:rPr>
            <w:noProof/>
            <w:webHidden/>
          </w:rPr>
          <w:fldChar w:fldCharType="separate"/>
        </w:r>
        <w:r w:rsidR="008E0CB6">
          <w:rPr>
            <w:noProof/>
            <w:webHidden/>
          </w:rPr>
          <w:t>82</w:t>
        </w:r>
        <w:r w:rsidR="0059675A">
          <w:rPr>
            <w:noProof/>
            <w:webHidden/>
          </w:rPr>
          <w:fldChar w:fldCharType="end"/>
        </w:r>
      </w:hyperlink>
    </w:p>
    <w:p w14:paraId="3D51BD86" w14:textId="4B516FAA"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51" w:history="1">
        <w:r w:rsidR="0059675A" w:rsidRPr="00ED719B">
          <w:rPr>
            <w:rStyle w:val="Hipercze"/>
            <w:rFonts w:eastAsia="Calibri" w:cs="Times New Roman"/>
            <w:b/>
            <w:bCs/>
            <w:noProof/>
          </w:rPr>
          <w:t>Tabela 19. Wyniki egzaminu maturalnego w szkołach ponadpodstawowych na terenie Gminy Opole Lubelskie w 2024 r.</w:t>
        </w:r>
        <w:r w:rsidR="0059675A">
          <w:rPr>
            <w:noProof/>
            <w:webHidden/>
          </w:rPr>
          <w:tab/>
        </w:r>
        <w:r w:rsidR="0059675A">
          <w:rPr>
            <w:noProof/>
            <w:webHidden/>
          </w:rPr>
          <w:fldChar w:fldCharType="begin"/>
        </w:r>
        <w:r w:rsidR="0059675A">
          <w:rPr>
            <w:noProof/>
            <w:webHidden/>
          </w:rPr>
          <w:instrText xml:space="preserve"> PAGEREF _Toc189166351 \h </w:instrText>
        </w:r>
        <w:r w:rsidR="0059675A">
          <w:rPr>
            <w:noProof/>
            <w:webHidden/>
          </w:rPr>
        </w:r>
        <w:r w:rsidR="0059675A">
          <w:rPr>
            <w:noProof/>
            <w:webHidden/>
          </w:rPr>
          <w:fldChar w:fldCharType="separate"/>
        </w:r>
        <w:r w:rsidR="008E0CB6">
          <w:rPr>
            <w:noProof/>
            <w:webHidden/>
          </w:rPr>
          <w:t>83</w:t>
        </w:r>
        <w:r w:rsidR="0059675A">
          <w:rPr>
            <w:noProof/>
            <w:webHidden/>
          </w:rPr>
          <w:fldChar w:fldCharType="end"/>
        </w:r>
      </w:hyperlink>
    </w:p>
    <w:p w14:paraId="03E08E9B" w14:textId="39484425"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52" w:history="1">
        <w:r w:rsidR="0059675A" w:rsidRPr="00ED719B">
          <w:rPr>
            <w:rStyle w:val="Hipercze"/>
            <w:rFonts w:eastAsia="Calibri" w:cs="Times New Roman"/>
            <w:b/>
            <w:bCs/>
            <w:noProof/>
          </w:rPr>
          <w:t>Tabela 20. Ochrona zdrowia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_Toc189166352 \h </w:instrText>
        </w:r>
        <w:r w:rsidR="0059675A">
          <w:rPr>
            <w:noProof/>
            <w:webHidden/>
          </w:rPr>
        </w:r>
        <w:r w:rsidR="0059675A">
          <w:rPr>
            <w:noProof/>
            <w:webHidden/>
          </w:rPr>
          <w:fldChar w:fldCharType="separate"/>
        </w:r>
        <w:r w:rsidR="008E0CB6">
          <w:rPr>
            <w:noProof/>
            <w:webHidden/>
          </w:rPr>
          <w:t>84</w:t>
        </w:r>
        <w:r w:rsidR="0059675A">
          <w:rPr>
            <w:noProof/>
            <w:webHidden/>
          </w:rPr>
          <w:fldChar w:fldCharType="end"/>
        </w:r>
      </w:hyperlink>
    </w:p>
    <w:p w14:paraId="58CB8A60" w14:textId="3BB890B3"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53" w:history="1">
        <w:r w:rsidR="0059675A" w:rsidRPr="00ED719B">
          <w:rPr>
            <w:rStyle w:val="Hipercze"/>
            <w:rFonts w:eastAsia="Calibri" w:cs="Times New Roman"/>
            <w:b/>
            <w:bCs/>
            <w:noProof/>
          </w:rPr>
          <w:t>Tabela 21. Pomoc społeczna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_Toc189166353 \h </w:instrText>
        </w:r>
        <w:r w:rsidR="0059675A">
          <w:rPr>
            <w:noProof/>
            <w:webHidden/>
          </w:rPr>
        </w:r>
        <w:r w:rsidR="0059675A">
          <w:rPr>
            <w:noProof/>
            <w:webHidden/>
          </w:rPr>
          <w:fldChar w:fldCharType="separate"/>
        </w:r>
        <w:r w:rsidR="008E0CB6">
          <w:rPr>
            <w:noProof/>
            <w:webHidden/>
          </w:rPr>
          <w:t>89</w:t>
        </w:r>
        <w:r w:rsidR="0059675A">
          <w:rPr>
            <w:noProof/>
            <w:webHidden/>
          </w:rPr>
          <w:fldChar w:fldCharType="end"/>
        </w:r>
      </w:hyperlink>
    </w:p>
    <w:p w14:paraId="13887C50" w14:textId="71A94A35"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54" w:history="1">
        <w:r w:rsidR="0059675A" w:rsidRPr="00ED719B">
          <w:rPr>
            <w:rStyle w:val="Hipercze"/>
            <w:rFonts w:eastAsia="Calibri" w:cs="Times New Roman"/>
            <w:b/>
            <w:bCs/>
            <w:noProof/>
          </w:rPr>
          <w:t>Tabela 22. Działalność kulturalna w Gminie Opole Lubelskie oraz jednostkach porównawczych.</w:t>
        </w:r>
        <w:r w:rsidR="0059675A">
          <w:rPr>
            <w:noProof/>
            <w:webHidden/>
          </w:rPr>
          <w:tab/>
        </w:r>
        <w:r w:rsidR="0059675A">
          <w:rPr>
            <w:noProof/>
            <w:webHidden/>
          </w:rPr>
          <w:fldChar w:fldCharType="begin"/>
        </w:r>
        <w:r w:rsidR="0059675A">
          <w:rPr>
            <w:noProof/>
            <w:webHidden/>
          </w:rPr>
          <w:instrText xml:space="preserve"> PAGEREF _Toc189166354 \h </w:instrText>
        </w:r>
        <w:r w:rsidR="0059675A">
          <w:rPr>
            <w:noProof/>
            <w:webHidden/>
          </w:rPr>
        </w:r>
        <w:r w:rsidR="0059675A">
          <w:rPr>
            <w:noProof/>
            <w:webHidden/>
          </w:rPr>
          <w:fldChar w:fldCharType="separate"/>
        </w:r>
        <w:r w:rsidR="008E0CB6">
          <w:rPr>
            <w:noProof/>
            <w:webHidden/>
          </w:rPr>
          <w:t>92</w:t>
        </w:r>
        <w:r w:rsidR="0059675A">
          <w:rPr>
            <w:noProof/>
            <w:webHidden/>
          </w:rPr>
          <w:fldChar w:fldCharType="end"/>
        </w:r>
      </w:hyperlink>
    </w:p>
    <w:p w14:paraId="7615D111" w14:textId="7A697F90"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55" w:history="1">
        <w:r w:rsidR="0059675A" w:rsidRPr="00ED719B">
          <w:rPr>
            <w:rStyle w:val="Hipercze"/>
            <w:rFonts w:cs="Times New Roman"/>
            <w:b/>
            <w:bCs/>
            <w:noProof/>
          </w:rPr>
          <w:t>Tabela 23. Projekty realizowane w ramach Regionalnego Programu Operacyjnego Województwa Lubelskiego oraz programów krajowych na lata 2014-2020 przez Gminę Opole Lubelskie</w:t>
        </w:r>
        <w:r w:rsidR="0059675A">
          <w:rPr>
            <w:noProof/>
            <w:webHidden/>
          </w:rPr>
          <w:tab/>
        </w:r>
        <w:r w:rsidR="0059675A">
          <w:rPr>
            <w:noProof/>
            <w:webHidden/>
          </w:rPr>
          <w:fldChar w:fldCharType="begin"/>
        </w:r>
        <w:r w:rsidR="0059675A">
          <w:rPr>
            <w:noProof/>
            <w:webHidden/>
          </w:rPr>
          <w:instrText xml:space="preserve"> PAGEREF _Toc189166355 \h </w:instrText>
        </w:r>
        <w:r w:rsidR="0059675A">
          <w:rPr>
            <w:noProof/>
            <w:webHidden/>
          </w:rPr>
        </w:r>
        <w:r w:rsidR="0059675A">
          <w:rPr>
            <w:noProof/>
            <w:webHidden/>
          </w:rPr>
          <w:fldChar w:fldCharType="separate"/>
        </w:r>
        <w:r w:rsidR="008E0CB6">
          <w:rPr>
            <w:noProof/>
            <w:webHidden/>
          </w:rPr>
          <w:t>101</w:t>
        </w:r>
        <w:r w:rsidR="0059675A">
          <w:rPr>
            <w:noProof/>
            <w:webHidden/>
          </w:rPr>
          <w:fldChar w:fldCharType="end"/>
        </w:r>
      </w:hyperlink>
    </w:p>
    <w:p w14:paraId="3E02685F" w14:textId="5A962562"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56" w:history="1">
        <w:r w:rsidR="0059675A" w:rsidRPr="00ED719B">
          <w:rPr>
            <w:rStyle w:val="Hipercze"/>
            <w:rFonts w:cs="Times New Roman"/>
            <w:b/>
            <w:bCs/>
            <w:noProof/>
          </w:rPr>
          <w:t>Tabela 24. Projekty realizowane w ramach rządowych programów krajowych przez Gminę Opole Lubelskie</w:t>
        </w:r>
        <w:r w:rsidR="0059675A">
          <w:rPr>
            <w:noProof/>
            <w:webHidden/>
          </w:rPr>
          <w:tab/>
        </w:r>
        <w:r w:rsidR="0059675A">
          <w:rPr>
            <w:noProof/>
            <w:webHidden/>
          </w:rPr>
          <w:fldChar w:fldCharType="begin"/>
        </w:r>
        <w:r w:rsidR="0059675A">
          <w:rPr>
            <w:noProof/>
            <w:webHidden/>
          </w:rPr>
          <w:instrText xml:space="preserve"> PAGEREF _Toc189166356 \h </w:instrText>
        </w:r>
        <w:r w:rsidR="0059675A">
          <w:rPr>
            <w:noProof/>
            <w:webHidden/>
          </w:rPr>
        </w:r>
        <w:r w:rsidR="0059675A">
          <w:rPr>
            <w:noProof/>
            <w:webHidden/>
          </w:rPr>
          <w:fldChar w:fldCharType="separate"/>
        </w:r>
        <w:r w:rsidR="008E0CB6">
          <w:rPr>
            <w:noProof/>
            <w:webHidden/>
          </w:rPr>
          <w:t>102</w:t>
        </w:r>
        <w:r w:rsidR="0059675A">
          <w:rPr>
            <w:noProof/>
            <w:webHidden/>
          </w:rPr>
          <w:fldChar w:fldCharType="end"/>
        </w:r>
      </w:hyperlink>
    </w:p>
    <w:p w14:paraId="491770AA" w14:textId="7D6ACD43" w:rsidR="003F2001" w:rsidRPr="003F2001" w:rsidRDefault="003F2001" w:rsidP="003F2001">
      <w:pPr>
        <w:spacing w:line="276"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fldChar w:fldCharType="end"/>
      </w:r>
    </w:p>
    <w:p w14:paraId="234A14E8" w14:textId="77777777" w:rsidR="003F2001" w:rsidRPr="003F2001" w:rsidRDefault="003F2001" w:rsidP="0053400A">
      <w:pPr>
        <w:pStyle w:val="Nagwek2"/>
      </w:pPr>
      <w:bookmarkStart w:id="223" w:name="_Toc191908817"/>
      <w:r w:rsidRPr="003F2001">
        <w:t>Spis wykresów</w:t>
      </w:r>
      <w:bookmarkEnd w:id="223"/>
    </w:p>
    <w:p w14:paraId="2BB09AB3" w14:textId="21ED0D17" w:rsidR="0059675A" w:rsidRDefault="003F2001">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r w:rsidRPr="003F2001">
        <w:rPr>
          <w:rFonts w:cs="Times New Roman"/>
        </w:rPr>
        <w:fldChar w:fldCharType="begin"/>
      </w:r>
      <w:r w:rsidRPr="003F2001">
        <w:rPr>
          <w:rFonts w:cs="Times New Roman"/>
        </w:rPr>
        <w:instrText xml:space="preserve"> TOC \h \z \c "Wykres" </w:instrText>
      </w:r>
      <w:r w:rsidRPr="003F2001">
        <w:rPr>
          <w:rFonts w:cs="Times New Roman"/>
        </w:rPr>
        <w:fldChar w:fldCharType="separate"/>
      </w:r>
      <w:hyperlink w:anchor="_Toc189166357" w:history="1">
        <w:r w:rsidR="0059675A" w:rsidRPr="00AC7B43">
          <w:rPr>
            <w:rStyle w:val="Hipercze"/>
            <w:rFonts w:eastAsia="Calibri" w:cs="Times New Roman"/>
            <w:b/>
            <w:bCs/>
            <w:noProof/>
          </w:rPr>
          <w:t>Wykres 1. Liczba ludności na terenie Gminy Opole Lubelskie w latach 2014-2023 (osoby)</w:t>
        </w:r>
        <w:r w:rsidR="0059675A">
          <w:rPr>
            <w:noProof/>
            <w:webHidden/>
          </w:rPr>
          <w:tab/>
        </w:r>
        <w:r w:rsidR="0059675A">
          <w:rPr>
            <w:noProof/>
            <w:webHidden/>
          </w:rPr>
          <w:fldChar w:fldCharType="begin"/>
        </w:r>
        <w:r w:rsidR="0059675A">
          <w:rPr>
            <w:noProof/>
            <w:webHidden/>
          </w:rPr>
          <w:instrText xml:space="preserve"> PAGEREF _Toc189166357 \h </w:instrText>
        </w:r>
        <w:r w:rsidR="0059675A">
          <w:rPr>
            <w:noProof/>
            <w:webHidden/>
          </w:rPr>
        </w:r>
        <w:r w:rsidR="0059675A">
          <w:rPr>
            <w:noProof/>
            <w:webHidden/>
          </w:rPr>
          <w:fldChar w:fldCharType="separate"/>
        </w:r>
        <w:r w:rsidR="008E0CB6">
          <w:rPr>
            <w:noProof/>
            <w:webHidden/>
          </w:rPr>
          <w:t>21</w:t>
        </w:r>
        <w:r w:rsidR="0059675A">
          <w:rPr>
            <w:noProof/>
            <w:webHidden/>
          </w:rPr>
          <w:fldChar w:fldCharType="end"/>
        </w:r>
      </w:hyperlink>
    </w:p>
    <w:p w14:paraId="312B9D5E" w14:textId="327092D0"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58" w:history="1">
        <w:r w:rsidR="0059675A" w:rsidRPr="00AC7B43">
          <w:rPr>
            <w:rStyle w:val="Hipercze"/>
            <w:rFonts w:eastAsia="Calibri" w:cs="Times New Roman"/>
            <w:b/>
            <w:bCs/>
            <w:noProof/>
          </w:rPr>
          <w:t>Wykres 2. Zmiana liczby ludności w stosunku do 2014 r. na terenie Gminy Opole Lubelskie, powiatu opolskiego i województwa lubelskiego (%)</w:t>
        </w:r>
        <w:r w:rsidR="0059675A">
          <w:rPr>
            <w:noProof/>
            <w:webHidden/>
          </w:rPr>
          <w:tab/>
        </w:r>
        <w:r w:rsidR="0059675A">
          <w:rPr>
            <w:noProof/>
            <w:webHidden/>
          </w:rPr>
          <w:fldChar w:fldCharType="begin"/>
        </w:r>
        <w:r w:rsidR="0059675A">
          <w:rPr>
            <w:noProof/>
            <w:webHidden/>
          </w:rPr>
          <w:instrText xml:space="preserve"> PAGEREF _Toc189166358 \h </w:instrText>
        </w:r>
        <w:r w:rsidR="0059675A">
          <w:rPr>
            <w:noProof/>
            <w:webHidden/>
          </w:rPr>
        </w:r>
        <w:r w:rsidR="0059675A">
          <w:rPr>
            <w:noProof/>
            <w:webHidden/>
          </w:rPr>
          <w:fldChar w:fldCharType="separate"/>
        </w:r>
        <w:r w:rsidR="008E0CB6">
          <w:rPr>
            <w:noProof/>
            <w:webHidden/>
          </w:rPr>
          <w:t>22</w:t>
        </w:r>
        <w:r w:rsidR="0059675A">
          <w:rPr>
            <w:noProof/>
            <w:webHidden/>
          </w:rPr>
          <w:fldChar w:fldCharType="end"/>
        </w:r>
      </w:hyperlink>
    </w:p>
    <w:p w14:paraId="7140FEE7" w14:textId="268ED965"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59" w:history="1">
        <w:r w:rsidR="0059675A" w:rsidRPr="00AC7B43">
          <w:rPr>
            <w:rStyle w:val="Hipercze"/>
            <w:rFonts w:eastAsia="Calibri" w:cs="Times New Roman"/>
            <w:b/>
            <w:bCs/>
            <w:noProof/>
          </w:rPr>
          <w:t>Wykres 3. Saldo przyrostu naturalnego w latach 2014-2023 na terenie Gminy Opole Lubelskie (osoby)</w:t>
        </w:r>
        <w:r w:rsidR="0059675A">
          <w:rPr>
            <w:noProof/>
            <w:webHidden/>
          </w:rPr>
          <w:tab/>
        </w:r>
        <w:r w:rsidR="0059675A">
          <w:rPr>
            <w:noProof/>
            <w:webHidden/>
          </w:rPr>
          <w:fldChar w:fldCharType="begin"/>
        </w:r>
        <w:r w:rsidR="0059675A">
          <w:rPr>
            <w:noProof/>
            <w:webHidden/>
          </w:rPr>
          <w:instrText xml:space="preserve"> PAGEREF _Toc189166359 \h </w:instrText>
        </w:r>
        <w:r w:rsidR="0059675A">
          <w:rPr>
            <w:noProof/>
            <w:webHidden/>
          </w:rPr>
        </w:r>
        <w:r w:rsidR="0059675A">
          <w:rPr>
            <w:noProof/>
            <w:webHidden/>
          </w:rPr>
          <w:fldChar w:fldCharType="separate"/>
        </w:r>
        <w:r w:rsidR="008E0CB6">
          <w:rPr>
            <w:noProof/>
            <w:webHidden/>
          </w:rPr>
          <w:t>23</w:t>
        </w:r>
        <w:r w:rsidR="0059675A">
          <w:rPr>
            <w:noProof/>
            <w:webHidden/>
          </w:rPr>
          <w:fldChar w:fldCharType="end"/>
        </w:r>
      </w:hyperlink>
    </w:p>
    <w:p w14:paraId="657FE95D" w14:textId="3B93284D"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60" w:history="1">
        <w:r w:rsidR="0059675A" w:rsidRPr="00AC7B43">
          <w:rPr>
            <w:rStyle w:val="Hipercze"/>
            <w:rFonts w:eastAsia="Calibri" w:cs="Times New Roman"/>
            <w:b/>
            <w:bCs/>
            <w:noProof/>
          </w:rPr>
          <w:t>Wykres 4. Współczynnik przyrostu naturalnego na terenie Gminy Opole Lubelskie, powiatu opolskiego i województwa lubelskiego w 2023 r. (‰)</w:t>
        </w:r>
        <w:r w:rsidR="0059675A">
          <w:rPr>
            <w:noProof/>
            <w:webHidden/>
          </w:rPr>
          <w:tab/>
        </w:r>
        <w:r w:rsidR="0059675A">
          <w:rPr>
            <w:noProof/>
            <w:webHidden/>
          </w:rPr>
          <w:fldChar w:fldCharType="begin"/>
        </w:r>
        <w:r w:rsidR="0059675A">
          <w:rPr>
            <w:noProof/>
            <w:webHidden/>
          </w:rPr>
          <w:instrText xml:space="preserve"> PAGEREF _Toc189166360 \h </w:instrText>
        </w:r>
        <w:r w:rsidR="0059675A">
          <w:rPr>
            <w:noProof/>
            <w:webHidden/>
          </w:rPr>
        </w:r>
        <w:r w:rsidR="0059675A">
          <w:rPr>
            <w:noProof/>
            <w:webHidden/>
          </w:rPr>
          <w:fldChar w:fldCharType="separate"/>
        </w:r>
        <w:r w:rsidR="008E0CB6">
          <w:rPr>
            <w:noProof/>
            <w:webHidden/>
          </w:rPr>
          <w:t>23</w:t>
        </w:r>
        <w:r w:rsidR="0059675A">
          <w:rPr>
            <w:noProof/>
            <w:webHidden/>
          </w:rPr>
          <w:fldChar w:fldCharType="end"/>
        </w:r>
      </w:hyperlink>
    </w:p>
    <w:p w14:paraId="772881F4" w14:textId="51542432"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61" w:history="1">
        <w:r w:rsidR="0059675A" w:rsidRPr="00AC7B43">
          <w:rPr>
            <w:rStyle w:val="Hipercze"/>
            <w:rFonts w:eastAsia="Calibri" w:cs="Times New Roman"/>
            <w:b/>
            <w:bCs/>
            <w:noProof/>
          </w:rPr>
          <w:t>Wykres 5. Saldo migracji w latach 2014-2023 na terenie Gminy Opole Lubelskie (osoby)</w:t>
        </w:r>
        <w:r w:rsidR="0059675A">
          <w:rPr>
            <w:noProof/>
            <w:webHidden/>
          </w:rPr>
          <w:tab/>
        </w:r>
        <w:r w:rsidR="0059675A">
          <w:rPr>
            <w:noProof/>
            <w:webHidden/>
          </w:rPr>
          <w:fldChar w:fldCharType="begin"/>
        </w:r>
        <w:r w:rsidR="0059675A">
          <w:rPr>
            <w:noProof/>
            <w:webHidden/>
          </w:rPr>
          <w:instrText xml:space="preserve"> PAGEREF _Toc189166361 \h </w:instrText>
        </w:r>
        <w:r w:rsidR="0059675A">
          <w:rPr>
            <w:noProof/>
            <w:webHidden/>
          </w:rPr>
        </w:r>
        <w:r w:rsidR="0059675A">
          <w:rPr>
            <w:noProof/>
            <w:webHidden/>
          </w:rPr>
          <w:fldChar w:fldCharType="separate"/>
        </w:r>
        <w:r w:rsidR="008E0CB6">
          <w:rPr>
            <w:noProof/>
            <w:webHidden/>
          </w:rPr>
          <w:t>24</w:t>
        </w:r>
        <w:r w:rsidR="0059675A">
          <w:rPr>
            <w:noProof/>
            <w:webHidden/>
          </w:rPr>
          <w:fldChar w:fldCharType="end"/>
        </w:r>
      </w:hyperlink>
    </w:p>
    <w:p w14:paraId="680E606E" w14:textId="4D308802"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62" w:history="1">
        <w:r w:rsidR="0059675A" w:rsidRPr="00AC7B43">
          <w:rPr>
            <w:rStyle w:val="Hipercze"/>
            <w:rFonts w:eastAsia="Calibri" w:cs="Times New Roman"/>
            <w:b/>
            <w:bCs/>
            <w:noProof/>
          </w:rPr>
          <w:t>Wykres 6. Współczynnik salda migracji na terenie Gminy Opole Lubelskie, powiatu opolskiego i województwa lubelskiego w 2023 r. (‰)</w:t>
        </w:r>
        <w:r w:rsidR="0059675A">
          <w:rPr>
            <w:noProof/>
            <w:webHidden/>
          </w:rPr>
          <w:tab/>
        </w:r>
        <w:r w:rsidR="0059675A">
          <w:rPr>
            <w:noProof/>
            <w:webHidden/>
          </w:rPr>
          <w:fldChar w:fldCharType="begin"/>
        </w:r>
        <w:r w:rsidR="0059675A">
          <w:rPr>
            <w:noProof/>
            <w:webHidden/>
          </w:rPr>
          <w:instrText xml:space="preserve"> PAGEREF _Toc189166362 \h </w:instrText>
        </w:r>
        <w:r w:rsidR="0059675A">
          <w:rPr>
            <w:noProof/>
            <w:webHidden/>
          </w:rPr>
        </w:r>
        <w:r w:rsidR="0059675A">
          <w:rPr>
            <w:noProof/>
            <w:webHidden/>
          </w:rPr>
          <w:fldChar w:fldCharType="separate"/>
        </w:r>
        <w:r w:rsidR="008E0CB6">
          <w:rPr>
            <w:noProof/>
            <w:webHidden/>
          </w:rPr>
          <w:t>24</w:t>
        </w:r>
        <w:r w:rsidR="0059675A">
          <w:rPr>
            <w:noProof/>
            <w:webHidden/>
          </w:rPr>
          <w:fldChar w:fldCharType="end"/>
        </w:r>
      </w:hyperlink>
    </w:p>
    <w:p w14:paraId="0A96404B" w14:textId="4A0D427A"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63" w:history="1">
        <w:r w:rsidR="0059675A" w:rsidRPr="00AC7B43">
          <w:rPr>
            <w:rStyle w:val="Hipercze"/>
            <w:rFonts w:eastAsia="Calibri" w:cs="Times New Roman"/>
            <w:b/>
            <w:bCs/>
            <w:noProof/>
          </w:rPr>
          <w:t>Wykres 7. Udział ludności według ekonomicznych grup wieku w ludności ogółem w latach 2014-2023 na terenie Gminy Opole Lubelskie (%)</w:t>
        </w:r>
        <w:r w:rsidR="0059675A">
          <w:rPr>
            <w:noProof/>
            <w:webHidden/>
          </w:rPr>
          <w:tab/>
        </w:r>
        <w:r w:rsidR="0059675A">
          <w:rPr>
            <w:noProof/>
            <w:webHidden/>
          </w:rPr>
          <w:fldChar w:fldCharType="begin"/>
        </w:r>
        <w:r w:rsidR="0059675A">
          <w:rPr>
            <w:noProof/>
            <w:webHidden/>
          </w:rPr>
          <w:instrText xml:space="preserve"> PAGEREF _Toc189166363 \h </w:instrText>
        </w:r>
        <w:r w:rsidR="0059675A">
          <w:rPr>
            <w:noProof/>
            <w:webHidden/>
          </w:rPr>
        </w:r>
        <w:r w:rsidR="0059675A">
          <w:rPr>
            <w:noProof/>
            <w:webHidden/>
          </w:rPr>
          <w:fldChar w:fldCharType="separate"/>
        </w:r>
        <w:r w:rsidR="008E0CB6">
          <w:rPr>
            <w:noProof/>
            <w:webHidden/>
          </w:rPr>
          <w:t>26</w:t>
        </w:r>
        <w:r w:rsidR="0059675A">
          <w:rPr>
            <w:noProof/>
            <w:webHidden/>
          </w:rPr>
          <w:fldChar w:fldCharType="end"/>
        </w:r>
      </w:hyperlink>
    </w:p>
    <w:p w14:paraId="412D390A" w14:textId="411DFC3B"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64" w:history="1">
        <w:r w:rsidR="0059675A" w:rsidRPr="00AC7B43">
          <w:rPr>
            <w:rStyle w:val="Hipercze"/>
            <w:rFonts w:eastAsia="Calibri" w:cs="Times New Roman"/>
            <w:b/>
            <w:bCs/>
            <w:noProof/>
          </w:rPr>
          <w:t>Wykres 8. Udział ludności według ekonomicznych grup wieku w ludności ogółem w 2023 r. na terenie Gminy Opole Lubelskie, powiatu opolskiego oraz województwa lubelskiego (%)</w:t>
        </w:r>
        <w:r w:rsidR="0059675A">
          <w:rPr>
            <w:noProof/>
            <w:webHidden/>
          </w:rPr>
          <w:tab/>
        </w:r>
        <w:r w:rsidR="0059675A">
          <w:rPr>
            <w:noProof/>
            <w:webHidden/>
          </w:rPr>
          <w:fldChar w:fldCharType="begin"/>
        </w:r>
        <w:r w:rsidR="0059675A">
          <w:rPr>
            <w:noProof/>
            <w:webHidden/>
          </w:rPr>
          <w:instrText xml:space="preserve"> PAGEREF _Toc189166364 \h </w:instrText>
        </w:r>
        <w:r w:rsidR="0059675A">
          <w:rPr>
            <w:noProof/>
            <w:webHidden/>
          </w:rPr>
        </w:r>
        <w:r w:rsidR="0059675A">
          <w:rPr>
            <w:noProof/>
            <w:webHidden/>
          </w:rPr>
          <w:fldChar w:fldCharType="separate"/>
        </w:r>
        <w:r w:rsidR="008E0CB6">
          <w:rPr>
            <w:noProof/>
            <w:webHidden/>
          </w:rPr>
          <w:t>26</w:t>
        </w:r>
        <w:r w:rsidR="0059675A">
          <w:rPr>
            <w:noProof/>
            <w:webHidden/>
          </w:rPr>
          <w:fldChar w:fldCharType="end"/>
        </w:r>
      </w:hyperlink>
    </w:p>
    <w:p w14:paraId="7EF20C85" w14:textId="70430A34"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65" w:history="1">
        <w:r w:rsidR="0059675A" w:rsidRPr="00AC7B43">
          <w:rPr>
            <w:rStyle w:val="Hipercze"/>
            <w:rFonts w:eastAsia="Calibri" w:cs="Times New Roman"/>
            <w:b/>
            <w:bCs/>
            <w:noProof/>
          </w:rPr>
          <w:t>Wykres 9. Piramida wieku i płci ludności Gminy Opole Lubelskie w 2023 r. (osoby)</w:t>
        </w:r>
        <w:r w:rsidR="0059675A">
          <w:rPr>
            <w:noProof/>
            <w:webHidden/>
          </w:rPr>
          <w:tab/>
        </w:r>
        <w:r w:rsidR="0059675A">
          <w:rPr>
            <w:noProof/>
            <w:webHidden/>
          </w:rPr>
          <w:fldChar w:fldCharType="begin"/>
        </w:r>
        <w:r w:rsidR="0059675A">
          <w:rPr>
            <w:noProof/>
            <w:webHidden/>
          </w:rPr>
          <w:instrText xml:space="preserve"> PAGEREF _Toc189166365 \h </w:instrText>
        </w:r>
        <w:r w:rsidR="0059675A">
          <w:rPr>
            <w:noProof/>
            <w:webHidden/>
          </w:rPr>
        </w:r>
        <w:r w:rsidR="0059675A">
          <w:rPr>
            <w:noProof/>
            <w:webHidden/>
          </w:rPr>
          <w:fldChar w:fldCharType="separate"/>
        </w:r>
        <w:r w:rsidR="008E0CB6">
          <w:rPr>
            <w:noProof/>
            <w:webHidden/>
          </w:rPr>
          <w:t>28</w:t>
        </w:r>
        <w:r w:rsidR="0059675A">
          <w:rPr>
            <w:noProof/>
            <w:webHidden/>
          </w:rPr>
          <w:fldChar w:fldCharType="end"/>
        </w:r>
      </w:hyperlink>
    </w:p>
    <w:p w14:paraId="26D74CFE" w14:textId="20ED41A8"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66" w:history="1">
        <w:r w:rsidR="0059675A" w:rsidRPr="00AC7B43">
          <w:rPr>
            <w:rStyle w:val="Hipercze"/>
            <w:rFonts w:eastAsia="Calibri" w:cs="Times New Roman"/>
            <w:b/>
            <w:bCs/>
            <w:noProof/>
          </w:rPr>
          <w:t>Wykres 10. Poziom wykształcenia ludności Gminy Opole Lubelskie, powiatu opolskiego i województwa lubelskiego w 2021 r. (%)</w:t>
        </w:r>
        <w:r w:rsidR="0059675A">
          <w:rPr>
            <w:noProof/>
            <w:webHidden/>
          </w:rPr>
          <w:tab/>
        </w:r>
        <w:r w:rsidR="0059675A">
          <w:rPr>
            <w:noProof/>
            <w:webHidden/>
          </w:rPr>
          <w:fldChar w:fldCharType="begin"/>
        </w:r>
        <w:r w:rsidR="0059675A">
          <w:rPr>
            <w:noProof/>
            <w:webHidden/>
          </w:rPr>
          <w:instrText xml:space="preserve"> PAGEREF _Toc189166366 \h </w:instrText>
        </w:r>
        <w:r w:rsidR="0059675A">
          <w:rPr>
            <w:noProof/>
            <w:webHidden/>
          </w:rPr>
        </w:r>
        <w:r w:rsidR="0059675A">
          <w:rPr>
            <w:noProof/>
            <w:webHidden/>
          </w:rPr>
          <w:fldChar w:fldCharType="separate"/>
        </w:r>
        <w:r w:rsidR="008E0CB6">
          <w:rPr>
            <w:noProof/>
            <w:webHidden/>
          </w:rPr>
          <w:t>29</w:t>
        </w:r>
        <w:r w:rsidR="0059675A">
          <w:rPr>
            <w:noProof/>
            <w:webHidden/>
          </w:rPr>
          <w:fldChar w:fldCharType="end"/>
        </w:r>
      </w:hyperlink>
    </w:p>
    <w:p w14:paraId="2CB17DB9" w14:textId="1D3BE9CD"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67" w:history="1">
        <w:r w:rsidR="0059675A" w:rsidRPr="00AC7B43">
          <w:rPr>
            <w:rStyle w:val="Hipercze"/>
            <w:rFonts w:eastAsia="Calibri" w:cs="Times New Roman"/>
            <w:b/>
            <w:bCs/>
            <w:noProof/>
          </w:rPr>
          <w:t>Wykres 11. Wyniki egzaminu ósmoklasisty w szkołach na terenie Gminy Opole Lubelskie, powiatu opolskiego i województwa lubelskiego w 2024 r. (%)</w:t>
        </w:r>
        <w:r w:rsidR="0059675A">
          <w:rPr>
            <w:noProof/>
            <w:webHidden/>
          </w:rPr>
          <w:tab/>
        </w:r>
        <w:r w:rsidR="0059675A">
          <w:rPr>
            <w:noProof/>
            <w:webHidden/>
          </w:rPr>
          <w:fldChar w:fldCharType="begin"/>
        </w:r>
        <w:r w:rsidR="0059675A">
          <w:rPr>
            <w:noProof/>
            <w:webHidden/>
          </w:rPr>
          <w:instrText xml:space="preserve"> PAGEREF _Toc189166367 \h </w:instrText>
        </w:r>
        <w:r w:rsidR="0059675A">
          <w:rPr>
            <w:noProof/>
            <w:webHidden/>
          </w:rPr>
        </w:r>
        <w:r w:rsidR="0059675A">
          <w:rPr>
            <w:noProof/>
            <w:webHidden/>
          </w:rPr>
          <w:fldChar w:fldCharType="separate"/>
        </w:r>
        <w:r w:rsidR="008E0CB6">
          <w:rPr>
            <w:noProof/>
            <w:webHidden/>
          </w:rPr>
          <w:t>29</w:t>
        </w:r>
        <w:r w:rsidR="0059675A">
          <w:rPr>
            <w:noProof/>
            <w:webHidden/>
          </w:rPr>
          <w:fldChar w:fldCharType="end"/>
        </w:r>
      </w:hyperlink>
    </w:p>
    <w:p w14:paraId="3030E6B1" w14:textId="73F61448"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68" w:history="1">
        <w:r w:rsidR="0059675A" w:rsidRPr="00AC7B43">
          <w:rPr>
            <w:rStyle w:val="Hipercze"/>
            <w:rFonts w:eastAsia="Calibri" w:cs="Times New Roman"/>
            <w:b/>
            <w:bCs/>
            <w:noProof/>
          </w:rPr>
          <w:t>Wykres 12. Wyniki egzaminu maturalnego w szkołach na terenie Gminy Opole Lubelskie, powiatu opolskiego i województwa lubelskiego w 2024 r. (%)</w:t>
        </w:r>
        <w:r w:rsidR="0059675A">
          <w:rPr>
            <w:noProof/>
            <w:webHidden/>
          </w:rPr>
          <w:tab/>
        </w:r>
        <w:r w:rsidR="0059675A">
          <w:rPr>
            <w:noProof/>
            <w:webHidden/>
          </w:rPr>
          <w:fldChar w:fldCharType="begin"/>
        </w:r>
        <w:r w:rsidR="0059675A">
          <w:rPr>
            <w:noProof/>
            <w:webHidden/>
          </w:rPr>
          <w:instrText xml:space="preserve"> PAGEREF _Toc189166368 \h </w:instrText>
        </w:r>
        <w:r w:rsidR="0059675A">
          <w:rPr>
            <w:noProof/>
            <w:webHidden/>
          </w:rPr>
        </w:r>
        <w:r w:rsidR="0059675A">
          <w:rPr>
            <w:noProof/>
            <w:webHidden/>
          </w:rPr>
          <w:fldChar w:fldCharType="separate"/>
        </w:r>
        <w:r w:rsidR="008E0CB6">
          <w:rPr>
            <w:noProof/>
            <w:webHidden/>
          </w:rPr>
          <w:t>30</w:t>
        </w:r>
        <w:r w:rsidR="0059675A">
          <w:rPr>
            <w:noProof/>
            <w:webHidden/>
          </w:rPr>
          <w:fldChar w:fldCharType="end"/>
        </w:r>
      </w:hyperlink>
    </w:p>
    <w:p w14:paraId="5F0EEEE3" w14:textId="1BDABD74"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69" w:history="1">
        <w:r w:rsidR="0059675A" w:rsidRPr="00AC7B43">
          <w:rPr>
            <w:rStyle w:val="Hipercze"/>
            <w:rFonts w:eastAsia="Calibri" w:cs="Times New Roman"/>
            <w:b/>
            <w:bCs/>
            <w:noProof/>
          </w:rPr>
          <w:t>Wykres 13. Frekwencja wyborcza w wyborach powszechnych na terenie Gminy Opole Lubelskie, powiatu opolskiego i województwa lubelskiego (%)</w:t>
        </w:r>
        <w:r w:rsidR="0059675A">
          <w:rPr>
            <w:noProof/>
            <w:webHidden/>
          </w:rPr>
          <w:tab/>
        </w:r>
        <w:r w:rsidR="0059675A">
          <w:rPr>
            <w:noProof/>
            <w:webHidden/>
          </w:rPr>
          <w:fldChar w:fldCharType="begin"/>
        </w:r>
        <w:r w:rsidR="0059675A">
          <w:rPr>
            <w:noProof/>
            <w:webHidden/>
          </w:rPr>
          <w:instrText xml:space="preserve"> PAGEREF _Toc189166369 \h </w:instrText>
        </w:r>
        <w:r w:rsidR="0059675A">
          <w:rPr>
            <w:noProof/>
            <w:webHidden/>
          </w:rPr>
        </w:r>
        <w:r w:rsidR="0059675A">
          <w:rPr>
            <w:noProof/>
            <w:webHidden/>
          </w:rPr>
          <w:fldChar w:fldCharType="separate"/>
        </w:r>
        <w:r w:rsidR="008E0CB6">
          <w:rPr>
            <w:noProof/>
            <w:webHidden/>
          </w:rPr>
          <w:t>31</w:t>
        </w:r>
        <w:r w:rsidR="0059675A">
          <w:rPr>
            <w:noProof/>
            <w:webHidden/>
          </w:rPr>
          <w:fldChar w:fldCharType="end"/>
        </w:r>
      </w:hyperlink>
    </w:p>
    <w:p w14:paraId="5AEF6B75" w14:textId="5042EDD9"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70" w:history="1">
        <w:r w:rsidR="0059675A" w:rsidRPr="00AC7B43">
          <w:rPr>
            <w:rStyle w:val="Hipercze"/>
            <w:rFonts w:eastAsia="Calibri" w:cs="Times New Roman"/>
            <w:b/>
            <w:bCs/>
            <w:noProof/>
          </w:rPr>
          <w:t>Wykres 14. Liczba organizacji pozarządowych na 1 000 mieszkańców w 2023 r. na terenie Gminy Opole Lubelskie, powiatu opolskiego i województwa lubelskiego (%)</w:t>
        </w:r>
        <w:r w:rsidR="0059675A">
          <w:rPr>
            <w:noProof/>
            <w:webHidden/>
          </w:rPr>
          <w:tab/>
        </w:r>
        <w:r w:rsidR="0059675A">
          <w:rPr>
            <w:noProof/>
            <w:webHidden/>
          </w:rPr>
          <w:fldChar w:fldCharType="begin"/>
        </w:r>
        <w:r w:rsidR="0059675A">
          <w:rPr>
            <w:noProof/>
            <w:webHidden/>
          </w:rPr>
          <w:instrText xml:space="preserve"> PAGEREF _Toc189166370 \h </w:instrText>
        </w:r>
        <w:r w:rsidR="0059675A">
          <w:rPr>
            <w:noProof/>
            <w:webHidden/>
          </w:rPr>
        </w:r>
        <w:r w:rsidR="0059675A">
          <w:rPr>
            <w:noProof/>
            <w:webHidden/>
          </w:rPr>
          <w:fldChar w:fldCharType="separate"/>
        </w:r>
        <w:r w:rsidR="008E0CB6">
          <w:rPr>
            <w:noProof/>
            <w:webHidden/>
          </w:rPr>
          <w:t>32</w:t>
        </w:r>
        <w:r w:rsidR="0059675A">
          <w:rPr>
            <w:noProof/>
            <w:webHidden/>
          </w:rPr>
          <w:fldChar w:fldCharType="end"/>
        </w:r>
      </w:hyperlink>
    </w:p>
    <w:p w14:paraId="2DFA3E0C" w14:textId="77CA2B44"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71" w:history="1">
        <w:r w:rsidR="0059675A" w:rsidRPr="00AC7B43">
          <w:rPr>
            <w:rStyle w:val="Hipercze"/>
            <w:rFonts w:eastAsia="Calibri" w:cs="Times New Roman"/>
            <w:b/>
            <w:bCs/>
            <w:noProof/>
          </w:rPr>
          <w:t>Wykres 15. Osoby prowadzące działalność gospodarczą na 1 000 mieszkańców oraz 100 osób w wieku produkcyjnym w 2023 r. na terenie Gminy Opole Lubelskie, powiatu opolskie i województwa lubelskiego (osoby)</w:t>
        </w:r>
        <w:r w:rsidR="0059675A">
          <w:rPr>
            <w:noProof/>
            <w:webHidden/>
          </w:rPr>
          <w:tab/>
        </w:r>
        <w:r w:rsidR="0059675A">
          <w:rPr>
            <w:noProof/>
            <w:webHidden/>
          </w:rPr>
          <w:fldChar w:fldCharType="begin"/>
        </w:r>
        <w:r w:rsidR="0059675A">
          <w:rPr>
            <w:noProof/>
            <w:webHidden/>
          </w:rPr>
          <w:instrText xml:space="preserve"> PAGEREF _Toc189166371 \h </w:instrText>
        </w:r>
        <w:r w:rsidR="0059675A">
          <w:rPr>
            <w:noProof/>
            <w:webHidden/>
          </w:rPr>
        </w:r>
        <w:r w:rsidR="0059675A">
          <w:rPr>
            <w:noProof/>
            <w:webHidden/>
          </w:rPr>
          <w:fldChar w:fldCharType="separate"/>
        </w:r>
        <w:r w:rsidR="008E0CB6">
          <w:rPr>
            <w:noProof/>
            <w:webHidden/>
          </w:rPr>
          <w:t>33</w:t>
        </w:r>
        <w:r w:rsidR="0059675A">
          <w:rPr>
            <w:noProof/>
            <w:webHidden/>
          </w:rPr>
          <w:fldChar w:fldCharType="end"/>
        </w:r>
      </w:hyperlink>
    </w:p>
    <w:p w14:paraId="742B2454" w14:textId="44F80E7A"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72" w:history="1">
        <w:r w:rsidR="0059675A" w:rsidRPr="00AC7B43">
          <w:rPr>
            <w:rStyle w:val="Hipercze"/>
            <w:rFonts w:eastAsia="Calibri" w:cs="Times New Roman"/>
            <w:b/>
            <w:bCs/>
            <w:noProof/>
          </w:rPr>
          <w:t>Wykres 16. Liczba pracujących na 1 000 mieszkańców oraz liczba pracujących na 1 000 mieszkańców w wieku produkcyjnym w 2023 r. na terenie Gminy Opole Lubelskie, powiatu opolskiego i województwa lubelskiego (osoby)</w:t>
        </w:r>
        <w:r w:rsidR="0059675A">
          <w:rPr>
            <w:noProof/>
            <w:webHidden/>
          </w:rPr>
          <w:tab/>
        </w:r>
        <w:r w:rsidR="0059675A">
          <w:rPr>
            <w:noProof/>
            <w:webHidden/>
          </w:rPr>
          <w:fldChar w:fldCharType="begin"/>
        </w:r>
        <w:r w:rsidR="0059675A">
          <w:rPr>
            <w:noProof/>
            <w:webHidden/>
          </w:rPr>
          <w:instrText xml:space="preserve"> PAGEREF _Toc189166372 \h </w:instrText>
        </w:r>
        <w:r w:rsidR="0059675A">
          <w:rPr>
            <w:noProof/>
            <w:webHidden/>
          </w:rPr>
        </w:r>
        <w:r w:rsidR="0059675A">
          <w:rPr>
            <w:noProof/>
            <w:webHidden/>
          </w:rPr>
          <w:fldChar w:fldCharType="separate"/>
        </w:r>
        <w:r w:rsidR="008E0CB6">
          <w:rPr>
            <w:noProof/>
            <w:webHidden/>
          </w:rPr>
          <w:t>37</w:t>
        </w:r>
        <w:r w:rsidR="0059675A">
          <w:rPr>
            <w:noProof/>
            <w:webHidden/>
          </w:rPr>
          <w:fldChar w:fldCharType="end"/>
        </w:r>
      </w:hyperlink>
    </w:p>
    <w:p w14:paraId="361D9FC8" w14:textId="51CED450"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73" w:history="1">
        <w:r w:rsidR="0059675A" w:rsidRPr="00AC7B43">
          <w:rPr>
            <w:rStyle w:val="Hipercze"/>
            <w:rFonts w:eastAsia="Calibri" w:cs="Times New Roman"/>
            <w:b/>
            <w:bCs/>
            <w:noProof/>
          </w:rPr>
          <w:t>Wykres 17. Liczba bezrobotnych na terenie Gminy Opole Lubelskie w latach 2014-2023 (osoby)</w:t>
        </w:r>
        <w:r w:rsidR="0059675A">
          <w:rPr>
            <w:noProof/>
            <w:webHidden/>
          </w:rPr>
          <w:tab/>
        </w:r>
        <w:r w:rsidR="0059675A">
          <w:rPr>
            <w:noProof/>
            <w:webHidden/>
          </w:rPr>
          <w:fldChar w:fldCharType="begin"/>
        </w:r>
        <w:r w:rsidR="0059675A">
          <w:rPr>
            <w:noProof/>
            <w:webHidden/>
          </w:rPr>
          <w:instrText xml:space="preserve"> PAGEREF _Toc189166373 \h </w:instrText>
        </w:r>
        <w:r w:rsidR="0059675A">
          <w:rPr>
            <w:noProof/>
            <w:webHidden/>
          </w:rPr>
        </w:r>
        <w:r w:rsidR="0059675A">
          <w:rPr>
            <w:noProof/>
            <w:webHidden/>
          </w:rPr>
          <w:fldChar w:fldCharType="separate"/>
        </w:r>
        <w:r w:rsidR="008E0CB6">
          <w:rPr>
            <w:noProof/>
            <w:webHidden/>
          </w:rPr>
          <w:t>39</w:t>
        </w:r>
        <w:r w:rsidR="0059675A">
          <w:rPr>
            <w:noProof/>
            <w:webHidden/>
          </w:rPr>
          <w:fldChar w:fldCharType="end"/>
        </w:r>
      </w:hyperlink>
    </w:p>
    <w:p w14:paraId="29877979" w14:textId="3DEFD56F"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74" w:history="1">
        <w:r w:rsidR="0059675A" w:rsidRPr="00AC7B43">
          <w:rPr>
            <w:rStyle w:val="Hipercze"/>
            <w:rFonts w:eastAsia="Calibri" w:cs="Times New Roman"/>
            <w:b/>
            <w:bCs/>
            <w:noProof/>
          </w:rPr>
          <w:t>Wykres 18. Liczba bezrobotnych na 100 mieszkańców w wieku produkcyjnym w 2023 r. na terenie Gminy Opole Lubelskie, powiatu opolskiego i województwa lubelskiego (osoby)</w:t>
        </w:r>
        <w:r w:rsidR="0059675A">
          <w:rPr>
            <w:noProof/>
            <w:webHidden/>
          </w:rPr>
          <w:tab/>
        </w:r>
        <w:r w:rsidR="0059675A">
          <w:rPr>
            <w:noProof/>
            <w:webHidden/>
          </w:rPr>
          <w:fldChar w:fldCharType="begin"/>
        </w:r>
        <w:r w:rsidR="0059675A">
          <w:rPr>
            <w:noProof/>
            <w:webHidden/>
          </w:rPr>
          <w:instrText xml:space="preserve"> PAGEREF _Toc189166374 \h </w:instrText>
        </w:r>
        <w:r w:rsidR="0059675A">
          <w:rPr>
            <w:noProof/>
            <w:webHidden/>
          </w:rPr>
        </w:r>
        <w:r w:rsidR="0059675A">
          <w:rPr>
            <w:noProof/>
            <w:webHidden/>
          </w:rPr>
          <w:fldChar w:fldCharType="separate"/>
        </w:r>
        <w:r w:rsidR="008E0CB6">
          <w:rPr>
            <w:noProof/>
            <w:webHidden/>
          </w:rPr>
          <w:t>39</w:t>
        </w:r>
        <w:r w:rsidR="0059675A">
          <w:rPr>
            <w:noProof/>
            <w:webHidden/>
          </w:rPr>
          <w:fldChar w:fldCharType="end"/>
        </w:r>
      </w:hyperlink>
    </w:p>
    <w:p w14:paraId="4D4BEB2D" w14:textId="711F6D2B"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75" w:history="1">
        <w:r w:rsidR="0059675A" w:rsidRPr="00AC7B43">
          <w:rPr>
            <w:rStyle w:val="Hipercze"/>
            <w:rFonts w:eastAsia="Calibri" w:cs="Times New Roman"/>
            <w:b/>
            <w:bCs/>
            <w:noProof/>
          </w:rPr>
          <w:t>Wykres 19. Struktura bezrobocia w 2023 r. na terenie Gminy Opole Lubelskie, powiatu opolskiego i województwa lubelskiego (osoby)</w:t>
        </w:r>
        <w:r w:rsidR="0059675A">
          <w:rPr>
            <w:noProof/>
            <w:webHidden/>
          </w:rPr>
          <w:tab/>
        </w:r>
        <w:r w:rsidR="0059675A">
          <w:rPr>
            <w:noProof/>
            <w:webHidden/>
          </w:rPr>
          <w:fldChar w:fldCharType="begin"/>
        </w:r>
        <w:r w:rsidR="0059675A">
          <w:rPr>
            <w:noProof/>
            <w:webHidden/>
          </w:rPr>
          <w:instrText xml:space="preserve"> PAGEREF _Toc189166375 \h </w:instrText>
        </w:r>
        <w:r w:rsidR="0059675A">
          <w:rPr>
            <w:noProof/>
            <w:webHidden/>
          </w:rPr>
        </w:r>
        <w:r w:rsidR="0059675A">
          <w:rPr>
            <w:noProof/>
            <w:webHidden/>
          </w:rPr>
          <w:fldChar w:fldCharType="separate"/>
        </w:r>
        <w:r w:rsidR="008E0CB6">
          <w:rPr>
            <w:noProof/>
            <w:webHidden/>
          </w:rPr>
          <w:t>40</w:t>
        </w:r>
        <w:r w:rsidR="0059675A">
          <w:rPr>
            <w:noProof/>
            <w:webHidden/>
          </w:rPr>
          <w:fldChar w:fldCharType="end"/>
        </w:r>
      </w:hyperlink>
    </w:p>
    <w:p w14:paraId="7489FD7A" w14:textId="2C2DD224"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76" w:history="1">
        <w:r w:rsidR="0059675A" w:rsidRPr="00AC7B43">
          <w:rPr>
            <w:rStyle w:val="Hipercze"/>
            <w:rFonts w:eastAsia="Calibri" w:cs="Times New Roman"/>
            <w:b/>
            <w:bCs/>
            <w:noProof/>
          </w:rPr>
          <w:t>Wykres 20. Wskaźniki dotyczące struktury bezrobocia w latach 2014-2023 na terenie Gminy Opole Lubelskie (%)</w:t>
        </w:r>
        <w:r w:rsidR="0059675A">
          <w:rPr>
            <w:noProof/>
            <w:webHidden/>
          </w:rPr>
          <w:tab/>
        </w:r>
        <w:r w:rsidR="0059675A">
          <w:rPr>
            <w:noProof/>
            <w:webHidden/>
          </w:rPr>
          <w:fldChar w:fldCharType="begin"/>
        </w:r>
        <w:r w:rsidR="0059675A">
          <w:rPr>
            <w:noProof/>
            <w:webHidden/>
          </w:rPr>
          <w:instrText xml:space="preserve"> PAGEREF _Toc189166376 \h </w:instrText>
        </w:r>
        <w:r w:rsidR="0059675A">
          <w:rPr>
            <w:noProof/>
            <w:webHidden/>
          </w:rPr>
        </w:r>
        <w:r w:rsidR="0059675A">
          <w:rPr>
            <w:noProof/>
            <w:webHidden/>
          </w:rPr>
          <w:fldChar w:fldCharType="separate"/>
        </w:r>
        <w:r w:rsidR="008E0CB6">
          <w:rPr>
            <w:noProof/>
            <w:webHidden/>
          </w:rPr>
          <w:t>41</w:t>
        </w:r>
        <w:r w:rsidR="0059675A">
          <w:rPr>
            <w:noProof/>
            <w:webHidden/>
          </w:rPr>
          <w:fldChar w:fldCharType="end"/>
        </w:r>
      </w:hyperlink>
    </w:p>
    <w:p w14:paraId="6CCE333E" w14:textId="57C65404"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77" w:history="1">
        <w:r w:rsidR="0059675A" w:rsidRPr="00AC7B43">
          <w:rPr>
            <w:rStyle w:val="Hipercze"/>
            <w:rFonts w:eastAsia="Calibri" w:cs="Times New Roman"/>
            <w:b/>
            <w:bCs/>
            <w:noProof/>
          </w:rPr>
          <w:t>Wykres 21. Gospodarstwa rolne w Gminie Opole Lubelskie według źródeł dochodów (liczba)</w:t>
        </w:r>
        <w:r w:rsidR="0059675A">
          <w:rPr>
            <w:noProof/>
            <w:webHidden/>
          </w:rPr>
          <w:tab/>
        </w:r>
        <w:r w:rsidR="0059675A">
          <w:rPr>
            <w:noProof/>
            <w:webHidden/>
          </w:rPr>
          <w:fldChar w:fldCharType="begin"/>
        </w:r>
        <w:r w:rsidR="0059675A">
          <w:rPr>
            <w:noProof/>
            <w:webHidden/>
          </w:rPr>
          <w:instrText xml:space="preserve"> PAGEREF _Toc189166377 \h </w:instrText>
        </w:r>
        <w:r w:rsidR="0059675A">
          <w:rPr>
            <w:noProof/>
            <w:webHidden/>
          </w:rPr>
        </w:r>
        <w:r w:rsidR="0059675A">
          <w:rPr>
            <w:noProof/>
            <w:webHidden/>
          </w:rPr>
          <w:fldChar w:fldCharType="separate"/>
        </w:r>
        <w:r w:rsidR="008E0CB6">
          <w:rPr>
            <w:noProof/>
            <w:webHidden/>
          </w:rPr>
          <w:t>44</w:t>
        </w:r>
        <w:r w:rsidR="0059675A">
          <w:rPr>
            <w:noProof/>
            <w:webHidden/>
          </w:rPr>
          <w:fldChar w:fldCharType="end"/>
        </w:r>
      </w:hyperlink>
    </w:p>
    <w:p w14:paraId="3D90D087" w14:textId="736F2B65"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78" w:history="1">
        <w:r w:rsidR="0059675A" w:rsidRPr="00AC7B43">
          <w:rPr>
            <w:rStyle w:val="Hipercze"/>
            <w:rFonts w:eastAsia="Calibri" w:cs="Times New Roman"/>
            <w:b/>
            <w:bCs/>
            <w:noProof/>
          </w:rPr>
          <w:t>Wykres 22. Gospodarstwa rolne w Gminie Opole Lubelskie według grup obszarowych użytków rolnych (liczba)</w:t>
        </w:r>
        <w:r w:rsidR="0059675A">
          <w:rPr>
            <w:noProof/>
            <w:webHidden/>
          </w:rPr>
          <w:tab/>
        </w:r>
        <w:r w:rsidR="0059675A">
          <w:rPr>
            <w:noProof/>
            <w:webHidden/>
          </w:rPr>
          <w:fldChar w:fldCharType="begin"/>
        </w:r>
        <w:r w:rsidR="0059675A">
          <w:rPr>
            <w:noProof/>
            <w:webHidden/>
          </w:rPr>
          <w:instrText xml:space="preserve"> PAGEREF _Toc189166378 \h </w:instrText>
        </w:r>
        <w:r w:rsidR="0059675A">
          <w:rPr>
            <w:noProof/>
            <w:webHidden/>
          </w:rPr>
        </w:r>
        <w:r w:rsidR="0059675A">
          <w:rPr>
            <w:noProof/>
            <w:webHidden/>
          </w:rPr>
          <w:fldChar w:fldCharType="separate"/>
        </w:r>
        <w:r w:rsidR="008E0CB6">
          <w:rPr>
            <w:noProof/>
            <w:webHidden/>
          </w:rPr>
          <w:t>45</w:t>
        </w:r>
        <w:r w:rsidR="0059675A">
          <w:rPr>
            <w:noProof/>
            <w:webHidden/>
          </w:rPr>
          <w:fldChar w:fldCharType="end"/>
        </w:r>
      </w:hyperlink>
    </w:p>
    <w:p w14:paraId="779CA062" w14:textId="696A57BB"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79" w:history="1">
        <w:r w:rsidR="0059675A" w:rsidRPr="00AC7B43">
          <w:rPr>
            <w:rStyle w:val="Hipercze"/>
            <w:rFonts w:eastAsia="Calibri" w:cs="Times New Roman"/>
            <w:b/>
            <w:bCs/>
            <w:noProof/>
          </w:rPr>
          <w:t>Wykres 23. Liczba podmiotów gospodarki narodowej wpisanych do rejestru REGON na terenie Gminy Opole Lubelskie w latach 2014-2023 (podmioty)</w:t>
        </w:r>
        <w:r w:rsidR="0059675A">
          <w:rPr>
            <w:noProof/>
            <w:webHidden/>
          </w:rPr>
          <w:tab/>
        </w:r>
        <w:r w:rsidR="0059675A">
          <w:rPr>
            <w:noProof/>
            <w:webHidden/>
          </w:rPr>
          <w:fldChar w:fldCharType="begin"/>
        </w:r>
        <w:r w:rsidR="0059675A">
          <w:rPr>
            <w:noProof/>
            <w:webHidden/>
          </w:rPr>
          <w:instrText xml:space="preserve"> PAGEREF _Toc189166379 \h </w:instrText>
        </w:r>
        <w:r w:rsidR="0059675A">
          <w:rPr>
            <w:noProof/>
            <w:webHidden/>
          </w:rPr>
        </w:r>
        <w:r w:rsidR="0059675A">
          <w:rPr>
            <w:noProof/>
            <w:webHidden/>
          </w:rPr>
          <w:fldChar w:fldCharType="separate"/>
        </w:r>
        <w:r w:rsidR="008E0CB6">
          <w:rPr>
            <w:noProof/>
            <w:webHidden/>
          </w:rPr>
          <w:t>46</w:t>
        </w:r>
        <w:r w:rsidR="0059675A">
          <w:rPr>
            <w:noProof/>
            <w:webHidden/>
          </w:rPr>
          <w:fldChar w:fldCharType="end"/>
        </w:r>
      </w:hyperlink>
    </w:p>
    <w:p w14:paraId="4EC1CB88" w14:textId="3F37B1A8"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80" w:history="1">
        <w:r w:rsidR="0059675A" w:rsidRPr="00AC7B43">
          <w:rPr>
            <w:rStyle w:val="Hipercze"/>
            <w:rFonts w:eastAsia="Calibri" w:cs="Times New Roman"/>
            <w:b/>
            <w:bCs/>
            <w:noProof/>
          </w:rPr>
          <w:t>Wykres 24. Liczba podmiotów nowo zarejestrowanych i wyrejestrowanych w latach 2014-2023 na terenie Gminy Opole Lubelskie (podmioty)</w:t>
        </w:r>
        <w:r w:rsidR="0059675A">
          <w:rPr>
            <w:noProof/>
            <w:webHidden/>
          </w:rPr>
          <w:tab/>
        </w:r>
        <w:r w:rsidR="0059675A">
          <w:rPr>
            <w:noProof/>
            <w:webHidden/>
          </w:rPr>
          <w:fldChar w:fldCharType="begin"/>
        </w:r>
        <w:r w:rsidR="0059675A">
          <w:rPr>
            <w:noProof/>
            <w:webHidden/>
          </w:rPr>
          <w:instrText xml:space="preserve"> PAGEREF _Toc189166380 \h </w:instrText>
        </w:r>
        <w:r w:rsidR="0059675A">
          <w:rPr>
            <w:noProof/>
            <w:webHidden/>
          </w:rPr>
        </w:r>
        <w:r w:rsidR="0059675A">
          <w:rPr>
            <w:noProof/>
            <w:webHidden/>
          </w:rPr>
          <w:fldChar w:fldCharType="separate"/>
        </w:r>
        <w:r w:rsidR="008E0CB6">
          <w:rPr>
            <w:noProof/>
            <w:webHidden/>
          </w:rPr>
          <w:t>47</w:t>
        </w:r>
        <w:r w:rsidR="0059675A">
          <w:rPr>
            <w:noProof/>
            <w:webHidden/>
          </w:rPr>
          <w:fldChar w:fldCharType="end"/>
        </w:r>
      </w:hyperlink>
    </w:p>
    <w:p w14:paraId="7BAA0B07" w14:textId="699A6297"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81" w:history="1">
        <w:r w:rsidR="0059675A" w:rsidRPr="00AC7B43">
          <w:rPr>
            <w:rStyle w:val="Hipercze"/>
            <w:rFonts w:eastAsia="Calibri" w:cs="Times New Roman"/>
            <w:b/>
            <w:bCs/>
            <w:noProof/>
          </w:rPr>
          <w:t>Wykres 25. Wskaźnik przedsiębiorczości (liczba podmiotów wpisanych do rejestru REGON na 1 000 ludności w wieku produkcyjnym) w 2023 r. na terenie Gminy Opole Lubelskie, powiatu opolskiego i województwa lubelskiego (podmioty)</w:t>
        </w:r>
        <w:r w:rsidR="0059675A">
          <w:rPr>
            <w:noProof/>
            <w:webHidden/>
          </w:rPr>
          <w:tab/>
        </w:r>
        <w:r w:rsidR="0059675A">
          <w:rPr>
            <w:noProof/>
            <w:webHidden/>
          </w:rPr>
          <w:fldChar w:fldCharType="begin"/>
        </w:r>
        <w:r w:rsidR="0059675A">
          <w:rPr>
            <w:noProof/>
            <w:webHidden/>
          </w:rPr>
          <w:instrText xml:space="preserve"> PAGEREF _Toc189166381 \h </w:instrText>
        </w:r>
        <w:r w:rsidR="0059675A">
          <w:rPr>
            <w:noProof/>
            <w:webHidden/>
          </w:rPr>
        </w:r>
        <w:r w:rsidR="0059675A">
          <w:rPr>
            <w:noProof/>
            <w:webHidden/>
          </w:rPr>
          <w:fldChar w:fldCharType="separate"/>
        </w:r>
        <w:r w:rsidR="008E0CB6">
          <w:rPr>
            <w:noProof/>
            <w:webHidden/>
          </w:rPr>
          <w:t>47</w:t>
        </w:r>
        <w:r w:rsidR="0059675A">
          <w:rPr>
            <w:noProof/>
            <w:webHidden/>
          </w:rPr>
          <w:fldChar w:fldCharType="end"/>
        </w:r>
      </w:hyperlink>
    </w:p>
    <w:p w14:paraId="4575F797" w14:textId="4186367F"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82" w:history="1">
        <w:r w:rsidR="0059675A" w:rsidRPr="00AC7B43">
          <w:rPr>
            <w:rStyle w:val="Hipercze"/>
            <w:rFonts w:eastAsia="Calibri" w:cs="Times New Roman"/>
            <w:b/>
            <w:bCs/>
            <w:noProof/>
          </w:rPr>
          <w:t>Wykres 26. Podmioty gospodarki narodowej na terenie Gminy Opole Lubelskie według sekcji PKD (%)</w:t>
        </w:r>
        <w:r w:rsidR="0059675A">
          <w:rPr>
            <w:noProof/>
            <w:webHidden/>
          </w:rPr>
          <w:tab/>
        </w:r>
        <w:r w:rsidR="0059675A">
          <w:rPr>
            <w:noProof/>
            <w:webHidden/>
          </w:rPr>
          <w:fldChar w:fldCharType="begin"/>
        </w:r>
        <w:r w:rsidR="0059675A">
          <w:rPr>
            <w:noProof/>
            <w:webHidden/>
          </w:rPr>
          <w:instrText xml:space="preserve"> PAGEREF _Toc189166382 \h </w:instrText>
        </w:r>
        <w:r w:rsidR="0059675A">
          <w:rPr>
            <w:noProof/>
            <w:webHidden/>
          </w:rPr>
        </w:r>
        <w:r w:rsidR="0059675A">
          <w:rPr>
            <w:noProof/>
            <w:webHidden/>
          </w:rPr>
          <w:fldChar w:fldCharType="separate"/>
        </w:r>
        <w:r w:rsidR="008E0CB6">
          <w:rPr>
            <w:noProof/>
            <w:webHidden/>
          </w:rPr>
          <w:t>49</w:t>
        </w:r>
        <w:r w:rsidR="0059675A">
          <w:rPr>
            <w:noProof/>
            <w:webHidden/>
          </w:rPr>
          <w:fldChar w:fldCharType="end"/>
        </w:r>
      </w:hyperlink>
    </w:p>
    <w:p w14:paraId="59A832FF" w14:textId="00F5E7D2"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83" w:history="1">
        <w:r w:rsidR="0059675A" w:rsidRPr="00AC7B43">
          <w:rPr>
            <w:rStyle w:val="Hipercze"/>
            <w:rFonts w:eastAsia="Calibri" w:cs="Times New Roman"/>
            <w:b/>
            <w:bCs/>
            <w:noProof/>
          </w:rPr>
          <w:t>Wykres 27. Liczba turystów, którym udzielono noclegów na terenie powiatu opolskiego w latach 2014-2023 (osoby)</w:t>
        </w:r>
        <w:r w:rsidR="0059675A">
          <w:rPr>
            <w:noProof/>
            <w:webHidden/>
          </w:rPr>
          <w:tab/>
        </w:r>
        <w:r w:rsidR="0059675A">
          <w:rPr>
            <w:noProof/>
            <w:webHidden/>
          </w:rPr>
          <w:fldChar w:fldCharType="begin"/>
        </w:r>
        <w:r w:rsidR="0059675A">
          <w:rPr>
            <w:noProof/>
            <w:webHidden/>
          </w:rPr>
          <w:instrText xml:space="preserve"> PAGEREF _Toc189166383 \h </w:instrText>
        </w:r>
        <w:r w:rsidR="0059675A">
          <w:rPr>
            <w:noProof/>
            <w:webHidden/>
          </w:rPr>
        </w:r>
        <w:r w:rsidR="0059675A">
          <w:rPr>
            <w:noProof/>
            <w:webHidden/>
          </w:rPr>
          <w:fldChar w:fldCharType="separate"/>
        </w:r>
        <w:r w:rsidR="008E0CB6">
          <w:rPr>
            <w:noProof/>
            <w:webHidden/>
          </w:rPr>
          <w:t>53</w:t>
        </w:r>
        <w:r w:rsidR="0059675A">
          <w:rPr>
            <w:noProof/>
            <w:webHidden/>
          </w:rPr>
          <w:fldChar w:fldCharType="end"/>
        </w:r>
      </w:hyperlink>
    </w:p>
    <w:p w14:paraId="24B943FE" w14:textId="2B696F14"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84" w:history="1">
        <w:r w:rsidR="0059675A" w:rsidRPr="00AC7B43">
          <w:rPr>
            <w:rStyle w:val="Hipercze"/>
            <w:rFonts w:cs="Times New Roman"/>
            <w:b/>
            <w:bCs/>
            <w:noProof/>
          </w:rPr>
          <w:t>Wykres 28. Odsetek mieszkańców korzystających z sieci wodociągowej na terenie Gminy Opole Lubelskie, powiatu opolskiego i województwa lubelskiego w 2022 r. (%)</w:t>
        </w:r>
        <w:r w:rsidR="0059675A">
          <w:rPr>
            <w:noProof/>
            <w:webHidden/>
          </w:rPr>
          <w:tab/>
        </w:r>
        <w:r w:rsidR="0059675A">
          <w:rPr>
            <w:noProof/>
            <w:webHidden/>
          </w:rPr>
          <w:fldChar w:fldCharType="begin"/>
        </w:r>
        <w:r w:rsidR="0059675A">
          <w:rPr>
            <w:noProof/>
            <w:webHidden/>
          </w:rPr>
          <w:instrText xml:space="preserve"> PAGEREF _Toc189166384 \h </w:instrText>
        </w:r>
        <w:r w:rsidR="0059675A">
          <w:rPr>
            <w:noProof/>
            <w:webHidden/>
          </w:rPr>
        </w:r>
        <w:r w:rsidR="0059675A">
          <w:rPr>
            <w:noProof/>
            <w:webHidden/>
          </w:rPr>
          <w:fldChar w:fldCharType="separate"/>
        </w:r>
        <w:r w:rsidR="008E0CB6">
          <w:rPr>
            <w:noProof/>
            <w:webHidden/>
          </w:rPr>
          <w:t>62</w:t>
        </w:r>
        <w:r w:rsidR="0059675A">
          <w:rPr>
            <w:noProof/>
            <w:webHidden/>
          </w:rPr>
          <w:fldChar w:fldCharType="end"/>
        </w:r>
      </w:hyperlink>
    </w:p>
    <w:p w14:paraId="72723B91" w14:textId="07FD56E6"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85" w:history="1">
        <w:r w:rsidR="0059675A" w:rsidRPr="00AC7B43">
          <w:rPr>
            <w:rStyle w:val="Hipercze"/>
            <w:rFonts w:eastAsia="Calibri" w:cs="Times New Roman"/>
            <w:b/>
            <w:bCs/>
            <w:noProof/>
          </w:rPr>
          <w:t>Wykres 29. Odsetek mieszkańców korzystających z sieci kanalizacyjnej na terenie Gminy Opole Lubelskie, powiatu opolskiego i województwa lubelskiego w 2022 r. (%)</w:t>
        </w:r>
        <w:r w:rsidR="0059675A">
          <w:rPr>
            <w:noProof/>
            <w:webHidden/>
          </w:rPr>
          <w:tab/>
        </w:r>
        <w:r w:rsidR="0059675A">
          <w:rPr>
            <w:noProof/>
            <w:webHidden/>
          </w:rPr>
          <w:fldChar w:fldCharType="begin"/>
        </w:r>
        <w:r w:rsidR="0059675A">
          <w:rPr>
            <w:noProof/>
            <w:webHidden/>
          </w:rPr>
          <w:instrText xml:space="preserve"> PAGEREF _Toc189166385 \h </w:instrText>
        </w:r>
        <w:r w:rsidR="0059675A">
          <w:rPr>
            <w:noProof/>
            <w:webHidden/>
          </w:rPr>
        </w:r>
        <w:r w:rsidR="0059675A">
          <w:rPr>
            <w:noProof/>
            <w:webHidden/>
          </w:rPr>
          <w:fldChar w:fldCharType="separate"/>
        </w:r>
        <w:r w:rsidR="008E0CB6">
          <w:rPr>
            <w:noProof/>
            <w:webHidden/>
          </w:rPr>
          <w:t>63</w:t>
        </w:r>
        <w:r w:rsidR="0059675A">
          <w:rPr>
            <w:noProof/>
            <w:webHidden/>
          </w:rPr>
          <w:fldChar w:fldCharType="end"/>
        </w:r>
      </w:hyperlink>
    </w:p>
    <w:p w14:paraId="236410C7" w14:textId="730D742E"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86" w:history="1">
        <w:r w:rsidR="0059675A" w:rsidRPr="00AC7B43">
          <w:rPr>
            <w:rStyle w:val="Hipercze"/>
            <w:rFonts w:eastAsia="Calibri" w:cs="Times New Roman"/>
            <w:b/>
            <w:bCs/>
            <w:noProof/>
          </w:rPr>
          <w:t>Wykres 30. Zużycie energii elektrycznej w gospodarstwach domowych na 1 mieszkańca</w:t>
        </w:r>
        <w:r w:rsidR="0059675A" w:rsidRPr="00AC7B43">
          <w:rPr>
            <w:rStyle w:val="Hipercze"/>
            <w:rFonts w:ascii="Calibri" w:eastAsia="Calibri" w:hAnsi="Calibri" w:cs="Times New Roman"/>
            <w:noProof/>
          </w:rPr>
          <w:t xml:space="preserve"> </w:t>
        </w:r>
        <w:r w:rsidR="0059675A" w:rsidRPr="00AC7B43">
          <w:rPr>
            <w:rStyle w:val="Hipercze"/>
            <w:rFonts w:eastAsia="Calibri" w:cs="Times New Roman"/>
            <w:b/>
            <w:bCs/>
            <w:noProof/>
          </w:rPr>
          <w:t>na terenie Miasta Opole Lubelskie, powiatu opolskiego i województwa lubelskiego w 2022 r. (kWh)</w:t>
        </w:r>
        <w:r w:rsidR="0059675A">
          <w:rPr>
            <w:noProof/>
            <w:webHidden/>
          </w:rPr>
          <w:tab/>
        </w:r>
        <w:r w:rsidR="0059675A">
          <w:rPr>
            <w:noProof/>
            <w:webHidden/>
          </w:rPr>
          <w:fldChar w:fldCharType="begin"/>
        </w:r>
        <w:r w:rsidR="0059675A">
          <w:rPr>
            <w:noProof/>
            <w:webHidden/>
          </w:rPr>
          <w:instrText xml:space="preserve"> PAGEREF _Toc189166386 \h </w:instrText>
        </w:r>
        <w:r w:rsidR="0059675A">
          <w:rPr>
            <w:noProof/>
            <w:webHidden/>
          </w:rPr>
        </w:r>
        <w:r w:rsidR="0059675A">
          <w:rPr>
            <w:noProof/>
            <w:webHidden/>
          </w:rPr>
          <w:fldChar w:fldCharType="separate"/>
        </w:r>
        <w:r w:rsidR="008E0CB6">
          <w:rPr>
            <w:noProof/>
            <w:webHidden/>
          </w:rPr>
          <w:t>65</w:t>
        </w:r>
        <w:r w:rsidR="0059675A">
          <w:rPr>
            <w:noProof/>
            <w:webHidden/>
          </w:rPr>
          <w:fldChar w:fldCharType="end"/>
        </w:r>
      </w:hyperlink>
    </w:p>
    <w:p w14:paraId="50E479BC" w14:textId="344AD835"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87" w:history="1">
        <w:r w:rsidR="0059675A" w:rsidRPr="00AC7B43">
          <w:rPr>
            <w:rStyle w:val="Hipercze"/>
            <w:rFonts w:eastAsia="Calibri" w:cs="Times New Roman"/>
            <w:b/>
            <w:bCs/>
            <w:noProof/>
          </w:rPr>
          <w:t>Wykres 31. Odsetek mieszkańców korzystających z sieci gazowej na terenie Gminy Opole Lubelskie, powiatu opolskiego i województwa lubelskiego w 2022 r. (%)</w:t>
        </w:r>
        <w:r w:rsidR="0059675A">
          <w:rPr>
            <w:noProof/>
            <w:webHidden/>
          </w:rPr>
          <w:tab/>
        </w:r>
        <w:r w:rsidR="0059675A">
          <w:rPr>
            <w:noProof/>
            <w:webHidden/>
          </w:rPr>
          <w:fldChar w:fldCharType="begin"/>
        </w:r>
        <w:r w:rsidR="0059675A">
          <w:rPr>
            <w:noProof/>
            <w:webHidden/>
          </w:rPr>
          <w:instrText xml:space="preserve"> PAGEREF _Toc189166387 \h </w:instrText>
        </w:r>
        <w:r w:rsidR="0059675A">
          <w:rPr>
            <w:noProof/>
            <w:webHidden/>
          </w:rPr>
        </w:r>
        <w:r w:rsidR="0059675A">
          <w:rPr>
            <w:noProof/>
            <w:webHidden/>
          </w:rPr>
          <w:fldChar w:fldCharType="separate"/>
        </w:r>
        <w:r w:rsidR="008E0CB6">
          <w:rPr>
            <w:noProof/>
            <w:webHidden/>
          </w:rPr>
          <w:t>66</w:t>
        </w:r>
        <w:r w:rsidR="0059675A">
          <w:rPr>
            <w:noProof/>
            <w:webHidden/>
          </w:rPr>
          <w:fldChar w:fldCharType="end"/>
        </w:r>
      </w:hyperlink>
    </w:p>
    <w:p w14:paraId="681EFA29" w14:textId="7C330CF8"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88" w:history="1">
        <w:r w:rsidR="0059675A" w:rsidRPr="00AC7B43">
          <w:rPr>
            <w:rStyle w:val="Hipercze"/>
            <w:rFonts w:eastAsia="Calibri" w:cs="Times New Roman"/>
            <w:b/>
            <w:bCs/>
            <w:noProof/>
          </w:rPr>
          <w:t>Wykres 32. Masa wytworzonych odpadów komunalnych na jednego mieszkańca na terenie Gminy Opole Lubelskie, powiatu opolskiego i województwa lubelskiego w 2023 r. (kg)</w:t>
        </w:r>
        <w:r w:rsidR="0059675A">
          <w:rPr>
            <w:noProof/>
            <w:webHidden/>
          </w:rPr>
          <w:tab/>
        </w:r>
        <w:r w:rsidR="0059675A">
          <w:rPr>
            <w:noProof/>
            <w:webHidden/>
          </w:rPr>
          <w:fldChar w:fldCharType="begin"/>
        </w:r>
        <w:r w:rsidR="0059675A">
          <w:rPr>
            <w:noProof/>
            <w:webHidden/>
          </w:rPr>
          <w:instrText xml:space="preserve"> PAGEREF _Toc189166388 \h </w:instrText>
        </w:r>
        <w:r w:rsidR="0059675A">
          <w:rPr>
            <w:noProof/>
            <w:webHidden/>
          </w:rPr>
        </w:r>
        <w:r w:rsidR="0059675A">
          <w:rPr>
            <w:noProof/>
            <w:webHidden/>
          </w:rPr>
          <w:fldChar w:fldCharType="separate"/>
        </w:r>
        <w:r w:rsidR="008E0CB6">
          <w:rPr>
            <w:noProof/>
            <w:webHidden/>
          </w:rPr>
          <w:t>68</w:t>
        </w:r>
        <w:r w:rsidR="0059675A">
          <w:rPr>
            <w:noProof/>
            <w:webHidden/>
          </w:rPr>
          <w:fldChar w:fldCharType="end"/>
        </w:r>
      </w:hyperlink>
    </w:p>
    <w:p w14:paraId="076FE112" w14:textId="1794B6BD"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89" w:history="1">
        <w:r w:rsidR="0059675A" w:rsidRPr="00AC7B43">
          <w:rPr>
            <w:rStyle w:val="Hipercze"/>
            <w:rFonts w:eastAsia="Calibri" w:cs="Times New Roman"/>
            <w:b/>
            <w:bCs/>
            <w:noProof/>
          </w:rPr>
          <w:t>Wykres 33. Odpady zebrane selektywnie w relacji do ogółu odpadów na terenie Gminy Opole Lubelskie, powiatu opolskiego i województwa lubelskiego w 2023 r. (%)</w:t>
        </w:r>
        <w:r w:rsidR="0059675A">
          <w:rPr>
            <w:noProof/>
            <w:webHidden/>
          </w:rPr>
          <w:tab/>
        </w:r>
        <w:r w:rsidR="0059675A">
          <w:rPr>
            <w:noProof/>
            <w:webHidden/>
          </w:rPr>
          <w:fldChar w:fldCharType="begin"/>
        </w:r>
        <w:r w:rsidR="0059675A">
          <w:rPr>
            <w:noProof/>
            <w:webHidden/>
          </w:rPr>
          <w:instrText xml:space="preserve"> PAGEREF _Toc189166389 \h </w:instrText>
        </w:r>
        <w:r w:rsidR="0059675A">
          <w:rPr>
            <w:noProof/>
            <w:webHidden/>
          </w:rPr>
        </w:r>
        <w:r w:rsidR="0059675A">
          <w:rPr>
            <w:noProof/>
            <w:webHidden/>
          </w:rPr>
          <w:fldChar w:fldCharType="separate"/>
        </w:r>
        <w:r w:rsidR="008E0CB6">
          <w:rPr>
            <w:noProof/>
            <w:webHidden/>
          </w:rPr>
          <w:t>69</w:t>
        </w:r>
        <w:r w:rsidR="0059675A">
          <w:rPr>
            <w:noProof/>
            <w:webHidden/>
          </w:rPr>
          <w:fldChar w:fldCharType="end"/>
        </w:r>
      </w:hyperlink>
    </w:p>
    <w:p w14:paraId="6A1A31C6" w14:textId="2B429EC1"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90" w:history="1">
        <w:r w:rsidR="0059675A" w:rsidRPr="00AC7B43">
          <w:rPr>
            <w:rStyle w:val="Hipercze"/>
            <w:rFonts w:eastAsia="Calibri" w:cs="Times New Roman"/>
            <w:b/>
            <w:bCs/>
            <w:noProof/>
          </w:rPr>
          <w:t>Wykres 34. Liczba dzieci w wieku 3-6 lat objętych wychowaniem przedszkolnym na terenie Gminy Opole Lubelskie w latach 2013-2022 (osoby)</w:t>
        </w:r>
        <w:r w:rsidR="0059675A">
          <w:rPr>
            <w:noProof/>
            <w:webHidden/>
          </w:rPr>
          <w:tab/>
        </w:r>
        <w:r w:rsidR="0059675A">
          <w:rPr>
            <w:noProof/>
            <w:webHidden/>
          </w:rPr>
          <w:fldChar w:fldCharType="begin"/>
        </w:r>
        <w:r w:rsidR="0059675A">
          <w:rPr>
            <w:noProof/>
            <w:webHidden/>
          </w:rPr>
          <w:instrText xml:space="preserve"> PAGEREF _Toc189166390 \h </w:instrText>
        </w:r>
        <w:r w:rsidR="0059675A">
          <w:rPr>
            <w:noProof/>
            <w:webHidden/>
          </w:rPr>
        </w:r>
        <w:r w:rsidR="0059675A">
          <w:rPr>
            <w:noProof/>
            <w:webHidden/>
          </w:rPr>
          <w:fldChar w:fldCharType="separate"/>
        </w:r>
        <w:r w:rsidR="008E0CB6">
          <w:rPr>
            <w:noProof/>
            <w:webHidden/>
          </w:rPr>
          <w:t>77</w:t>
        </w:r>
        <w:r w:rsidR="0059675A">
          <w:rPr>
            <w:noProof/>
            <w:webHidden/>
          </w:rPr>
          <w:fldChar w:fldCharType="end"/>
        </w:r>
      </w:hyperlink>
    </w:p>
    <w:p w14:paraId="09F468A7" w14:textId="3300734A"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91" w:history="1">
        <w:r w:rsidR="0059675A" w:rsidRPr="00AC7B43">
          <w:rPr>
            <w:rStyle w:val="Hipercze"/>
            <w:rFonts w:eastAsia="Calibri" w:cs="Times New Roman"/>
            <w:b/>
            <w:bCs/>
            <w:noProof/>
          </w:rPr>
          <w:t>Wykres 35. Wskaźnik upowszechnienia edukacji przedszkolnej wśród dzieci w wieku 3-6 lat na terenie Gminy Opole Lubelskie, powiatu opolskiego i województwa lubelskiego w 2022 r. (%)</w:t>
        </w:r>
        <w:r w:rsidR="0059675A">
          <w:rPr>
            <w:noProof/>
            <w:webHidden/>
          </w:rPr>
          <w:tab/>
        </w:r>
        <w:r w:rsidR="0059675A">
          <w:rPr>
            <w:noProof/>
            <w:webHidden/>
          </w:rPr>
          <w:fldChar w:fldCharType="begin"/>
        </w:r>
        <w:r w:rsidR="0059675A">
          <w:rPr>
            <w:noProof/>
            <w:webHidden/>
          </w:rPr>
          <w:instrText xml:space="preserve"> PAGEREF _Toc189166391 \h </w:instrText>
        </w:r>
        <w:r w:rsidR="0059675A">
          <w:rPr>
            <w:noProof/>
            <w:webHidden/>
          </w:rPr>
        </w:r>
        <w:r w:rsidR="0059675A">
          <w:rPr>
            <w:noProof/>
            <w:webHidden/>
          </w:rPr>
          <w:fldChar w:fldCharType="separate"/>
        </w:r>
        <w:r w:rsidR="008E0CB6">
          <w:rPr>
            <w:noProof/>
            <w:webHidden/>
          </w:rPr>
          <w:t>78</w:t>
        </w:r>
        <w:r w:rsidR="0059675A">
          <w:rPr>
            <w:noProof/>
            <w:webHidden/>
          </w:rPr>
          <w:fldChar w:fldCharType="end"/>
        </w:r>
      </w:hyperlink>
    </w:p>
    <w:p w14:paraId="005F7B7B" w14:textId="2D462B2F"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92" w:history="1">
        <w:r w:rsidR="0059675A" w:rsidRPr="00AC7B43">
          <w:rPr>
            <w:rStyle w:val="Hipercze"/>
            <w:rFonts w:eastAsia="Calibri" w:cs="Times New Roman"/>
            <w:b/>
            <w:bCs/>
            <w:noProof/>
          </w:rPr>
          <w:t>Wykres 36. Liczba uczniów szkół podstawowych na terenie Gminy Opole Lubelskie w latach 2013-2022 (osoby)</w:t>
        </w:r>
        <w:r w:rsidR="0059675A">
          <w:rPr>
            <w:noProof/>
            <w:webHidden/>
          </w:rPr>
          <w:tab/>
        </w:r>
        <w:r w:rsidR="0059675A">
          <w:rPr>
            <w:noProof/>
            <w:webHidden/>
          </w:rPr>
          <w:fldChar w:fldCharType="begin"/>
        </w:r>
        <w:r w:rsidR="0059675A">
          <w:rPr>
            <w:noProof/>
            <w:webHidden/>
          </w:rPr>
          <w:instrText xml:space="preserve"> PAGEREF _Toc189166392 \h </w:instrText>
        </w:r>
        <w:r w:rsidR="0059675A">
          <w:rPr>
            <w:noProof/>
            <w:webHidden/>
          </w:rPr>
        </w:r>
        <w:r w:rsidR="0059675A">
          <w:rPr>
            <w:noProof/>
            <w:webHidden/>
          </w:rPr>
          <w:fldChar w:fldCharType="separate"/>
        </w:r>
        <w:r w:rsidR="008E0CB6">
          <w:rPr>
            <w:noProof/>
            <w:webHidden/>
          </w:rPr>
          <w:t>79</w:t>
        </w:r>
        <w:r w:rsidR="0059675A">
          <w:rPr>
            <w:noProof/>
            <w:webHidden/>
          </w:rPr>
          <w:fldChar w:fldCharType="end"/>
        </w:r>
      </w:hyperlink>
    </w:p>
    <w:p w14:paraId="6A10C29F" w14:textId="509A81E6"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93" w:history="1">
        <w:r w:rsidR="0059675A" w:rsidRPr="00AC7B43">
          <w:rPr>
            <w:rStyle w:val="Hipercze"/>
            <w:rFonts w:eastAsia="Calibri" w:cs="Times New Roman"/>
            <w:b/>
            <w:bCs/>
            <w:noProof/>
          </w:rPr>
          <w:t>Wykres 37. Współczynnik skolaryzacji brutto dla szkół podstawowych na terenie Gminy Opole Lubelskie w latach 2013-2022 (%)</w:t>
        </w:r>
        <w:r w:rsidR="0059675A">
          <w:rPr>
            <w:noProof/>
            <w:webHidden/>
          </w:rPr>
          <w:tab/>
        </w:r>
        <w:r w:rsidR="0059675A">
          <w:rPr>
            <w:noProof/>
            <w:webHidden/>
          </w:rPr>
          <w:fldChar w:fldCharType="begin"/>
        </w:r>
        <w:r w:rsidR="0059675A">
          <w:rPr>
            <w:noProof/>
            <w:webHidden/>
          </w:rPr>
          <w:instrText xml:space="preserve"> PAGEREF _Toc189166393 \h </w:instrText>
        </w:r>
        <w:r w:rsidR="0059675A">
          <w:rPr>
            <w:noProof/>
            <w:webHidden/>
          </w:rPr>
        </w:r>
        <w:r w:rsidR="0059675A">
          <w:rPr>
            <w:noProof/>
            <w:webHidden/>
          </w:rPr>
          <w:fldChar w:fldCharType="separate"/>
        </w:r>
        <w:r w:rsidR="008E0CB6">
          <w:rPr>
            <w:noProof/>
            <w:webHidden/>
          </w:rPr>
          <w:t>79</w:t>
        </w:r>
        <w:r w:rsidR="0059675A">
          <w:rPr>
            <w:noProof/>
            <w:webHidden/>
          </w:rPr>
          <w:fldChar w:fldCharType="end"/>
        </w:r>
      </w:hyperlink>
    </w:p>
    <w:p w14:paraId="20073CA9" w14:textId="1D290FFC"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94" w:history="1">
        <w:r w:rsidR="0059675A" w:rsidRPr="00AC7B43">
          <w:rPr>
            <w:rStyle w:val="Hipercze"/>
            <w:rFonts w:eastAsia="Calibri" w:cs="Times New Roman"/>
            <w:b/>
            <w:bCs/>
            <w:noProof/>
          </w:rPr>
          <w:t>Wykres 38. Liczba uczniów szkół ponadpodstawowych na terenie Gminy Opole Lubelskie w latach 2013-2022 (osoby)</w:t>
        </w:r>
        <w:r w:rsidR="0059675A">
          <w:rPr>
            <w:noProof/>
            <w:webHidden/>
          </w:rPr>
          <w:tab/>
        </w:r>
        <w:r w:rsidR="0059675A">
          <w:rPr>
            <w:noProof/>
            <w:webHidden/>
          </w:rPr>
          <w:fldChar w:fldCharType="begin"/>
        </w:r>
        <w:r w:rsidR="0059675A">
          <w:rPr>
            <w:noProof/>
            <w:webHidden/>
          </w:rPr>
          <w:instrText xml:space="preserve"> PAGEREF _Toc189166394 \h </w:instrText>
        </w:r>
        <w:r w:rsidR="0059675A">
          <w:rPr>
            <w:noProof/>
            <w:webHidden/>
          </w:rPr>
        </w:r>
        <w:r w:rsidR="0059675A">
          <w:rPr>
            <w:noProof/>
            <w:webHidden/>
          </w:rPr>
          <w:fldChar w:fldCharType="separate"/>
        </w:r>
        <w:r w:rsidR="008E0CB6">
          <w:rPr>
            <w:noProof/>
            <w:webHidden/>
          </w:rPr>
          <w:t>81</w:t>
        </w:r>
        <w:r w:rsidR="0059675A">
          <w:rPr>
            <w:noProof/>
            <w:webHidden/>
          </w:rPr>
          <w:fldChar w:fldCharType="end"/>
        </w:r>
      </w:hyperlink>
    </w:p>
    <w:p w14:paraId="50AEDAAA" w14:textId="60C9F4EF"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95" w:history="1">
        <w:r w:rsidR="0059675A" w:rsidRPr="00AC7B43">
          <w:rPr>
            <w:rStyle w:val="Hipercze"/>
            <w:rFonts w:eastAsia="Calibri" w:cs="Times New Roman"/>
            <w:b/>
            <w:bCs/>
            <w:noProof/>
          </w:rPr>
          <w:t>Wykres 39. Wskaźnik zsumowanego wyniku egzaminu ósmoklasisty dla Gminy Opole Lubelskie, powiatu opolskiego oraz województwa lubelskiego w latach 2019-2024 (%)</w:t>
        </w:r>
        <w:r w:rsidR="0059675A">
          <w:rPr>
            <w:noProof/>
            <w:webHidden/>
          </w:rPr>
          <w:tab/>
        </w:r>
        <w:r w:rsidR="0059675A">
          <w:rPr>
            <w:noProof/>
            <w:webHidden/>
          </w:rPr>
          <w:fldChar w:fldCharType="begin"/>
        </w:r>
        <w:r w:rsidR="0059675A">
          <w:rPr>
            <w:noProof/>
            <w:webHidden/>
          </w:rPr>
          <w:instrText xml:space="preserve"> PAGEREF _Toc189166395 \h </w:instrText>
        </w:r>
        <w:r w:rsidR="0059675A">
          <w:rPr>
            <w:noProof/>
            <w:webHidden/>
          </w:rPr>
        </w:r>
        <w:r w:rsidR="0059675A">
          <w:rPr>
            <w:noProof/>
            <w:webHidden/>
          </w:rPr>
          <w:fldChar w:fldCharType="separate"/>
        </w:r>
        <w:r w:rsidR="008E0CB6">
          <w:rPr>
            <w:noProof/>
            <w:webHidden/>
          </w:rPr>
          <w:t>82</w:t>
        </w:r>
        <w:r w:rsidR="0059675A">
          <w:rPr>
            <w:noProof/>
            <w:webHidden/>
          </w:rPr>
          <w:fldChar w:fldCharType="end"/>
        </w:r>
      </w:hyperlink>
    </w:p>
    <w:p w14:paraId="5F07793B" w14:textId="5DFA656C"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96" w:history="1">
        <w:r w:rsidR="0059675A" w:rsidRPr="00AC7B43">
          <w:rPr>
            <w:rStyle w:val="Hipercze"/>
            <w:rFonts w:eastAsia="Calibri" w:cs="Times New Roman"/>
            <w:b/>
            <w:bCs/>
            <w:noProof/>
          </w:rPr>
          <w:t>Wykres 40. Liczba porad udzielonych w ambulatoryjnej opieki zdrowotnej na terenie Gminy Opole Lubelskie w latach 2014-2023 (szt.)</w:t>
        </w:r>
        <w:r w:rsidR="0059675A">
          <w:rPr>
            <w:noProof/>
            <w:webHidden/>
          </w:rPr>
          <w:tab/>
        </w:r>
        <w:r w:rsidR="0059675A">
          <w:rPr>
            <w:noProof/>
            <w:webHidden/>
          </w:rPr>
          <w:fldChar w:fldCharType="begin"/>
        </w:r>
        <w:r w:rsidR="0059675A">
          <w:rPr>
            <w:noProof/>
            <w:webHidden/>
          </w:rPr>
          <w:instrText xml:space="preserve"> PAGEREF _Toc189166396 \h </w:instrText>
        </w:r>
        <w:r w:rsidR="0059675A">
          <w:rPr>
            <w:noProof/>
            <w:webHidden/>
          </w:rPr>
        </w:r>
        <w:r w:rsidR="0059675A">
          <w:rPr>
            <w:noProof/>
            <w:webHidden/>
          </w:rPr>
          <w:fldChar w:fldCharType="separate"/>
        </w:r>
        <w:r w:rsidR="008E0CB6">
          <w:rPr>
            <w:noProof/>
            <w:webHidden/>
          </w:rPr>
          <w:t>84</w:t>
        </w:r>
        <w:r w:rsidR="0059675A">
          <w:rPr>
            <w:noProof/>
            <w:webHidden/>
          </w:rPr>
          <w:fldChar w:fldCharType="end"/>
        </w:r>
      </w:hyperlink>
    </w:p>
    <w:p w14:paraId="3CC2C598" w14:textId="45F0F301"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97" w:history="1">
        <w:r w:rsidR="0059675A" w:rsidRPr="00AC7B43">
          <w:rPr>
            <w:rStyle w:val="Hipercze"/>
            <w:rFonts w:eastAsia="Calibri" w:cs="Times New Roman"/>
            <w:b/>
            <w:bCs/>
            <w:noProof/>
          </w:rPr>
          <w:t>Wykres 41. Liczba beneficjentów środowiskowej pomocy społecznej na terenie Gminy Opole Lubelskie w latach 2013-2022 (osoby)</w:t>
        </w:r>
        <w:r w:rsidR="0059675A">
          <w:rPr>
            <w:noProof/>
            <w:webHidden/>
          </w:rPr>
          <w:tab/>
        </w:r>
        <w:r w:rsidR="0059675A">
          <w:rPr>
            <w:noProof/>
            <w:webHidden/>
          </w:rPr>
          <w:fldChar w:fldCharType="begin"/>
        </w:r>
        <w:r w:rsidR="0059675A">
          <w:rPr>
            <w:noProof/>
            <w:webHidden/>
          </w:rPr>
          <w:instrText xml:space="preserve"> PAGEREF _Toc189166397 \h </w:instrText>
        </w:r>
        <w:r w:rsidR="0059675A">
          <w:rPr>
            <w:noProof/>
            <w:webHidden/>
          </w:rPr>
        </w:r>
        <w:r w:rsidR="0059675A">
          <w:rPr>
            <w:noProof/>
            <w:webHidden/>
          </w:rPr>
          <w:fldChar w:fldCharType="separate"/>
        </w:r>
        <w:r w:rsidR="008E0CB6">
          <w:rPr>
            <w:noProof/>
            <w:webHidden/>
          </w:rPr>
          <w:t>88</w:t>
        </w:r>
        <w:r w:rsidR="0059675A">
          <w:rPr>
            <w:noProof/>
            <w:webHidden/>
          </w:rPr>
          <w:fldChar w:fldCharType="end"/>
        </w:r>
      </w:hyperlink>
    </w:p>
    <w:p w14:paraId="1723270C" w14:textId="779CE4F9"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98" w:history="1">
        <w:r w:rsidR="0059675A" w:rsidRPr="00AC7B43">
          <w:rPr>
            <w:rStyle w:val="Hipercze"/>
            <w:rFonts w:eastAsia="Calibri" w:cs="Times New Roman"/>
            <w:b/>
            <w:bCs/>
            <w:noProof/>
          </w:rPr>
          <w:t>Wykres 42. Liczba rodzin oraz liczba dzieci w wieku do lat 17, na które rodzice otrzymują zasiłek rodzinny na terenie Gminy Opole Lubelskie w latach 2013-2022 (osoby)</w:t>
        </w:r>
        <w:r w:rsidR="0059675A">
          <w:rPr>
            <w:noProof/>
            <w:webHidden/>
          </w:rPr>
          <w:tab/>
        </w:r>
        <w:r w:rsidR="0059675A">
          <w:rPr>
            <w:noProof/>
            <w:webHidden/>
          </w:rPr>
          <w:fldChar w:fldCharType="begin"/>
        </w:r>
        <w:r w:rsidR="0059675A">
          <w:rPr>
            <w:noProof/>
            <w:webHidden/>
          </w:rPr>
          <w:instrText xml:space="preserve"> PAGEREF _Toc189166398 \h </w:instrText>
        </w:r>
        <w:r w:rsidR="0059675A">
          <w:rPr>
            <w:noProof/>
            <w:webHidden/>
          </w:rPr>
        </w:r>
        <w:r w:rsidR="0059675A">
          <w:rPr>
            <w:noProof/>
            <w:webHidden/>
          </w:rPr>
          <w:fldChar w:fldCharType="separate"/>
        </w:r>
        <w:r w:rsidR="008E0CB6">
          <w:rPr>
            <w:noProof/>
            <w:webHidden/>
          </w:rPr>
          <w:t>88</w:t>
        </w:r>
        <w:r w:rsidR="0059675A">
          <w:rPr>
            <w:noProof/>
            <w:webHidden/>
          </w:rPr>
          <w:fldChar w:fldCharType="end"/>
        </w:r>
      </w:hyperlink>
    </w:p>
    <w:p w14:paraId="3A9DAE22" w14:textId="4DE483BF"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399" w:history="1">
        <w:r w:rsidR="0059675A" w:rsidRPr="00AC7B43">
          <w:rPr>
            <w:rStyle w:val="Hipercze"/>
            <w:rFonts w:eastAsia="Calibri" w:cs="Times New Roman"/>
            <w:b/>
            <w:bCs/>
            <w:noProof/>
          </w:rPr>
          <w:t>Wykres 43. Liczba imprez organizowanych przez ośrodek kultury oraz osób w nich uczestniczących na terenie Gminy Opole Lubelskie w latach 2014-2023 (szt., osoby)</w:t>
        </w:r>
        <w:r w:rsidR="0059675A">
          <w:rPr>
            <w:noProof/>
            <w:webHidden/>
          </w:rPr>
          <w:tab/>
        </w:r>
        <w:r w:rsidR="0059675A">
          <w:rPr>
            <w:noProof/>
            <w:webHidden/>
          </w:rPr>
          <w:fldChar w:fldCharType="begin"/>
        </w:r>
        <w:r w:rsidR="0059675A">
          <w:rPr>
            <w:noProof/>
            <w:webHidden/>
          </w:rPr>
          <w:instrText xml:space="preserve"> PAGEREF _Toc189166399 \h </w:instrText>
        </w:r>
        <w:r w:rsidR="0059675A">
          <w:rPr>
            <w:noProof/>
            <w:webHidden/>
          </w:rPr>
        </w:r>
        <w:r w:rsidR="0059675A">
          <w:rPr>
            <w:noProof/>
            <w:webHidden/>
          </w:rPr>
          <w:fldChar w:fldCharType="separate"/>
        </w:r>
        <w:r w:rsidR="008E0CB6">
          <w:rPr>
            <w:noProof/>
            <w:webHidden/>
          </w:rPr>
          <w:t>91</w:t>
        </w:r>
        <w:r w:rsidR="0059675A">
          <w:rPr>
            <w:noProof/>
            <w:webHidden/>
          </w:rPr>
          <w:fldChar w:fldCharType="end"/>
        </w:r>
      </w:hyperlink>
    </w:p>
    <w:p w14:paraId="4E2E1FB9" w14:textId="3B1EB42A"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00" w:history="1">
        <w:r w:rsidR="0059675A" w:rsidRPr="00AC7B43">
          <w:rPr>
            <w:rStyle w:val="Hipercze"/>
            <w:rFonts w:eastAsia="Calibri" w:cs="Times New Roman"/>
            <w:b/>
            <w:bCs/>
            <w:noProof/>
          </w:rPr>
          <w:t>Wykres 44. Liczba czytelników bibliotek na terenie Gminy Opole Lubelskie w latach 2014-2023 (osoby)</w:t>
        </w:r>
        <w:r w:rsidR="0059675A">
          <w:rPr>
            <w:noProof/>
            <w:webHidden/>
          </w:rPr>
          <w:tab/>
        </w:r>
        <w:r w:rsidR="0059675A">
          <w:rPr>
            <w:noProof/>
            <w:webHidden/>
          </w:rPr>
          <w:fldChar w:fldCharType="begin"/>
        </w:r>
        <w:r w:rsidR="0059675A">
          <w:rPr>
            <w:noProof/>
            <w:webHidden/>
          </w:rPr>
          <w:instrText xml:space="preserve"> PAGEREF _Toc189166400 \h </w:instrText>
        </w:r>
        <w:r w:rsidR="0059675A">
          <w:rPr>
            <w:noProof/>
            <w:webHidden/>
          </w:rPr>
        </w:r>
        <w:r w:rsidR="0059675A">
          <w:rPr>
            <w:noProof/>
            <w:webHidden/>
          </w:rPr>
          <w:fldChar w:fldCharType="separate"/>
        </w:r>
        <w:r w:rsidR="008E0CB6">
          <w:rPr>
            <w:noProof/>
            <w:webHidden/>
          </w:rPr>
          <w:t>92</w:t>
        </w:r>
        <w:r w:rsidR="0059675A">
          <w:rPr>
            <w:noProof/>
            <w:webHidden/>
          </w:rPr>
          <w:fldChar w:fldCharType="end"/>
        </w:r>
      </w:hyperlink>
    </w:p>
    <w:p w14:paraId="5A83E016" w14:textId="2B7C6A81"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01" w:history="1">
        <w:r w:rsidR="0059675A" w:rsidRPr="00AC7B43">
          <w:rPr>
            <w:rStyle w:val="Hipercze"/>
            <w:rFonts w:cs="Times New Roman"/>
            <w:b/>
            <w:bCs/>
            <w:noProof/>
          </w:rPr>
          <w:t>Wykres 45. Wykonanie budżetu Gminy Opole Lubelskie w latach 2014-2023 (mln zł)</w:t>
        </w:r>
        <w:r w:rsidR="0059675A">
          <w:rPr>
            <w:noProof/>
            <w:webHidden/>
          </w:rPr>
          <w:tab/>
        </w:r>
        <w:r w:rsidR="0059675A">
          <w:rPr>
            <w:noProof/>
            <w:webHidden/>
          </w:rPr>
          <w:fldChar w:fldCharType="begin"/>
        </w:r>
        <w:r w:rsidR="0059675A">
          <w:rPr>
            <w:noProof/>
            <w:webHidden/>
          </w:rPr>
          <w:instrText xml:space="preserve"> PAGEREF _Toc189166401 \h </w:instrText>
        </w:r>
        <w:r w:rsidR="0059675A">
          <w:rPr>
            <w:noProof/>
            <w:webHidden/>
          </w:rPr>
        </w:r>
        <w:r w:rsidR="0059675A">
          <w:rPr>
            <w:noProof/>
            <w:webHidden/>
          </w:rPr>
          <w:fldChar w:fldCharType="separate"/>
        </w:r>
        <w:r w:rsidR="008E0CB6">
          <w:rPr>
            <w:noProof/>
            <w:webHidden/>
          </w:rPr>
          <w:t>98</w:t>
        </w:r>
        <w:r w:rsidR="0059675A">
          <w:rPr>
            <w:noProof/>
            <w:webHidden/>
          </w:rPr>
          <w:fldChar w:fldCharType="end"/>
        </w:r>
      </w:hyperlink>
    </w:p>
    <w:p w14:paraId="10388AB4" w14:textId="4F8FB2BA"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02" w:history="1">
        <w:r w:rsidR="0059675A" w:rsidRPr="00AC7B43">
          <w:rPr>
            <w:rStyle w:val="Hipercze"/>
            <w:rFonts w:cs="Times New Roman"/>
            <w:b/>
            <w:bCs/>
            <w:noProof/>
          </w:rPr>
          <w:t>Wykres 46. Struktura dochodów Gminy Opole Lubelskie w latach 2014 - 2023 (%)</w:t>
        </w:r>
        <w:r w:rsidR="0059675A">
          <w:rPr>
            <w:noProof/>
            <w:webHidden/>
          </w:rPr>
          <w:tab/>
        </w:r>
        <w:r w:rsidR="0059675A">
          <w:rPr>
            <w:noProof/>
            <w:webHidden/>
          </w:rPr>
          <w:fldChar w:fldCharType="begin"/>
        </w:r>
        <w:r w:rsidR="0059675A">
          <w:rPr>
            <w:noProof/>
            <w:webHidden/>
          </w:rPr>
          <w:instrText xml:space="preserve"> PAGEREF _Toc189166402 \h </w:instrText>
        </w:r>
        <w:r w:rsidR="0059675A">
          <w:rPr>
            <w:noProof/>
            <w:webHidden/>
          </w:rPr>
        </w:r>
        <w:r w:rsidR="0059675A">
          <w:rPr>
            <w:noProof/>
            <w:webHidden/>
          </w:rPr>
          <w:fldChar w:fldCharType="separate"/>
        </w:r>
        <w:r w:rsidR="008E0CB6">
          <w:rPr>
            <w:noProof/>
            <w:webHidden/>
          </w:rPr>
          <w:t>99</w:t>
        </w:r>
        <w:r w:rsidR="0059675A">
          <w:rPr>
            <w:noProof/>
            <w:webHidden/>
          </w:rPr>
          <w:fldChar w:fldCharType="end"/>
        </w:r>
      </w:hyperlink>
    </w:p>
    <w:p w14:paraId="642DE5A5" w14:textId="6451FA02"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03" w:history="1">
        <w:r w:rsidR="0059675A" w:rsidRPr="00AC7B43">
          <w:rPr>
            <w:rStyle w:val="Hipercze"/>
            <w:rFonts w:cs="Times New Roman"/>
            <w:b/>
            <w:bCs/>
            <w:noProof/>
          </w:rPr>
          <w:t>Wykres 47. Średni dochód na 1 mieszkańca Gminy Opole Lubelskie w latach 2014 - 2023 (zł)</w:t>
        </w:r>
        <w:r w:rsidR="0059675A">
          <w:rPr>
            <w:noProof/>
            <w:webHidden/>
          </w:rPr>
          <w:tab/>
        </w:r>
        <w:r w:rsidR="0059675A">
          <w:rPr>
            <w:noProof/>
            <w:webHidden/>
          </w:rPr>
          <w:fldChar w:fldCharType="begin"/>
        </w:r>
        <w:r w:rsidR="0059675A">
          <w:rPr>
            <w:noProof/>
            <w:webHidden/>
          </w:rPr>
          <w:instrText xml:space="preserve"> PAGEREF _Toc189166403 \h </w:instrText>
        </w:r>
        <w:r w:rsidR="0059675A">
          <w:rPr>
            <w:noProof/>
            <w:webHidden/>
          </w:rPr>
        </w:r>
        <w:r w:rsidR="0059675A">
          <w:rPr>
            <w:noProof/>
            <w:webHidden/>
          </w:rPr>
          <w:fldChar w:fldCharType="separate"/>
        </w:r>
        <w:r w:rsidR="008E0CB6">
          <w:rPr>
            <w:noProof/>
            <w:webHidden/>
          </w:rPr>
          <w:t>100</w:t>
        </w:r>
        <w:r w:rsidR="0059675A">
          <w:rPr>
            <w:noProof/>
            <w:webHidden/>
          </w:rPr>
          <w:fldChar w:fldCharType="end"/>
        </w:r>
      </w:hyperlink>
    </w:p>
    <w:p w14:paraId="4FCFC501" w14:textId="34F7E7C5"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04" w:history="1">
        <w:r w:rsidR="0059675A" w:rsidRPr="00AC7B43">
          <w:rPr>
            <w:rStyle w:val="Hipercze"/>
            <w:rFonts w:cs="Times New Roman"/>
            <w:b/>
            <w:bCs/>
            <w:noProof/>
          </w:rPr>
          <w:t>Wykres 48. Struktura wydatków Gminy Opole Lubelskie w latach 2014 - 2023 (%)</w:t>
        </w:r>
        <w:r w:rsidR="0059675A">
          <w:rPr>
            <w:noProof/>
            <w:webHidden/>
          </w:rPr>
          <w:tab/>
        </w:r>
        <w:r w:rsidR="0059675A">
          <w:rPr>
            <w:noProof/>
            <w:webHidden/>
          </w:rPr>
          <w:fldChar w:fldCharType="begin"/>
        </w:r>
        <w:r w:rsidR="0059675A">
          <w:rPr>
            <w:noProof/>
            <w:webHidden/>
          </w:rPr>
          <w:instrText xml:space="preserve"> PAGEREF _Toc189166404 \h </w:instrText>
        </w:r>
        <w:r w:rsidR="0059675A">
          <w:rPr>
            <w:noProof/>
            <w:webHidden/>
          </w:rPr>
        </w:r>
        <w:r w:rsidR="0059675A">
          <w:rPr>
            <w:noProof/>
            <w:webHidden/>
          </w:rPr>
          <w:fldChar w:fldCharType="separate"/>
        </w:r>
        <w:r w:rsidR="008E0CB6">
          <w:rPr>
            <w:noProof/>
            <w:webHidden/>
          </w:rPr>
          <w:t>100</w:t>
        </w:r>
        <w:r w:rsidR="0059675A">
          <w:rPr>
            <w:noProof/>
            <w:webHidden/>
          </w:rPr>
          <w:fldChar w:fldCharType="end"/>
        </w:r>
      </w:hyperlink>
    </w:p>
    <w:p w14:paraId="0408B763" w14:textId="70C59DF0" w:rsidR="003F2001" w:rsidRPr="003F2001" w:rsidRDefault="003F2001" w:rsidP="003F2001">
      <w:pPr>
        <w:spacing w:line="276" w:lineRule="auto"/>
        <w:jc w:val="left"/>
        <w:rPr>
          <w:rFonts w:eastAsia="Times New Roman" w:cs="Times New Roman"/>
          <w:kern w:val="0"/>
          <w:szCs w:val="20"/>
          <w:lang w:bidi="en-US"/>
          <w14:ligatures w14:val="none"/>
        </w:rPr>
      </w:pPr>
      <w:r w:rsidRPr="003F2001">
        <w:rPr>
          <w:rFonts w:eastAsia="Times New Roman" w:cs="Times New Roman"/>
          <w:kern w:val="0"/>
          <w:szCs w:val="20"/>
          <w:lang w:bidi="en-US"/>
          <w14:ligatures w14:val="none"/>
        </w:rPr>
        <w:fldChar w:fldCharType="end"/>
      </w:r>
    </w:p>
    <w:p w14:paraId="5D700F14" w14:textId="77777777" w:rsidR="003F2001" w:rsidRPr="003F2001" w:rsidRDefault="003F2001" w:rsidP="0053400A">
      <w:pPr>
        <w:pStyle w:val="Nagwek2"/>
      </w:pPr>
      <w:bookmarkStart w:id="224" w:name="_Toc191908818"/>
      <w:r w:rsidRPr="003F2001">
        <w:t>Spis map</w:t>
      </w:r>
      <w:bookmarkEnd w:id="224"/>
    </w:p>
    <w:p w14:paraId="5BF1D57B" w14:textId="34779B3F" w:rsidR="0059675A" w:rsidRDefault="003F2001">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r w:rsidRPr="003F2001">
        <w:rPr>
          <w:rFonts w:cs="Times New Roman"/>
        </w:rPr>
        <w:fldChar w:fldCharType="begin"/>
      </w:r>
      <w:r w:rsidRPr="003F2001">
        <w:rPr>
          <w:rFonts w:cs="Times New Roman"/>
        </w:rPr>
        <w:instrText xml:space="preserve"> TOC \h \z \c "Ryc." </w:instrText>
      </w:r>
      <w:r w:rsidRPr="003F2001">
        <w:rPr>
          <w:rFonts w:cs="Times New Roman"/>
        </w:rPr>
        <w:fldChar w:fldCharType="separate"/>
      </w:r>
      <w:hyperlink w:anchor="_Toc189166405" w:history="1">
        <w:r w:rsidR="0059675A" w:rsidRPr="0004633E">
          <w:rPr>
            <w:rStyle w:val="Hipercze"/>
            <w:rFonts w:eastAsia="Calibri" w:cs="Times New Roman"/>
            <w:b/>
            <w:bCs/>
            <w:noProof/>
          </w:rPr>
          <w:t>Ryc. 1. Położenie Gminy Opole Lubelskie w województwie lubelskim</w:t>
        </w:r>
        <w:r w:rsidR="0059675A">
          <w:rPr>
            <w:noProof/>
            <w:webHidden/>
          </w:rPr>
          <w:tab/>
        </w:r>
        <w:r w:rsidR="0059675A">
          <w:rPr>
            <w:noProof/>
            <w:webHidden/>
          </w:rPr>
          <w:fldChar w:fldCharType="begin"/>
        </w:r>
        <w:r w:rsidR="0059675A">
          <w:rPr>
            <w:noProof/>
            <w:webHidden/>
          </w:rPr>
          <w:instrText xml:space="preserve"> PAGEREF _Toc189166405 \h </w:instrText>
        </w:r>
        <w:r w:rsidR="0059675A">
          <w:rPr>
            <w:noProof/>
            <w:webHidden/>
          </w:rPr>
        </w:r>
        <w:r w:rsidR="0059675A">
          <w:rPr>
            <w:noProof/>
            <w:webHidden/>
          </w:rPr>
          <w:fldChar w:fldCharType="separate"/>
        </w:r>
        <w:r w:rsidR="008E0CB6">
          <w:rPr>
            <w:noProof/>
            <w:webHidden/>
          </w:rPr>
          <w:t>10</w:t>
        </w:r>
        <w:r w:rsidR="0059675A">
          <w:rPr>
            <w:noProof/>
            <w:webHidden/>
          </w:rPr>
          <w:fldChar w:fldCharType="end"/>
        </w:r>
      </w:hyperlink>
    </w:p>
    <w:p w14:paraId="6797C8C4" w14:textId="61D25191"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06" w:history="1">
        <w:r w:rsidR="0059675A" w:rsidRPr="0004633E">
          <w:rPr>
            <w:rStyle w:val="Hipercze"/>
            <w:rFonts w:eastAsia="Calibri" w:cs="Times New Roman"/>
            <w:b/>
            <w:bCs/>
            <w:noProof/>
          </w:rPr>
          <w:t>Ryc. 2. Sieć osadnicza Gminy Opole Lubelskie</w:t>
        </w:r>
        <w:r w:rsidR="0059675A">
          <w:rPr>
            <w:noProof/>
            <w:webHidden/>
          </w:rPr>
          <w:tab/>
        </w:r>
        <w:r w:rsidR="0059675A">
          <w:rPr>
            <w:noProof/>
            <w:webHidden/>
          </w:rPr>
          <w:fldChar w:fldCharType="begin"/>
        </w:r>
        <w:r w:rsidR="0059675A">
          <w:rPr>
            <w:noProof/>
            <w:webHidden/>
          </w:rPr>
          <w:instrText xml:space="preserve"> PAGEREF _Toc189166406 \h </w:instrText>
        </w:r>
        <w:r w:rsidR="0059675A">
          <w:rPr>
            <w:noProof/>
            <w:webHidden/>
          </w:rPr>
        </w:r>
        <w:r w:rsidR="0059675A">
          <w:rPr>
            <w:noProof/>
            <w:webHidden/>
          </w:rPr>
          <w:fldChar w:fldCharType="separate"/>
        </w:r>
        <w:r w:rsidR="008E0CB6">
          <w:rPr>
            <w:noProof/>
            <w:webHidden/>
          </w:rPr>
          <w:t>11</w:t>
        </w:r>
        <w:r w:rsidR="0059675A">
          <w:rPr>
            <w:noProof/>
            <w:webHidden/>
          </w:rPr>
          <w:fldChar w:fldCharType="end"/>
        </w:r>
      </w:hyperlink>
    </w:p>
    <w:p w14:paraId="44FDF56C" w14:textId="1B74782E"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07" w:history="1">
        <w:r w:rsidR="0059675A" w:rsidRPr="0004633E">
          <w:rPr>
            <w:rStyle w:val="Hipercze"/>
            <w:rFonts w:eastAsia="Calibri" w:cs="Times New Roman"/>
            <w:b/>
            <w:bCs/>
            <w:noProof/>
          </w:rPr>
          <w:t>Ryc. 3. Regionalizacja fizycznogeograficzna Gminy Opole Lubelskie</w:t>
        </w:r>
        <w:r w:rsidR="0059675A">
          <w:rPr>
            <w:noProof/>
            <w:webHidden/>
          </w:rPr>
          <w:tab/>
        </w:r>
        <w:r w:rsidR="0059675A">
          <w:rPr>
            <w:noProof/>
            <w:webHidden/>
          </w:rPr>
          <w:fldChar w:fldCharType="begin"/>
        </w:r>
        <w:r w:rsidR="0059675A">
          <w:rPr>
            <w:noProof/>
            <w:webHidden/>
          </w:rPr>
          <w:instrText xml:space="preserve"> PAGEREF _Toc189166407 \h </w:instrText>
        </w:r>
        <w:r w:rsidR="0059675A">
          <w:rPr>
            <w:noProof/>
            <w:webHidden/>
          </w:rPr>
        </w:r>
        <w:r w:rsidR="0059675A">
          <w:rPr>
            <w:noProof/>
            <w:webHidden/>
          </w:rPr>
          <w:fldChar w:fldCharType="separate"/>
        </w:r>
        <w:r w:rsidR="008E0CB6">
          <w:rPr>
            <w:noProof/>
            <w:webHidden/>
          </w:rPr>
          <w:t>12</w:t>
        </w:r>
        <w:r w:rsidR="0059675A">
          <w:rPr>
            <w:noProof/>
            <w:webHidden/>
          </w:rPr>
          <w:fldChar w:fldCharType="end"/>
        </w:r>
      </w:hyperlink>
    </w:p>
    <w:p w14:paraId="5DBD117D" w14:textId="6E64A0BE"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08" w:history="1">
        <w:r w:rsidR="0059675A" w:rsidRPr="0004633E">
          <w:rPr>
            <w:rStyle w:val="Hipercze"/>
            <w:rFonts w:eastAsia="Calibri" w:cs="Times New Roman"/>
            <w:b/>
            <w:bCs/>
            <w:noProof/>
          </w:rPr>
          <w:t>Ryc. 4. Wody powierzchniowe na terenie Gminy Opole lubelskie</w:t>
        </w:r>
        <w:r w:rsidR="0059675A">
          <w:rPr>
            <w:noProof/>
            <w:webHidden/>
          </w:rPr>
          <w:tab/>
        </w:r>
        <w:r w:rsidR="0059675A">
          <w:rPr>
            <w:noProof/>
            <w:webHidden/>
          </w:rPr>
          <w:fldChar w:fldCharType="begin"/>
        </w:r>
        <w:r w:rsidR="0059675A">
          <w:rPr>
            <w:noProof/>
            <w:webHidden/>
          </w:rPr>
          <w:instrText xml:space="preserve"> PAGEREF _Toc189166408 \h </w:instrText>
        </w:r>
        <w:r w:rsidR="0059675A">
          <w:rPr>
            <w:noProof/>
            <w:webHidden/>
          </w:rPr>
        </w:r>
        <w:r w:rsidR="0059675A">
          <w:rPr>
            <w:noProof/>
            <w:webHidden/>
          </w:rPr>
          <w:fldChar w:fldCharType="separate"/>
        </w:r>
        <w:r w:rsidR="008E0CB6">
          <w:rPr>
            <w:noProof/>
            <w:webHidden/>
          </w:rPr>
          <w:t>13</w:t>
        </w:r>
        <w:r w:rsidR="0059675A">
          <w:rPr>
            <w:noProof/>
            <w:webHidden/>
          </w:rPr>
          <w:fldChar w:fldCharType="end"/>
        </w:r>
      </w:hyperlink>
    </w:p>
    <w:p w14:paraId="3954DFC6" w14:textId="76B72967"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09" w:history="1">
        <w:r w:rsidR="0059675A" w:rsidRPr="0004633E">
          <w:rPr>
            <w:rStyle w:val="Hipercze"/>
            <w:rFonts w:eastAsia="Calibri" w:cs="Times New Roman"/>
            <w:b/>
            <w:bCs/>
            <w:noProof/>
          </w:rPr>
          <w:t>Ryc. 5. Obszary chronione na terenie Gminy Opole Lubelskie</w:t>
        </w:r>
        <w:r w:rsidR="0059675A">
          <w:rPr>
            <w:noProof/>
            <w:webHidden/>
          </w:rPr>
          <w:tab/>
        </w:r>
        <w:r w:rsidR="0059675A">
          <w:rPr>
            <w:noProof/>
            <w:webHidden/>
          </w:rPr>
          <w:fldChar w:fldCharType="begin"/>
        </w:r>
        <w:r w:rsidR="0059675A">
          <w:rPr>
            <w:noProof/>
            <w:webHidden/>
          </w:rPr>
          <w:instrText xml:space="preserve"> PAGEREF _Toc189166409 \h </w:instrText>
        </w:r>
        <w:r w:rsidR="0059675A">
          <w:rPr>
            <w:noProof/>
            <w:webHidden/>
          </w:rPr>
        </w:r>
        <w:r w:rsidR="0059675A">
          <w:rPr>
            <w:noProof/>
            <w:webHidden/>
          </w:rPr>
          <w:fldChar w:fldCharType="separate"/>
        </w:r>
        <w:r w:rsidR="008E0CB6">
          <w:rPr>
            <w:noProof/>
            <w:webHidden/>
          </w:rPr>
          <w:t>15</w:t>
        </w:r>
        <w:r w:rsidR="0059675A">
          <w:rPr>
            <w:noProof/>
            <w:webHidden/>
          </w:rPr>
          <w:fldChar w:fldCharType="end"/>
        </w:r>
      </w:hyperlink>
    </w:p>
    <w:p w14:paraId="08196FF9" w14:textId="31C25833"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10" w:history="1">
        <w:r w:rsidR="0059675A" w:rsidRPr="0004633E">
          <w:rPr>
            <w:rStyle w:val="Hipercze"/>
            <w:rFonts w:eastAsia="Calibri" w:cs="Times New Roman"/>
            <w:b/>
            <w:bCs/>
            <w:noProof/>
          </w:rPr>
          <w:t>Ryc. 6. Kierunki wykorzystania powierzchni Gminy Opole Lubelskie</w:t>
        </w:r>
        <w:r w:rsidR="0059675A">
          <w:rPr>
            <w:noProof/>
            <w:webHidden/>
          </w:rPr>
          <w:tab/>
        </w:r>
        <w:r w:rsidR="0059675A">
          <w:rPr>
            <w:noProof/>
            <w:webHidden/>
          </w:rPr>
          <w:fldChar w:fldCharType="begin"/>
        </w:r>
        <w:r w:rsidR="0059675A">
          <w:rPr>
            <w:noProof/>
            <w:webHidden/>
          </w:rPr>
          <w:instrText xml:space="preserve"> PAGEREF _Toc189166410 \h </w:instrText>
        </w:r>
        <w:r w:rsidR="0059675A">
          <w:rPr>
            <w:noProof/>
            <w:webHidden/>
          </w:rPr>
        </w:r>
        <w:r w:rsidR="0059675A">
          <w:rPr>
            <w:noProof/>
            <w:webHidden/>
          </w:rPr>
          <w:fldChar w:fldCharType="separate"/>
        </w:r>
        <w:r w:rsidR="008E0CB6">
          <w:rPr>
            <w:noProof/>
            <w:webHidden/>
          </w:rPr>
          <w:t>43</w:t>
        </w:r>
        <w:r w:rsidR="0059675A">
          <w:rPr>
            <w:noProof/>
            <w:webHidden/>
          </w:rPr>
          <w:fldChar w:fldCharType="end"/>
        </w:r>
      </w:hyperlink>
    </w:p>
    <w:p w14:paraId="52E94A0B" w14:textId="2DE46772"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11" w:history="1">
        <w:r w:rsidR="0059675A" w:rsidRPr="0004633E">
          <w:rPr>
            <w:rStyle w:val="Hipercze"/>
            <w:rFonts w:eastAsia="Calibri" w:cs="Times New Roman"/>
            <w:b/>
            <w:bCs/>
            <w:noProof/>
          </w:rPr>
          <w:t>Ryc. 7. Model struktury funkcjonalno-przestrzennej Gminy Opole Lubelskie</w:t>
        </w:r>
        <w:r w:rsidR="0059675A">
          <w:rPr>
            <w:noProof/>
            <w:webHidden/>
          </w:rPr>
          <w:tab/>
        </w:r>
        <w:r w:rsidR="0059675A">
          <w:rPr>
            <w:noProof/>
            <w:webHidden/>
          </w:rPr>
          <w:fldChar w:fldCharType="begin"/>
        </w:r>
        <w:r w:rsidR="0059675A">
          <w:rPr>
            <w:noProof/>
            <w:webHidden/>
          </w:rPr>
          <w:instrText xml:space="preserve"> PAGEREF _Toc189166411 \h </w:instrText>
        </w:r>
        <w:r w:rsidR="0059675A">
          <w:rPr>
            <w:noProof/>
            <w:webHidden/>
          </w:rPr>
        </w:r>
        <w:r w:rsidR="0059675A">
          <w:rPr>
            <w:noProof/>
            <w:webHidden/>
          </w:rPr>
          <w:fldChar w:fldCharType="separate"/>
        </w:r>
        <w:r w:rsidR="008E0CB6">
          <w:rPr>
            <w:noProof/>
            <w:webHidden/>
          </w:rPr>
          <w:t>127</w:t>
        </w:r>
        <w:r w:rsidR="0059675A">
          <w:rPr>
            <w:noProof/>
            <w:webHidden/>
          </w:rPr>
          <w:fldChar w:fldCharType="end"/>
        </w:r>
      </w:hyperlink>
    </w:p>
    <w:p w14:paraId="5ACA76BD" w14:textId="675786B7"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12" w:history="1">
        <w:r w:rsidR="0059675A" w:rsidRPr="0004633E">
          <w:rPr>
            <w:rStyle w:val="Hipercze"/>
            <w:rFonts w:eastAsia="Calibri" w:cs="Times New Roman"/>
            <w:b/>
            <w:bCs/>
            <w:noProof/>
          </w:rPr>
          <w:t>Ryc. 8. Zasoby i potencjały przyrodniczo-kulturowe gminy</w:t>
        </w:r>
        <w:r w:rsidR="0059675A">
          <w:rPr>
            <w:noProof/>
            <w:webHidden/>
          </w:rPr>
          <w:tab/>
        </w:r>
        <w:r w:rsidR="0059675A">
          <w:rPr>
            <w:noProof/>
            <w:webHidden/>
          </w:rPr>
          <w:fldChar w:fldCharType="begin"/>
        </w:r>
        <w:r w:rsidR="0059675A">
          <w:rPr>
            <w:noProof/>
            <w:webHidden/>
          </w:rPr>
          <w:instrText xml:space="preserve"> PAGEREF _Toc189166412 \h </w:instrText>
        </w:r>
        <w:r w:rsidR="0059675A">
          <w:rPr>
            <w:noProof/>
            <w:webHidden/>
          </w:rPr>
        </w:r>
        <w:r w:rsidR="0059675A">
          <w:rPr>
            <w:noProof/>
            <w:webHidden/>
          </w:rPr>
          <w:fldChar w:fldCharType="separate"/>
        </w:r>
        <w:r w:rsidR="008E0CB6">
          <w:rPr>
            <w:noProof/>
            <w:webHidden/>
          </w:rPr>
          <w:t>136</w:t>
        </w:r>
        <w:r w:rsidR="0059675A">
          <w:rPr>
            <w:noProof/>
            <w:webHidden/>
          </w:rPr>
          <w:fldChar w:fldCharType="end"/>
        </w:r>
      </w:hyperlink>
    </w:p>
    <w:p w14:paraId="243A1C56" w14:textId="31A49E5B" w:rsidR="0059675A" w:rsidRDefault="00CC2DF8">
      <w:pPr>
        <w:pStyle w:val="Spisilustracji"/>
        <w:tabs>
          <w:tab w:val="right" w:leader="dot" w:pos="9060"/>
        </w:tabs>
        <w:rPr>
          <w:rFonts w:asciiTheme="minorHAnsi" w:eastAsiaTheme="minorEastAsia" w:hAnsiTheme="minorHAnsi"/>
          <w:noProof/>
          <w:kern w:val="2"/>
          <w:sz w:val="24"/>
          <w:szCs w:val="24"/>
          <w:lang w:eastAsia="pl-PL" w:bidi="ar-SA"/>
          <w14:ligatures w14:val="standardContextual"/>
        </w:rPr>
      </w:pPr>
      <w:hyperlink w:anchor="_Toc189166413" w:history="1">
        <w:r w:rsidR="0059675A" w:rsidRPr="0004633E">
          <w:rPr>
            <w:rStyle w:val="Hipercze"/>
            <w:rFonts w:eastAsia="Calibri" w:cs="Times New Roman"/>
            <w:b/>
            <w:bCs/>
            <w:noProof/>
          </w:rPr>
          <w:t>Ryc. 9. Obszar strategicznej interwencji - obszar zdegradowany i obszar rewitalizacji</w:t>
        </w:r>
        <w:r w:rsidR="0059675A">
          <w:rPr>
            <w:noProof/>
            <w:webHidden/>
          </w:rPr>
          <w:tab/>
        </w:r>
        <w:r w:rsidR="0059675A">
          <w:rPr>
            <w:noProof/>
            <w:webHidden/>
          </w:rPr>
          <w:fldChar w:fldCharType="begin"/>
        </w:r>
        <w:r w:rsidR="0059675A">
          <w:rPr>
            <w:noProof/>
            <w:webHidden/>
          </w:rPr>
          <w:instrText xml:space="preserve"> PAGEREF _Toc189166413 \h </w:instrText>
        </w:r>
        <w:r w:rsidR="0059675A">
          <w:rPr>
            <w:noProof/>
            <w:webHidden/>
          </w:rPr>
        </w:r>
        <w:r w:rsidR="0059675A">
          <w:rPr>
            <w:noProof/>
            <w:webHidden/>
          </w:rPr>
          <w:fldChar w:fldCharType="separate"/>
        </w:r>
        <w:r w:rsidR="008E0CB6">
          <w:rPr>
            <w:noProof/>
            <w:webHidden/>
          </w:rPr>
          <w:t>143</w:t>
        </w:r>
        <w:r w:rsidR="0059675A">
          <w:rPr>
            <w:noProof/>
            <w:webHidden/>
          </w:rPr>
          <w:fldChar w:fldCharType="end"/>
        </w:r>
      </w:hyperlink>
    </w:p>
    <w:p w14:paraId="4DC4D965" w14:textId="645DC364" w:rsidR="003F2001" w:rsidRPr="00F82A41" w:rsidRDefault="003F2001" w:rsidP="003F2001">
      <w:pPr>
        <w:tabs>
          <w:tab w:val="left" w:pos="7200"/>
        </w:tabs>
        <w:rPr>
          <w:lang w:bidi="en-US"/>
        </w:rPr>
      </w:pPr>
      <w:r w:rsidRPr="003F2001">
        <w:rPr>
          <w:rFonts w:eastAsia="Times New Roman" w:cs="Times New Roman"/>
          <w:kern w:val="0"/>
          <w:szCs w:val="20"/>
          <w:lang w:bidi="en-US"/>
          <w14:ligatures w14:val="none"/>
        </w:rPr>
        <w:fldChar w:fldCharType="end"/>
      </w:r>
    </w:p>
    <w:sectPr w:rsidR="003F2001" w:rsidRPr="00F82A41" w:rsidSect="00A379F4">
      <w:footerReference w:type="first" r:id="rId9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4408B" w14:textId="77777777" w:rsidR="008D6EED" w:rsidRDefault="008D6EED" w:rsidP="0076000B">
      <w:pPr>
        <w:spacing w:after="0" w:line="240" w:lineRule="auto"/>
      </w:pPr>
      <w:r>
        <w:separator/>
      </w:r>
    </w:p>
  </w:endnote>
  <w:endnote w:type="continuationSeparator" w:id="0">
    <w:p w14:paraId="355AAD63" w14:textId="77777777" w:rsidR="008D6EED" w:rsidRDefault="008D6EED" w:rsidP="00760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EE"/>
    <w:family w:val="roman"/>
    <w:pitch w:val="variable"/>
    <w:sig w:usb0="E0002EFF" w:usb1="C000785B" w:usb2="00000009" w:usb3="00000000" w:csb0="000001FF" w:csb1="00000000"/>
  </w:font>
  <w:font w:name="PalatinoLinotype">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Cs w:val="28"/>
      </w:rPr>
      <w:id w:val="-181600601"/>
      <w:docPartObj>
        <w:docPartGallery w:val="Page Numbers (Bottom of Page)"/>
        <w:docPartUnique/>
      </w:docPartObj>
    </w:sdtPr>
    <w:sdtEndPr/>
    <w:sdtContent>
      <w:p w14:paraId="30588438" w14:textId="640A4F71" w:rsidR="000A3C96" w:rsidRPr="00A8597F" w:rsidRDefault="00CA76EC" w:rsidP="00A8597F">
        <w:pPr>
          <w:pStyle w:val="Stopka"/>
          <w:jc w:val="right"/>
          <w:rPr>
            <w:rFonts w:asciiTheme="majorHAnsi" w:hAnsiTheme="majorHAnsi"/>
            <w:szCs w:val="28"/>
          </w:rPr>
        </w:pPr>
        <w:r w:rsidRPr="00CA76EC">
          <w:rPr>
            <w:rFonts w:asciiTheme="majorHAnsi" w:hAnsiTheme="majorHAnsi"/>
            <w:noProof/>
            <w:szCs w:val="28"/>
            <w:lang w:eastAsia="pl-PL"/>
          </w:rPr>
          <mc:AlternateContent>
            <mc:Choice Requires="wps">
              <w:drawing>
                <wp:anchor distT="0" distB="0" distL="114300" distR="114300" simplePos="0" relativeHeight="251666432" behindDoc="0" locked="0" layoutInCell="1" allowOverlap="1" wp14:anchorId="69C489BC" wp14:editId="633A60AA">
                  <wp:simplePos x="0" y="0"/>
                  <wp:positionH relativeFrom="rightMargin">
                    <wp:align>center</wp:align>
                  </wp:positionH>
                  <wp:positionV relativeFrom="bottomMargin">
                    <wp:align>center</wp:align>
                  </wp:positionV>
                  <wp:extent cx="565785" cy="191770"/>
                  <wp:effectExtent l="0" t="0" r="0" b="0"/>
                  <wp:wrapNone/>
                  <wp:docPr id="82443646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3E4EB0E" w14:textId="77777777" w:rsidR="00CA76EC" w:rsidRDefault="00CA76E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C2DF8" w:rsidRPr="00CC2DF8">
                                <w:rPr>
                                  <w:noProof/>
                                  <w:color w:val="ED7D31" w:themeColor="accent2"/>
                                </w:rPr>
                                <w:t>127</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9C489BC" id="Prostokąt 14" o:spid="_x0000_s1028" style="position:absolute;left:0;text-align:left;margin-left:0;margin-top:0;width:44.55pt;height:15.1pt;rotation:180;flip:x;z-index:2516664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" filled="f" fillcolor="#c0504d" stroked="f" strokecolor="#5c83b4" strokeweight="2.25pt">
                  <v:textbox inset=",0,,0">
                    <w:txbxContent>
                      <w:p w14:paraId="33E4EB0E" w14:textId="77777777" w:rsidR="00CA76EC" w:rsidRDefault="00CA76E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C2DF8" w:rsidRPr="00CC2DF8">
                          <w:rPr>
                            <w:noProof/>
                            <w:color w:val="ED7D31" w:themeColor="accent2"/>
                          </w:rPr>
                          <w:t>127</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341581"/>
      <w:docPartObj>
        <w:docPartGallery w:val="Page Numbers (Bottom of Page)"/>
        <w:docPartUnique/>
      </w:docPartObj>
    </w:sdtPr>
    <w:sdtEndPr/>
    <w:sdtContent>
      <w:p w14:paraId="12B0AC84" w14:textId="3B12F48A" w:rsidR="0076000B" w:rsidRDefault="00F82A41">
        <w:pPr>
          <w:pStyle w:val="Stopka"/>
        </w:pPr>
        <w:r>
          <w:rPr>
            <w:noProof/>
            <w:lang w:eastAsia="pl-PL"/>
          </w:rPr>
          <mc:AlternateContent>
            <mc:Choice Requires="wps">
              <w:drawing>
                <wp:anchor distT="0" distB="0" distL="114300" distR="114300" simplePos="0" relativeHeight="251662336" behindDoc="0" locked="0" layoutInCell="1" allowOverlap="1" wp14:anchorId="13757A2B" wp14:editId="4D220EB1">
                  <wp:simplePos x="0" y="0"/>
                  <wp:positionH relativeFrom="rightMargin">
                    <wp:align>center</wp:align>
                  </wp:positionH>
                  <wp:positionV relativeFrom="bottomMargin">
                    <wp:align>center</wp:align>
                  </wp:positionV>
                  <wp:extent cx="565785" cy="191770"/>
                  <wp:effectExtent l="0" t="0" r="0" b="0"/>
                  <wp:wrapNone/>
                  <wp:docPr id="191436428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CDC814A" w14:textId="77777777" w:rsidR="00F82A41" w:rsidRPr="000A3C96" w:rsidRDefault="00F82A41" w:rsidP="000A3C96">
                              <w:pPr>
                                <w:pBdr>
                                  <w:top w:val="single" w:sz="4" w:space="1" w:color="7F7F7F"/>
                                </w:pBdr>
                                <w:jc w:val="center"/>
                                <w:rPr>
                                  <w:color w:val="C0504D"/>
                                </w:rPr>
                              </w:pPr>
                              <w:r w:rsidRPr="000A3C96">
                                <w:fldChar w:fldCharType="begin"/>
                              </w:r>
                              <w:r>
                                <w:instrText>PAGE   \* MERGEFORMAT</w:instrText>
                              </w:r>
                              <w:r w:rsidRPr="000A3C96">
                                <w:fldChar w:fldCharType="separate"/>
                              </w:r>
                              <w:r w:rsidR="00CC2DF8" w:rsidRPr="00CC2DF8">
                                <w:rPr>
                                  <w:noProof/>
                                  <w:color w:val="C0504D"/>
                                </w:rPr>
                                <w:t>137</w:t>
                              </w:r>
                              <w:r w:rsidRPr="000A3C96">
                                <w:rPr>
                                  <w:color w:val="C0504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3757A2B" id="Prostokąt 2" o:spid="_x0000_s1029" style="position:absolute;left:0;text-align:left;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" filled="f" fillcolor="#c0504d" stroked="f" strokecolor="#5c83b4" strokeweight="2.25pt">
                  <v:textbox inset=",0,,0">
                    <w:txbxContent>
                      <w:p w14:paraId="1CDC814A" w14:textId="77777777" w:rsidR="00F82A41" w:rsidRPr="000A3C96" w:rsidRDefault="00F82A41" w:rsidP="000A3C96">
                        <w:pPr>
                          <w:pBdr>
                            <w:top w:val="single" w:sz="4" w:space="1" w:color="7F7F7F"/>
                          </w:pBdr>
                          <w:jc w:val="center"/>
                          <w:rPr>
                            <w:color w:val="C0504D"/>
                          </w:rPr>
                        </w:pPr>
                        <w:r w:rsidRPr="000A3C96">
                          <w:fldChar w:fldCharType="begin"/>
                        </w:r>
                        <w:r>
                          <w:instrText>PAGE   \* MERGEFORMAT</w:instrText>
                        </w:r>
                        <w:r w:rsidRPr="000A3C96">
                          <w:fldChar w:fldCharType="separate"/>
                        </w:r>
                        <w:r w:rsidR="00CC2DF8" w:rsidRPr="00CC2DF8">
                          <w:rPr>
                            <w:noProof/>
                            <w:color w:val="C0504D"/>
                          </w:rPr>
                          <w:t>137</w:t>
                        </w:r>
                        <w:r w:rsidRPr="000A3C96">
                          <w:rPr>
                            <w:color w:val="C0504D"/>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78402"/>
      <w:docPartObj>
        <w:docPartGallery w:val="Page Numbers (Bottom of Page)"/>
        <w:docPartUnique/>
      </w:docPartObj>
    </w:sdtPr>
    <w:sdtEndPr/>
    <w:sdtContent>
      <w:p w14:paraId="723E4DEF" w14:textId="79671D23" w:rsidR="006533F2" w:rsidRDefault="00A379F4">
        <w:pPr>
          <w:pStyle w:val="Stopka"/>
        </w:pPr>
        <w:r>
          <w:rPr>
            <w:noProof/>
            <w:lang w:eastAsia="pl-PL"/>
          </w:rPr>
          <mc:AlternateContent>
            <mc:Choice Requires="wps">
              <w:drawing>
                <wp:anchor distT="0" distB="0" distL="114300" distR="114300" simplePos="0" relativeHeight="251668480" behindDoc="0" locked="0" layoutInCell="1" allowOverlap="1" wp14:anchorId="00A9442E" wp14:editId="34F5C83D">
                  <wp:simplePos x="0" y="0"/>
                  <wp:positionH relativeFrom="rightMargin">
                    <wp:align>center</wp:align>
                  </wp:positionH>
                  <wp:positionV relativeFrom="bottomMargin">
                    <wp:align>center</wp:align>
                  </wp:positionV>
                  <wp:extent cx="565785" cy="191770"/>
                  <wp:effectExtent l="0" t="0" r="0" b="0"/>
                  <wp:wrapNone/>
                  <wp:docPr id="2082871922"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8A94E22" w14:textId="77777777" w:rsidR="00A379F4" w:rsidRDefault="00A379F4">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C2DF8" w:rsidRPr="00CC2DF8">
                                <w:rPr>
                                  <w:noProof/>
                                  <w:color w:val="ED7D31" w:themeColor="accent2"/>
                                </w:rPr>
                                <w:t>128</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0A9442E" id="Prostokąt 16" o:spid="_x0000_s1030" style="position:absolute;left:0;text-align:left;margin-left:0;margin-top:0;width:44.55pt;height:15.1pt;rotation:180;flip:x;z-index:25166848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" filled="f" fillcolor="#c0504d" stroked="f" strokecolor="#5c83b4" strokeweight="2.25pt">
                  <v:textbox inset=",0,,0">
                    <w:txbxContent>
                      <w:p w14:paraId="78A94E22" w14:textId="77777777" w:rsidR="00A379F4" w:rsidRDefault="00A379F4">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C2DF8" w:rsidRPr="00CC2DF8">
                          <w:rPr>
                            <w:noProof/>
                            <w:color w:val="ED7D31" w:themeColor="accent2"/>
                          </w:rPr>
                          <w:t>128</w:t>
                        </w:r>
                        <w:r>
                          <w:rPr>
                            <w:color w:val="ED7D31" w:themeColor="accent2"/>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7844C" w14:textId="30552444" w:rsidR="00A379F4" w:rsidRDefault="00CC2DF8" w:rsidP="00A379F4">
    <w:pPr>
      <w:pStyle w:val="Stopka"/>
      <w:tabs>
        <w:tab w:val="clear" w:pos="4536"/>
        <w:tab w:val="clear" w:pos="9072"/>
        <w:tab w:val="left" w:pos="8318"/>
      </w:tabs>
    </w:pPr>
    <w:sdt>
      <w:sdtPr>
        <w:id w:val="-1180974055"/>
        <w:docPartObj>
          <w:docPartGallery w:val="Page Numbers (Bottom of Page)"/>
          <w:docPartUnique/>
        </w:docPartObj>
      </w:sdtPr>
      <w:sdtEndPr/>
      <w:sdtContent>
        <w:r w:rsidR="00A379F4">
          <w:rPr>
            <w:noProof/>
            <w:lang w:eastAsia="pl-PL"/>
          </w:rPr>
          <mc:AlternateContent>
            <mc:Choice Requires="wps">
              <w:drawing>
                <wp:anchor distT="0" distB="0" distL="114300" distR="114300" simplePos="0" relativeHeight="251670528" behindDoc="0" locked="0" layoutInCell="1" allowOverlap="1" wp14:anchorId="724B31D2" wp14:editId="49C339CD">
                  <wp:simplePos x="0" y="0"/>
                  <wp:positionH relativeFrom="rightMargin">
                    <wp:align>center</wp:align>
                  </wp:positionH>
                  <wp:positionV relativeFrom="bottomMargin">
                    <wp:align>center</wp:align>
                  </wp:positionV>
                  <wp:extent cx="565785" cy="191770"/>
                  <wp:effectExtent l="0" t="0" r="0" b="0"/>
                  <wp:wrapNone/>
                  <wp:docPr id="1030647239"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2BEEBF2" w14:textId="77777777" w:rsidR="00A379F4" w:rsidRDefault="00A379F4">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C2DF8" w:rsidRPr="00CC2DF8">
                                <w:rPr>
                                  <w:noProof/>
                                  <w:color w:val="ED7D31" w:themeColor="accent2"/>
                                </w:rPr>
                                <w:t>172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24B31D2" id="_x0000_s1031" style="position:absolute;left:0;text-align:left;margin-left:0;margin-top:0;width:44.55pt;height:15.1pt;rotation:180;flip:x;z-index:25167052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" filled="f" fillcolor="#c0504d" stroked="f" strokecolor="#5c83b4" strokeweight="2.25pt">
                  <v:textbox inset=",0,,0">
                    <w:txbxContent>
                      <w:p w14:paraId="32BEEBF2" w14:textId="77777777" w:rsidR="00A379F4" w:rsidRDefault="00A379F4">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CC2DF8" w:rsidRPr="00CC2DF8">
                          <w:rPr>
                            <w:noProof/>
                            <w:color w:val="ED7D31" w:themeColor="accent2"/>
                          </w:rPr>
                          <w:t>172</w:t>
                        </w:r>
                        <w:r>
                          <w:rPr>
                            <w:color w:val="ED7D31" w:themeColor="accent2"/>
                          </w:rPr>
                          <w:fldChar w:fldCharType="end"/>
                        </w:r>
                      </w:p>
                    </w:txbxContent>
                  </v:textbox>
                  <w10:wrap anchorx="margin" anchory="margin"/>
                </v:rect>
              </w:pict>
            </mc:Fallback>
          </mc:AlternateContent>
        </w:r>
      </w:sdtContent>
    </w:sdt>
    <w:r w:rsidR="00A379F4">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400AC" w14:textId="77777777" w:rsidR="008D6EED" w:rsidRDefault="008D6EED" w:rsidP="0076000B">
      <w:pPr>
        <w:spacing w:after="0" w:line="240" w:lineRule="auto"/>
      </w:pPr>
      <w:bookmarkStart w:id="0" w:name="_Hlk158219708"/>
      <w:bookmarkEnd w:id="0"/>
      <w:r>
        <w:separator/>
      </w:r>
    </w:p>
  </w:footnote>
  <w:footnote w:type="continuationSeparator" w:id="0">
    <w:p w14:paraId="53502F04" w14:textId="77777777" w:rsidR="008D6EED" w:rsidRDefault="008D6EED" w:rsidP="0076000B">
      <w:pPr>
        <w:spacing w:after="0" w:line="240" w:lineRule="auto"/>
      </w:pPr>
      <w:r>
        <w:continuationSeparator/>
      </w:r>
    </w:p>
  </w:footnote>
  <w:footnote w:id="1">
    <w:p w14:paraId="5CCA6884" w14:textId="77777777" w:rsidR="003F2001" w:rsidRPr="00410AF3" w:rsidRDefault="003F2001" w:rsidP="003F2001">
      <w:pPr>
        <w:pStyle w:val="Tekstprzypisudolnego"/>
        <w:rPr>
          <w:sz w:val="16"/>
          <w:szCs w:val="16"/>
        </w:rPr>
      </w:pPr>
      <w:r w:rsidRPr="00410AF3">
        <w:rPr>
          <w:rStyle w:val="Odwoanieprzypisudolnego"/>
          <w:sz w:val="16"/>
          <w:szCs w:val="16"/>
        </w:rPr>
        <w:footnoteRef/>
      </w:r>
      <w:r w:rsidRPr="00410AF3">
        <w:rPr>
          <w:sz w:val="16"/>
          <w:szCs w:val="16"/>
        </w:rPr>
        <w:t xml:space="preserve"> Stosunek różnicy między liczbą urodzeń żywych i liczbą zgonów do liczby ludności w połowie badanego okresu lub do średniego stanu ludności w tym okresie – wyrażony w ‰ (tj. na 1000 ludności).</w:t>
      </w:r>
    </w:p>
  </w:footnote>
  <w:footnote w:id="2">
    <w:p w14:paraId="5C186991" w14:textId="77777777" w:rsidR="003F2001" w:rsidRPr="00410AF3" w:rsidRDefault="003F2001" w:rsidP="003F2001">
      <w:pPr>
        <w:pStyle w:val="Tekstprzypisudolnego"/>
        <w:rPr>
          <w:sz w:val="16"/>
          <w:szCs w:val="16"/>
        </w:rPr>
      </w:pPr>
      <w:r w:rsidRPr="00410AF3">
        <w:rPr>
          <w:rStyle w:val="Odwoanieprzypisudolnego"/>
          <w:sz w:val="16"/>
          <w:szCs w:val="16"/>
        </w:rPr>
        <w:footnoteRef/>
      </w:r>
      <w:r w:rsidRPr="00410AF3">
        <w:rPr>
          <w:sz w:val="16"/>
          <w:szCs w:val="16"/>
        </w:rPr>
        <w:t xml:space="preserve"> Oznacza przyrost/ubytek ludności danej jednostki administracyjnej na skutek migracji przypadający na 1000 mieszkańców tej jednostki (wg stanu na połowę badanego okresu).</w:t>
      </w:r>
    </w:p>
  </w:footnote>
  <w:footnote w:id="3">
    <w:p w14:paraId="2F96C2CF" w14:textId="77777777" w:rsidR="003F2001" w:rsidRPr="00410AF3" w:rsidRDefault="003F2001" w:rsidP="003F2001">
      <w:pPr>
        <w:pStyle w:val="Tekstprzypisudolnego"/>
        <w:rPr>
          <w:sz w:val="16"/>
          <w:szCs w:val="16"/>
        </w:rPr>
      </w:pPr>
      <w:r w:rsidRPr="00410AF3">
        <w:rPr>
          <w:rStyle w:val="Odwoanieprzypisudolnego"/>
          <w:sz w:val="16"/>
          <w:szCs w:val="16"/>
        </w:rPr>
        <w:footnoteRef/>
      </w:r>
      <w:r w:rsidRPr="00410AF3">
        <w:rPr>
          <w:sz w:val="16"/>
          <w:szCs w:val="16"/>
        </w:rPr>
        <w:t xml:space="preserve"> Kapitał ludzki w Polsce w 2010 r., red. Jerzy Auksztol, Urząd Statystyczny w Gdańsku, ISSN 2299-775X, Gdańsk 2012, str. 3.</w:t>
      </w:r>
    </w:p>
  </w:footnote>
  <w:footnote w:id="4">
    <w:p w14:paraId="45BC3E97" w14:textId="77777777" w:rsidR="003F2001" w:rsidRPr="00410AF3" w:rsidRDefault="003F2001" w:rsidP="003F2001">
      <w:pPr>
        <w:pStyle w:val="Tekstprzypisudolnego"/>
        <w:rPr>
          <w:sz w:val="16"/>
          <w:szCs w:val="16"/>
        </w:rPr>
      </w:pPr>
      <w:r w:rsidRPr="00410AF3">
        <w:rPr>
          <w:rStyle w:val="Odwoanieprzypisudolnego"/>
          <w:sz w:val="16"/>
          <w:szCs w:val="16"/>
        </w:rPr>
        <w:footnoteRef/>
      </w:r>
      <w:r w:rsidRPr="00410AF3">
        <w:rPr>
          <w:sz w:val="16"/>
          <w:szCs w:val="16"/>
        </w:rPr>
        <w:t xml:space="preserve"> Zgodnie z definicją GUS osoby pracujące to osoby wykonujące pracę przynoszącą im zarobek (w formie wynagrodzenia za pracę) lub dochód. Do pracujących zalicza się:</w:t>
      </w:r>
    </w:p>
    <w:p w14:paraId="61B9F3F4" w14:textId="77777777" w:rsidR="003F2001" w:rsidRPr="00410AF3" w:rsidRDefault="003F2001" w:rsidP="003F2001">
      <w:pPr>
        <w:pStyle w:val="Tekstprzypisudolnego"/>
        <w:rPr>
          <w:sz w:val="16"/>
          <w:szCs w:val="16"/>
        </w:rPr>
      </w:pPr>
      <w:r w:rsidRPr="00410AF3">
        <w:rPr>
          <w:sz w:val="16"/>
          <w:szCs w:val="16"/>
        </w:rPr>
        <w:t>Do pracujących zalicza się:</w:t>
      </w:r>
    </w:p>
    <w:p w14:paraId="35D0D452" w14:textId="77777777" w:rsidR="003F2001" w:rsidRPr="00410AF3" w:rsidRDefault="003F2001" w:rsidP="003F2001">
      <w:pPr>
        <w:pStyle w:val="Tekstprzypisudolnego"/>
        <w:rPr>
          <w:sz w:val="16"/>
          <w:szCs w:val="16"/>
        </w:rPr>
      </w:pPr>
      <w:r w:rsidRPr="00410AF3">
        <w:rPr>
          <w:sz w:val="16"/>
          <w:szCs w:val="16"/>
        </w:rPr>
        <w:t>1) pracowników najemnych, czyli osoby zatrudnione na podstawie stosunku pracy (umowa o pracę,</w:t>
      </w:r>
    </w:p>
    <w:p w14:paraId="276E3139" w14:textId="77777777" w:rsidR="003F2001" w:rsidRPr="00410AF3" w:rsidRDefault="003F2001" w:rsidP="003F2001">
      <w:pPr>
        <w:pStyle w:val="Tekstprzypisudolnego"/>
        <w:rPr>
          <w:sz w:val="16"/>
          <w:szCs w:val="16"/>
        </w:rPr>
      </w:pPr>
      <w:r w:rsidRPr="00410AF3">
        <w:rPr>
          <w:sz w:val="16"/>
          <w:szCs w:val="16"/>
        </w:rPr>
        <w:t>powołanie, mianowanie, wybór) lub stosunek służbowy;</w:t>
      </w:r>
    </w:p>
    <w:p w14:paraId="49630C9B" w14:textId="77777777" w:rsidR="003F2001" w:rsidRPr="00410AF3" w:rsidRDefault="003F2001" w:rsidP="003F2001">
      <w:pPr>
        <w:pStyle w:val="Tekstprzypisudolnego"/>
        <w:rPr>
          <w:sz w:val="16"/>
          <w:szCs w:val="16"/>
        </w:rPr>
      </w:pPr>
      <w:r w:rsidRPr="00410AF3">
        <w:rPr>
          <w:sz w:val="16"/>
          <w:szCs w:val="16"/>
        </w:rPr>
        <w:t>2) pracujących na własny rachunek łącznie z pomagającymi członkami rodziny;</w:t>
      </w:r>
    </w:p>
    <w:p w14:paraId="77E77949" w14:textId="77777777" w:rsidR="003F2001" w:rsidRPr="00410AF3" w:rsidRDefault="003F2001" w:rsidP="003F2001">
      <w:pPr>
        <w:pStyle w:val="Tekstprzypisudolnego"/>
        <w:rPr>
          <w:sz w:val="16"/>
          <w:szCs w:val="16"/>
        </w:rPr>
      </w:pPr>
      <w:r w:rsidRPr="00410AF3">
        <w:rPr>
          <w:sz w:val="16"/>
          <w:szCs w:val="16"/>
        </w:rPr>
        <w:t>3) osoby wykonujące pracę nakładczą;</w:t>
      </w:r>
    </w:p>
    <w:p w14:paraId="0624E3B4" w14:textId="77777777" w:rsidR="003F2001" w:rsidRPr="00410AF3" w:rsidRDefault="003F2001" w:rsidP="003F2001">
      <w:pPr>
        <w:pStyle w:val="Tekstprzypisudolnego"/>
        <w:rPr>
          <w:sz w:val="16"/>
          <w:szCs w:val="16"/>
        </w:rPr>
      </w:pPr>
      <w:r w:rsidRPr="00410AF3">
        <w:rPr>
          <w:sz w:val="16"/>
          <w:szCs w:val="16"/>
        </w:rPr>
        <w:t>4) członków spółdzielni produkcji rolniczej;</w:t>
      </w:r>
    </w:p>
    <w:p w14:paraId="50401F5F" w14:textId="77777777" w:rsidR="003F2001" w:rsidRPr="00410AF3" w:rsidRDefault="003F2001" w:rsidP="003F2001">
      <w:pPr>
        <w:pStyle w:val="Tekstprzypisudolnego"/>
        <w:rPr>
          <w:sz w:val="16"/>
          <w:szCs w:val="16"/>
        </w:rPr>
      </w:pPr>
      <w:r w:rsidRPr="00410AF3">
        <w:rPr>
          <w:sz w:val="16"/>
          <w:szCs w:val="16"/>
        </w:rPr>
        <w:t>5) duchownych pełniących obowiązki duszpasterskie.</w:t>
      </w:r>
    </w:p>
    <w:p w14:paraId="47005514" w14:textId="77777777" w:rsidR="003F2001" w:rsidRPr="00410AF3" w:rsidRDefault="003F2001" w:rsidP="003F2001">
      <w:pPr>
        <w:pStyle w:val="Tekstprzypisudolnego"/>
        <w:rPr>
          <w:sz w:val="16"/>
          <w:szCs w:val="16"/>
        </w:rPr>
      </w:pPr>
      <w:r w:rsidRPr="00410AF3">
        <w:rPr>
          <w:sz w:val="16"/>
          <w:szCs w:val="16"/>
        </w:rPr>
        <w:t>Zaprezentowane dane – zgodnie z metryką GUS – nie uwzględniają pracujących w jednostkach budżetowych działających w zakresie obrony narodowej i bezpieczeństwa publicznego.</w:t>
      </w:r>
    </w:p>
  </w:footnote>
  <w:footnote w:id="5">
    <w:p w14:paraId="72CCCABC" w14:textId="77777777" w:rsidR="003F2001" w:rsidRPr="00410AF3" w:rsidRDefault="003F2001" w:rsidP="003F2001">
      <w:pPr>
        <w:pStyle w:val="Tekstprzypisudolnego"/>
        <w:rPr>
          <w:sz w:val="16"/>
          <w:szCs w:val="16"/>
        </w:rPr>
      </w:pPr>
      <w:r w:rsidRPr="00410AF3">
        <w:rPr>
          <w:rStyle w:val="Odwoanieprzypisudolnego"/>
          <w:sz w:val="16"/>
          <w:szCs w:val="16"/>
        </w:rPr>
        <w:footnoteRef/>
      </w:r>
      <w:r w:rsidRPr="00410AF3">
        <w:rPr>
          <w:sz w:val="16"/>
          <w:szCs w:val="16"/>
        </w:rPr>
        <w:t xml:space="preserve"> Osoby bezrobotne długotrwale to osoby pozostające w rejestrze powiatowego urzędu pracy łącznie przez okres ponad 12 miesięcy w okresie ostatnich 2 lat, z wyłączeniem okresów odbywania stażu i przygotowania zawodowego dorosłych w miejscu pracy.</w:t>
      </w:r>
    </w:p>
  </w:footnote>
  <w:footnote w:id="6">
    <w:p w14:paraId="358A92C5" w14:textId="77777777" w:rsidR="003F2001" w:rsidRPr="00410AF3" w:rsidRDefault="003F2001" w:rsidP="003F2001">
      <w:pPr>
        <w:pStyle w:val="Tekstprzypisudolnego"/>
        <w:rPr>
          <w:sz w:val="16"/>
          <w:szCs w:val="16"/>
        </w:rPr>
      </w:pPr>
      <w:r w:rsidRPr="00410AF3">
        <w:rPr>
          <w:rStyle w:val="Odwoanieprzypisudolnego"/>
          <w:sz w:val="16"/>
          <w:szCs w:val="16"/>
        </w:rPr>
        <w:footnoteRef/>
      </w:r>
      <w:r w:rsidRPr="00410AF3">
        <w:rPr>
          <w:sz w:val="16"/>
          <w:szCs w:val="16"/>
        </w:rPr>
        <w:t xml:space="preserve"> Sekcje Polskiej Klasyfikacji Działalności 2007: Sekcja A – Rolnictwo, leśnictwo, łowiectwo i rybactwo; Sekcja B – Górnictwo i wydobywanie; Sekcja C – Przetwórstwo przemysłowe; Sekcja D – wytwarzanie i zaopatrywanie w energię elektryczną, gaz, parę wodną, gorącą wodę i powietrze do układów klimatyzacyjnych; Sekcja E – dostawa wody; gospodarowanie ściekami i odpadami oraz działalność związana z rekultywacją; Sekcja F – Budownictwo; Sekcja G – Handel hurtowy i detaliczny; naprawa pojazdów samochodowych, włączając motocykle; Sekcja H – Transport i gospodarka magazynowa; Sekcja I – Działalność związana z zakwaterowaniem i usługami gastronomicznymi; Sekcja J – Informacja i komunikacja; Sekcja K – Działalność finansowa i ubezpieczeniowa; Sekcja L – Działalność związana z obsługą rynku nieruchomości; Sekcja M – Działalność profesjonalna, naukowa i techniczna; Sekcja N – Działalność w zakresie usług administrowania i działalność wspierająca; Sekcja O – Administracja publiczna i obrona narodowa; obowiązkowe zabezpieczenia społeczne; Sekcja P – Edukacja; Sekcja Q – Opieka zdrowotna i pomoc społeczna; Sekcja R – Działalność związana z kulturą, rozrywką i rekreacją; Sekcja S – Pozostała działalność usługowa; Sekcja T – Gospodarstwa domowe zatrudniające pracowników; gospodarstwa domowe produkujące wyroby i świadczące usługi na własne potrzeby, Sekcja U – Organizacje i zespoły eksterytorialne.</w:t>
      </w:r>
    </w:p>
  </w:footnote>
  <w:footnote w:id="7">
    <w:p w14:paraId="202D6ECD" w14:textId="77777777" w:rsidR="003F2001" w:rsidRPr="00410AF3" w:rsidRDefault="003F2001" w:rsidP="003F2001">
      <w:pPr>
        <w:pStyle w:val="Tekstprzypisudolnego"/>
        <w:rPr>
          <w:sz w:val="16"/>
          <w:szCs w:val="16"/>
        </w:rPr>
      </w:pPr>
      <w:r w:rsidRPr="00410AF3">
        <w:rPr>
          <w:rStyle w:val="Odwoanieprzypisudolnego"/>
          <w:sz w:val="16"/>
          <w:szCs w:val="16"/>
        </w:rPr>
        <w:footnoteRef/>
      </w:r>
      <w:r w:rsidRPr="00410AF3">
        <w:rPr>
          <w:sz w:val="16"/>
          <w:szCs w:val="16"/>
        </w:rPr>
        <w:t xml:space="preserve"> Poziom wskaźnika lokalizacji, będący miarą koncentracji działalności na obszarze badanym w odniesieniu do obszaru referencyjnego (województwa lubelskiego), obliczono według wzoru:</w:t>
      </w:r>
    </w:p>
    <w:p w14:paraId="0A008325" w14:textId="77777777" w:rsidR="003F2001" w:rsidRPr="00410AF3" w:rsidRDefault="003F2001" w:rsidP="003F2001">
      <w:pPr>
        <w:pStyle w:val="Tekstprzypisudolnego"/>
        <w:rPr>
          <w:sz w:val="16"/>
          <w:szCs w:val="16"/>
        </w:rPr>
      </w:pPr>
      <w:r w:rsidRPr="00410AF3">
        <w:rPr>
          <w:sz w:val="16"/>
          <w:szCs w:val="16"/>
        </w:rPr>
        <w:t>LQ = (Etib / Etb) / (Etir / Etr) gdzie:</w:t>
      </w:r>
    </w:p>
    <w:p w14:paraId="50B3DFA8" w14:textId="77777777" w:rsidR="003F2001" w:rsidRPr="00410AF3" w:rsidRDefault="003F2001" w:rsidP="003F2001">
      <w:pPr>
        <w:pStyle w:val="Tekstprzypisudolnego"/>
        <w:rPr>
          <w:sz w:val="16"/>
          <w:szCs w:val="16"/>
        </w:rPr>
      </w:pPr>
      <w:r w:rsidRPr="00410AF3">
        <w:rPr>
          <w:sz w:val="16"/>
          <w:szCs w:val="16"/>
        </w:rPr>
        <w:t>Eib – zmienna w sektorze i, w obszarze badanym b, w danym okresie t,</w:t>
      </w:r>
    </w:p>
    <w:p w14:paraId="1F98193C" w14:textId="77777777" w:rsidR="003F2001" w:rsidRPr="00410AF3" w:rsidRDefault="003F2001" w:rsidP="003F2001">
      <w:pPr>
        <w:pStyle w:val="Tekstprzypisudolnego"/>
        <w:rPr>
          <w:sz w:val="16"/>
          <w:szCs w:val="16"/>
        </w:rPr>
      </w:pPr>
      <w:r w:rsidRPr="00410AF3">
        <w:rPr>
          <w:sz w:val="16"/>
          <w:szCs w:val="16"/>
        </w:rPr>
        <w:t>Eb – zmienna we wszystkich sektorach w badanym obszarze b, w danym okresie t,</w:t>
      </w:r>
    </w:p>
    <w:p w14:paraId="290CC72C" w14:textId="77777777" w:rsidR="003F2001" w:rsidRPr="00410AF3" w:rsidRDefault="003F2001" w:rsidP="003F2001">
      <w:pPr>
        <w:pStyle w:val="Tekstprzypisudolnego"/>
        <w:rPr>
          <w:sz w:val="16"/>
          <w:szCs w:val="16"/>
        </w:rPr>
      </w:pPr>
      <w:r w:rsidRPr="00410AF3">
        <w:rPr>
          <w:sz w:val="16"/>
          <w:szCs w:val="16"/>
        </w:rPr>
        <w:t>Eir –zmienna w sektorze i, w obszarze referencyjnym r, w danym okresie t,</w:t>
      </w:r>
    </w:p>
    <w:p w14:paraId="6A41BB8C" w14:textId="77777777" w:rsidR="003F2001" w:rsidRPr="00410AF3" w:rsidRDefault="003F2001" w:rsidP="003F2001">
      <w:pPr>
        <w:pStyle w:val="Tekstprzypisudolnego"/>
        <w:rPr>
          <w:sz w:val="16"/>
          <w:szCs w:val="16"/>
        </w:rPr>
      </w:pPr>
      <w:r w:rsidRPr="00410AF3">
        <w:rPr>
          <w:sz w:val="16"/>
          <w:szCs w:val="16"/>
        </w:rPr>
        <w:t>Er –zmienna we wszystkich sektorach w obszarze referencyjnym r, w danym okresie t.</w:t>
      </w:r>
    </w:p>
  </w:footnote>
  <w:footnote w:id="8">
    <w:p w14:paraId="76C4DE85" w14:textId="77777777" w:rsidR="003F2001" w:rsidRPr="00CE5FA0" w:rsidRDefault="003F2001" w:rsidP="003F2001">
      <w:pPr>
        <w:pStyle w:val="Tekstprzypisudolnego"/>
        <w:rPr>
          <w:sz w:val="16"/>
          <w:szCs w:val="16"/>
        </w:rPr>
      </w:pPr>
      <w:r w:rsidRPr="00CE5FA0">
        <w:rPr>
          <w:rStyle w:val="Odwoanieprzypisudolnego"/>
          <w:sz w:val="16"/>
          <w:szCs w:val="16"/>
        </w:rPr>
        <w:footnoteRef/>
      </w:r>
      <w:r w:rsidRPr="00CE5FA0">
        <w:rPr>
          <w:sz w:val="16"/>
          <w:szCs w:val="16"/>
        </w:rPr>
        <w:t xml:space="preserve"> „Wojewódzki Plan Transformacji Województwa Lubelskiego na lata 2022-2026” - Obwieszczenie Wojewody Lubelskiego z dnia 20 grudnia 2021 r. w sprawie ogłoszenia pierwszego Wojewódzkiego Planu Transformacji dla województwa lubelskiego na lata 2022-2026.</w:t>
      </w:r>
    </w:p>
  </w:footnote>
  <w:footnote w:id="9">
    <w:p w14:paraId="6D04C5B0" w14:textId="60E63A50" w:rsidR="007F4643" w:rsidRPr="007F4643" w:rsidRDefault="007F4643">
      <w:pPr>
        <w:pStyle w:val="Tekstprzypisudolnego"/>
        <w:rPr>
          <w:sz w:val="18"/>
          <w:szCs w:val="18"/>
        </w:rPr>
      </w:pPr>
      <w:r w:rsidRPr="007F4643">
        <w:rPr>
          <w:rStyle w:val="Odwoanieprzypisudolnego"/>
          <w:sz w:val="18"/>
          <w:szCs w:val="18"/>
        </w:rPr>
        <w:footnoteRef/>
      </w:r>
      <w:r w:rsidRPr="007F4643">
        <w:rPr>
          <w:sz w:val="18"/>
          <w:szCs w:val="18"/>
        </w:rPr>
        <w:t xml:space="preserve"> Miejski Obszar Funkcjonaln</w:t>
      </w:r>
      <w:r>
        <w:rPr>
          <w:sz w:val="18"/>
          <w:szCs w:val="18"/>
        </w:rPr>
        <w:t>y (MOF)</w:t>
      </w:r>
      <w:r w:rsidRPr="007F4643">
        <w:rPr>
          <w:sz w:val="18"/>
          <w:szCs w:val="18"/>
        </w:rPr>
        <w:t xml:space="preserve"> Opol</w:t>
      </w:r>
      <w:r>
        <w:rPr>
          <w:sz w:val="18"/>
          <w:szCs w:val="18"/>
        </w:rPr>
        <w:t>a</w:t>
      </w:r>
      <w:r w:rsidRPr="007F4643">
        <w:rPr>
          <w:sz w:val="18"/>
          <w:szCs w:val="18"/>
        </w:rPr>
        <w:t xml:space="preserve"> Lubelskiego obejmuje: część miejsk</w:t>
      </w:r>
      <w:r>
        <w:rPr>
          <w:sz w:val="18"/>
          <w:szCs w:val="18"/>
        </w:rPr>
        <w:t>ą</w:t>
      </w:r>
      <w:r w:rsidRPr="007F4643">
        <w:rPr>
          <w:sz w:val="18"/>
          <w:szCs w:val="18"/>
        </w:rPr>
        <w:t xml:space="preserve"> gminy miejsko-wiejskiej Opole Lubelskie – jako ośrodek rdzeniowy, część wiejsk</w:t>
      </w:r>
      <w:r>
        <w:rPr>
          <w:sz w:val="18"/>
          <w:szCs w:val="18"/>
        </w:rPr>
        <w:t>ą</w:t>
      </w:r>
      <w:r w:rsidRPr="007F4643">
        <w:rPr>
          <w:sz w:val="18"/>
          <w:szCs w:val="18"/>
        </w:rPr>
        <w:t xml:space="preserve"> gminy miejsko-wiejskiej Opole Lubelskie, gmin</w:t>
      </w:r>
      <w:r>
        <w:rPr>
          <w:sz w:val="18"/>
          <w:szCs w:val="18"/>
        </w:rPr>
        <w:t>ę</w:t>
      </w:r>
      <w:r w:rsidRPr="007F4643">
        <w:rPr>
          <w:sz w:val="18"/>
          <w:szCs w:val="18"/>
        </w:rPr>
        <w:t xml:space="preserve"> miejsko-wiejsk</w:t>
      </w:r>
      <w:r>
        <w:rPr>
          <w:sz w:val="18"/>
          <w:szCs w:val="18"/>
        </w:rPr>
        <w:t>ą</w:t>
      </w:r>
      <w:r w:rsidRPr="007F4643">
        <w:rPr>
          <w:sz w:val="18"/>
          <w:szCs w:val="18"/>
        </w:rPr>
        <w:t xml:space="preserve"> Poniatowa oraz dwie</w:t>
      </w:r>
      <w:r>
        <w:rPr>
          <w:sz w:val="18"/>
          <w:szCs w:val="18"/>
        </w:rPr>
        <w:t xml:space="preserve"> </w:t>
      </w:r>
      <w:r w:rsidRPr="007F4643">
        <w:rPr>
          <w:sz w:val="18"/>
          <w:szCs w:val="18"/>
        </w:rPr>
        <w:t>gminy wiejskie Chodel i  Karczmiska – jako strefa zewnętrzna MOF</w:t>
      </w:r>
      <w:r>
        <w:rPr>
          <w:sz w:val="18"/>
          <w:szCs w:val="18"/>
        </w:rPr>
        <w:t>.</w:t>
      </w:r>
    </w:p>
  </w:footnote>
  <w:footnote w:id="10">
    <w:p w14:paraId="041FD5F7" w14:textId="5F781957" w:rsidR="00D07DF8" w:rsidRPr="00D07DF8" w:rsidRDefault="00D07DF8">
      <w:pPr>
        <w:pStyle w:val="Tekstprzypisudolnego"/>
        <w:rPr>
          <w:sz w:val="18"/>
          <w:szCs w:val="18"/>
        </w:rPr>
      </w:pPr>
      <w:r w:rsidRPr="00D07DF8">
        <w:rPr>
          <w:rStyle w:val="Odwoanieprzypisudolnego"/>
          <w:sz w:val="18"/>
          <w:szCs w:val="18"/>
        </w:rPr>
        <w:footnoteRef/>
      </w:r>
      <w:r w:rsidRPr="00D07DF8">
        <w:rPr>
          <w:sz w:val="18"/>
          <w:szCs w:val="18"/>
        </w:rPr>
        <w:t xml:space="preserve"> Źródło: SRWL 2030</w:t>
      </w:r>
    </w:p>
  </w:footnote>
  <w:footnote w:id="11">
    <w:p w14:paraId="4943F68A" w14:textId="77777777" w:rsidR="00A3028A" w:rsidRPr="00731B34" w:rsidRDefault="00A3028A" w:rsidP="00A3028A">
      <w:pPr>
        <w:pStyle w:val="Tekstprzypisudolnego"/>
        <w:rPr>
          <w:sz w:val="18"/>
          <w:szCs w:val="18"/>
        </w:rPr>
      </w:pPr>
      <w:r w:rsidRPr="007A6B47">
        <w:rPr>
          <w:rStyle w:val="Odwoanieprzypisudolnego"/>
          <w:sz w:val="18"/>
          <w:szCs w:val="18"/>
        </w:rPr>
        <w:footnoteRef/>
      </w:r>
      <w:r w:rsidRPr="007A6B47">
        <w:rPr>
          <w:sz w:val="18"/>
          <w:szCs w:val="18"/>
        </w:rPr>
        <w:t xml:space="preserve"> </w:t>
      </w:r>
      <w:r w:rsidRPr="007A6B47">
        <w:rPr>
          <w:rFonts w:eastAsia="Calibri" w:cs="Calibri Light"/>
          <w:sz w:val="18"/>
          <w:szCs w:val="18"/>
        </w:rPr>
        <w:t xml:space="preserve">Formuła PPP opiera się na realizacji zadań publicznych na mocy wieloletniej umowy określającej podział zadań i  ryzyk pomiędzy podmiotem publicznym a partnerem prywatnym. Celem PPP jest świadczenie określonej usługi publicznej przez partnera prywatnego w oparciu o infrastrukturę publiczną, za wynagrodzeniem. Realizacja inwestycji w formule PPP to szereg korzyści dla instytucji publicznych, a przede wszystkim możliwość optymalizacji wydatkowania środków budżetowych poprzez </w:t>
      </w:r>
      <w:r w:rsidRPr="00731B34">
        <w:rPr>
          <w:rFonts w:eastAsia="Calibri" w:cs="Calibri Light"/>
          <w:sz w:val="18"/>
          <w:szCs w:val="18"/>
        </w:rPr>
        <w:t>zaangażowanie kapitału prywatnego w inwestycje publiczne, oraz możliwość skorzystania z wiedzy i doświadczenia biznesu. (więcej informacji: https://www.ppp.gov.pl/)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B7256" w14:textId="77777777" w:rsidR="001941F8" w:rsidRPr="00C3476C" w:rsidRDefault="001941F8" w:rsidP="001941F8">
    <w:pPr>
      <w:pStyle w:val="Nagwek"/>
      <w:jc w:val="right"/>
      <w:rPr>
        <w:sz w:val="18"/>
        <w:szCs w:val="18"/>
      </w:rPr>
    </w:pPr>
    <w:r w:rsidRPr="001941F8">
      <w:rPr>
        <w:color w:val="BFBFBF" w:themeColor="background1" w:themeShade="BF"/>
        <w:sz w:val="18"/>
        <w:szCs w:val="18"/>
      </w:rPr>
      <w:t>Strategia Rozwoju Gminy Opole Lubelskie na lata 2025 - 2030</w:t>
    </w:r>
  </w:p>
  <w:p w14:paraId="4C99DF72" w14:textId="77777777" w:rsidR="001941F8" w:rsidRDefault="001941F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5B7F6" w14:textId="6A6297A0" w:rsidR="0076000B" w:rsidRPr="00C3476C" w:rsidRDefault="006E02AC" w:rsidP="0039177E">
    <w:pPr>
      <w:pStyle w:val="Nagwek"/>
      <w:jc w:val="right"/>
      <w:rPr>
        <w:sz w:val="18"/>
        <w:szCs w:val="18"/>
      </w:rPr>
    </w:pPr>
    <w:bookmarkStart w:id="213" w:name="_Hlk158220089"/>
    <w:bookmarkStart w:id="214" w:name="_Hlk158220090"/>
    <w:r w:rsidRPr="000A3C96">
      <w:rPr>
        <w:color w:val="A6A6A6"/>
        <w:sz w:val="18"/>
        <w:szCs w:val="18"/>
      </w:rPr>
      <w:t>Strategia Rozwoju Gminy Opole Lubelskie na lata 202</w:t>
    </w:r>
    <w:r w:rsidR="00796F22">
      <w:rPr>
        <w:color w:val="A6A6A6"/>
        <w:sz w:val="18"/>
        <w:szCs w:val="18"/>
      </w:rPr>
      <w:t>5</w:t>
    </w:r>
    <w:r w:rsidRPr="000A3C96">
      <w:rPr>
        <w:color w:val="A6A6A6"/>
        <w:sz w:val="18"/>
        <w:szCs w:val="18"/>
      </w:rPr>
      <w:t xml:space="preserve"> - 2030</w:t>
    </w:r>
    <w:bookmarkEnd w:id="213"/>
    <w:bookmarkEnd w:id="2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8EC1F" w14:textId="77777777" w:rsidR="00A379F4" w:rsidRPr="00C3476C" w:rsidRDefault="00A379F4" w:rsidP="00A379F4">
    <w:pPr>
      <w:pStyle w:val="Nagwek"/>
      <w:jc w:val="right"/>
      <w:rPr>
        <w:sz w:val="18"/>
        <w:szCs w:val="18"/>
      </w:rPr>
    </w:pPr>
    <w:r w:rsidRPr="000A3C96">
      <w:rPr>
        <w:color w:val="A6A6A6"/>
        <w:sz w:val="18"/>
        <w:szCs w:val="18"/>
      </w:rPr>
      <w:t>Strategia Rozwoju Gminy Opole Lubelskie na lata 202</w:t>
    </w:r>
    <w:r>
      <w:rPr>
        <w:color w:val="A6A6A6"/>
        <w:sz w:val="18"/>
        <w:szCs w:val="18"/>
      </w:rPr>
      <w:t>5</w:t>
    </w:r>
    <w:r w:rsidRPr="000A3C96">
      <w:rPr>
        <w:color w:val="A6A6A6"/>
        <w:sz w:val="18"/>
        <w:szCs w:val="18"/>
      </w:rPr>
      <w:t xml:space="preserve"> - 2030</w:t>
    </w:r>
  </w:p>
  <w:p w14:paraId="3C041A89" w14:textId="77777777" w:rsidR="000D2078" w:rsidRDefault="000D2078" w:rsidP="000D2078">
    <w:pPr>
      <w:pStyle w:val="Nagwek"/>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4EFF7" w14:textId="77777777" w:rsidR="00B260AA" w:rsidRPr="00C3476C" w:rsidRDefault="00B260AA" w:rsidP="00B260AA">
    <w:pPr>
      <w:pStyle w:val="Nagwek"/>
      <w:jc w:val="right"/>
      <w:rPr>
        <w:sz w:val="18"/>
        <w:szCs w:val="18"/>
      </w:rPr>
    </w:pPr>
    <w:r w:rsidRPr="000A3C96">
      <w:rPr>
        <w:color w:val="A6A6A6"/>
        <w:sz w:val="18"/>
        <w:szCs w:val="18"/>
      </w:rPr>
      <w:t>Strategia Rozwoju Gminy Opole Lubelskie na lata 202</w:t>
    </w:r>
    <w:r>
      <w:rPr>
        <w:color w:val="A6A6A6"/>
        <w:sz w:val="18"/>
        <w:szCs w:val="18"/>
      </w:rPr>
      <w:t>5</w:t>
    </w:r>
    <w:r w:rsidRPr="000A3C96">
      <w:rPr>
        <w:color w:val="A6A6A6"/>
        <w:sz w:val="18"/>
        <w:szCs w:val="18"/>
      </w:rPr>
      <w:t xml:space="preserve"> - 2030</w:t>
    </w:r>
  </w:p>
  <w:p w14:paraId="2BAB9ACA" w14:textId="4548C0B0" w:rsidR="003F2902" w:rsidRDefault="003F2902">
    <w:pPr>
      <w:pStyle w:val="Nagwek"/>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C4C6C" w14:textId="77777777" w:rsidR="00D03302" w:rsidRPr="00C3476C" w:rsidRDefault="00D03302" w:rsidP="00D03302">
    <w:pPr>
      <w:pStyle w:val="Nagwek"/>
      <w:jc w:val="right"/>
      <w:rPr>
        <w:sz w:val="18"/>
        <w:szCs w:val="18"/>
      </w:rPr>
    </w:pPr>
    <w:r w:rsidRPr="000A3C96">
      <w:rPr>
        <w:color w:val="A6A6A6"/>
        <w:sz w:val="18"/>
        <w:szCs w:val="18"/>
      </w:rPr>
      <w:t>Strategia Rozwoju Gminy Opole Lubelskie na lata 202</w:t>
    </w:r>
    <w:r>
      <w:rPr>
        <w:color w:val="A6A6A6"/>
        <w:sz w:val="18"/>
        <w:szCs w:val="18"/>
      </w:rPr>
      <w:t>5</w:t>
    </w:r>
    <w:r w:rsidRPr="000A3C96">
      <w:rPr>
        <w:color w:val="A6A6A6"/>
        <w:sz w:val="18"/>
        <w:szCs w:val="18"/>
      </w:rPr>
      <w:t xml:space="preserve"> - 2030</w:t>
    </w:r>
  </w:p>
  <w:p w14:paraId="1E1270D8" w14:textId="77777777" w:rsidR="003F2902" w:rsidRDefault="003F290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D4E"/>
    <w:multiLevelType w:val="hybridMultilevel"/>
    <w:tmpl w:val="AB28AA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795119"/>
    <w:multiLevelType w:val="hybridMultilevel"/>
    <w:tmpl w:val="D1844F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601572"/>
    <w:multiLevelType w:val="hybridMultilevel"/>
    <w:tmpl w:val="DE8A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03049B"/>
    <w:multiLevelType w:val="hybridMultilevel"/>
    <w:tmpl w:val="3110C0EC"/>
    <w:lvl w:ilvl="0" w:tplc="63BED4C0">
      <w:start w:val="1"/>
      <w:numFmt w:val="bullet"/>
      <w:lvlText w:val=""/>
      <w:lvlJc w:val="left"/>
      <w:pPr>
        <w:ind w:left="720" w:hanging="360"/>
      </w:pPr>
      <w:rPr>
        <w:rFonts w:ascii="Wingdings" w:hAnsi="Wingdings"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4726C8"/>
    <w:multiLevelType w:val="hybridMultilevel"/>
    <w:tmpl w:val="DE8A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BE79C3"/>
    <w:multiLevelType w:val="hybridMultilevel"/>
    <w:tmpl w:val="18AE378E"/>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715D70"/>
    <w:multiLevelType w:val="hybridMultilevel"/>
    <w:tmpl w:val="9CCE2384"/>
    <w:lvl w:ilvl="0" w:tplc="F18E8ECC">
      <w:start w:val="1"/>
      <w:numFmt w:val="bullet"/>
      <w:lvlText w:val=""/>
      <w:lvlJc w:val="left"/>
      <w:pPr>
        <w:ind w:left="720" w:hanging="360"/>
      </w:pPr>
      <w:rPr>
        <w:rFonts w:ascii="Wingdings" w:hAnsi="Wingdings" w:hint="default"/>
        <w:color w:val="833C0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9B2045"/>
    <w:multiLevelType w:val="hybridMultilevel"/>
    <w:tmpl w:val="EC38DD70"/>
    <w:lvl w:ilvl="0" w:tplc="40B27558">
      <w:start w:val="1"/>
      <w:numFmt w:val="bullet"/>
      <w:lvlText w:val=""/>
      <w:lvlJc w:val="left"/>
      <w:pPr>
        <w:ind w:left="720" w:hanging="360"/>
      </w:pPr>
      <w:rPr>
        <w:rFonts w:ascii="Wingdings" w:hAnsi="Wingding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78B0AD0"/>
    <w:multiLevelType w:val="hybridMultilevel"/>
    <w:tmpl w:val="9BEA0572"/>
    <w:lvl w:ilvl="0" w:tplc="63BED4C0">
      <w:start w:val="1"/>
      <w:numFmt w:val="bullet"/>
      <w:lvlText w:val=""/>
      <w:lvlJc w:val="left"/>
      <w:pPr>
        <w:ind w:left="720" w:hanging="360"/>
      </w:pPr>
      <w:rPr>
        <w:rFonts w:ascii="Wingdings" w:hAnsi="Wingdings"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0E23A9"/>
    <w:multiLevelType w:val="hybridMultilevel"/>
    <w:tmpl w:val="72602616"/>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6A7BA3"/>
    <w:multiLevelType w:val="hybridMultilevel"/>
    <w:tmpl w:val="E8B886FA"/>
    <w:lvl w:ilvl="0" w:tplc="73FAD2AA">
      <w:start w:val="1"/>
      <w:numFmt w:val="decimal"/>
      <w:lvlText w:val="%1."/>
      <w:lvlJc w:val="left"/>
      <w:pPr>
        <w:ind w:left="1068" w:hanging="708"/>
      </w:pPr>
      <w:rPr>
        <w:rFonts w:ascii="Century Gothic" w:hAnsi="Century Gothic" w:hint="default"/>
        <w:b w:val="0"/>
        <w:bCs/>
        <w:i w:val="0"/>
        <w:color w:val="auto"/>
        <w:sz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B646E4"/>
    <w:multiLevelType w:val="hybridMultilevel"/>
    <w:tmpl w:val="D8ACEA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A04777F"/>
    <w:multiLevelType w:val="hybridMultilevel"/>
    <w:tmpl w:val="19E262F6"/>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ED5BC4"/>
    <w:multiLevelType w:val="hybridMultilevel"/>
    <w:tmpl w:val="921473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BC94596"/>
    <w:multiLevelType w:val="hybridMultilevel"/>
    <w:tmpl w:val="8F4282DA"/>
    <w:lvl w:ilvl="0" w:tplc="3B86016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0D290DB9"/>
    <w:multiLevelType w:val="hybridMultilevel"/>
    <w:tmpl w:val="2AA08022"/>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550E0C"/>
    <w:multiLevelType w:val="hybridMultilevel"/>
    <w:tmpl w:val="442CC1B2"/>
    <w:lvl w:ilvl="0" w:tplc="F18E8ECC">
      <w:start w:val="1"/>
      <w:numFmt w:val="bullet"/>
      <w:lvlText w:val=""/>
      <w:lvlJc w:val="left"/>
      <w:pPr>
        <w:ind w:left="720" w:hanging="360"/>
      </w:pPr>
      <w:rPr>
        <w:rFonts w:ascii="Wingdings" w:hAnsi="Wingdings" w:hint="default"/>
        <w:color w:val="833C0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2992884"/>
    <w:multiLevelType w:val="hybridMultilevel"/>
    <w:tmpl w:val="BF026694"/>
    <w:lvl w:ilvl="0" w:tplc="04150001">
      <w:start w:val="1"/>
      <w:numFmt w:val="bullet"/>
      <w:lvlText w:val=""/>
      <w:lvlJc w:val="left"/>
      <w:pPr>
        <w:ind w:left="1810" w:hanging="360"/>
      </w:pPr>
      <w:rPr>
        <w:rFonts w:ascii="Symbol" w:hAnsi="Symbol" w:hint="default"/>
      </w:rPr>
    </w:lvl>
    <w:lvl w:ilvl="1" w:tplc="04150003" w:tentative="1">
      <w:start w:val="1"/>
      <w:numFmt w:val="bullet"/>
      <w:lvlText w:val="o"/>
      <w:lvlJc w:val="left"/>
      <w:pPr>
        <w:ind w:left="2530" w:hanging="360"/>
      </w:pPr>
      <w:rPr>
        <w:rFonts w:ascii="Courier New" w:hAnsi="Courier New" w:cs="Courier New" w:hint="default"/>
      </w:rPr>
    </w:lvl>
    <w:lvl w:ilvl="2" w:tplc="04150005" w:tentative="1">
      <w:start w:val="1"/>
      <w:numFmt w:val="bullet"/>
      <w:lvlText w:val=""/>
      <w:lvlJc w:val="left"/>
      <w:pPr>
        <w:ind w:left="3250" w:hanging="360"/>
      </w:pPr>
      <w:rPr>
        <w:rFonts w:ascii="Wingdings" w:hAnsi="Wingdings" w:hint="default"/>
      </w:rPr>
    </w:lvl>
    <w:lvl w:ilvl="3" w:tplc="04150001" w:tentative="1">
      <w:start w:val="1"/>
      <w:numFmt w:val="bullet"/>
      <w:lvlText w:val=""/>
      <w:lvlJc w:val="left"/>
      <w:pPr>
        <w:ind w:left="3970" w:hanging="360"/>
      </w:pPr>
      <w:rPr>
        <w:rFonts w:ascii="Symbol" w:hAnsi="Symbol" w:hint="default"/>
      </w:rPr>
    </w:lvl>
    <w:lvl w:ilvl="4" w:tplc="04150003" w:tentative="1">
      <w:start w:val="1"/>
      <w:numFmt w:val="bullet"/>
      <w:lvlText w:val="o"/>
      <w:lvlJc w:val="left"/>
      <w:pPr>
        <w:ind w:left="4690" w:hanging="360"/>
      </w:pPr>
      <w:rPr>
        <w:rFonts w:ascii="Courier New" w:hAnsi="Courier New" w:cs="Courier New" w:hint="default"/>
      </w:rPr>
    </w:lvl>
    <w:lvl w:ilvl="5" w:tplc="04150005" w:tentative="1">
      <w:start w:val="1"/>
      <w:numFmt w:val="bullet"/>
      <w:lvlText w:val=""/>
      <w:lvlJc w:val="left"/>
      <w:pPr>
        <w:ind w:left="5410" w:hanging="360"/>
      </w:pPr>
      <w:rPr>
        <w:rFonts w:ascii="Wingdings" w:hAnsi="Wingdings" w:hint="default"/>
      </w:rPr>
    </w:lvl>
    <w:lvl w:ilvl="6" w:tplc="04150001" w:tentative="1">
      <w:start w:val="1"/>
      <w:numFmt w:val="bullet"/>
      <w:lvlText w:val=""/>
      <w:lvlJc w:val="left"/>
      <w:pPr>
        <w:ind w:left="6130" w:hanging="360"/>
      </w:pPr>
      <w:rPr>
        <w:rFonts w:ascii="Symbol" w:hAnsi="Symbol" w:hint="default"/>
      </w:rPr>
    </w:lvl>
    <w:lvl w:ilvl="7" w:tplc="04150003" w:tentative="1">
      <w:start w:val="1"/>
      <w:numFmt w:val="bullet"/>
      <w:lvlText w:val="o"/>
      <w:lvlJc w:val="left"/>
      <w:pPr>
        <w:ind w:left="6850" w:hanging="360"/>
      </w:pPr>
      <w:rPr>
        <w:rFonts w:ascii="Courier New" w:hAnsi="Courier New" w:cs="Courier New" w:hint="default"/>
      </w:rPr>
    </w:lvl>
    <w:lvl w:ilvl="8" w:tplc="04150005" w:tentative="1">
      <w:start w:val="1"/>
      <w:numFmt w:val="bullet"/>
      <w:lvlText w:val=""/>
      <w:lvlJc w:val="left"/>
      <w:pPr>
        <w:ind w:left="7570" w:hanging="360"/>
      </w:pPr>
      <w:rPr>
        <w:rFonts w:ascii="Wingdings" w:hAnsi="Wingdings" w:hint="default"/>
      </w:rPr>
    </w:lvl>
  </w:abstractNum>
  <w:abstractNum w:abstractNumId="18" w15:restartNumberingAfterBreak="0">
    <w:nsid w:val="136A0B1A"/>
    <w:multiLevelType w:val="hybridMultilevel"/>
    <w:tmpl w:val="9A8A3308"/>
    <w:lvl w:ilvl="0" w:tplc="40B27558">
      <w:start w:val="1"/>
      <w:numFmt w:val="bullet"/>
      <w:lvlText w:val=""/>
      <w:lvlJc w:val="left"/>
      <w:pPr>
        <w:ind w:left="720" w:hanging="360"/>
      </w:pPr>
      <w:rPr>
        <w:rFonts w:ascii="Wingdings" w:hAnsi="Wingding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3944D99"/>
    <w:multiLevelType w:val="hybridMultilevel"/>
    <w:tmpl w:val="6E2ADE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3FB47D7"/>
    <w:multiLevelType w:val="hybridMultilevel"/>
    <w:tmpl w:val="95D212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5923AC9"/>
    <w:multiLevelType w:val="hybridMultilevel"/>
    <w:tmpl w:val="FFD42F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B544A1"/>
    <w:multiLevelType w:val="hybridMultilevel"/>
    <w:tmpl w:val="E4F63B9A"/>
    <w:lvl w:ilvl="0" w:tplc="FFFFFFFF">
      <w:start w:val="1"/>
      <w:numFmt w:val="bullet"/>
      <w:lvlText w:val=""/>
      <w:lvlJc w:val="left"/>
      <w:pPr>
        <w:ind w:left="1080" w:hanging="360"/>
      </w:pPr>
      <w:rPr>
        <w:rFonts w:ascii="Wingdings" w:hAnsi="Wingdings" w:hint="default"/>
      </w:rPr>
    </w:lvl>
    <w:lvl w:ilvl="1" w:tplc="37865B4E">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6DC3491"/>
    <w:multiLevelType w:val="hybridMultilevel"/>
    <w:tmpl w:val="AC28F8F6"/>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6556B6"/>
    <w:multiLevelType w:val="hybridMultilevel"/>
    <w:tmpl w:val="91C4B20E"/>
    <w:lvl w:ilvl="0" w:tplc="F18E8ECC">
      <w:start w:val="1"/>
      <w:numFmt w:val="bullet"/>
      <w:lvlText w:val=""/>
      <w:lvlJc w:val="left"/>
      <w:pPr>
        <w:ind w:left="720" w:hanging="360"/>
      </w:pPr>
      <w:rPr>
        <w:rFonts w:ascii="Wingdings" w:hAnsi="Wingdings" w:hint="default"/>
        <w:color w:val="833C0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CC55632"/>
    <w:multiLevelType w:val="hybridMultilevel"/>
    <w:tmpl w:val="9B06CFA8"/>
    <w:lvl w:ilvl="0" w:tplc="E124A206">
      <w:start w:val="1"/>
      <w:numFmt w:val="decimal"/>
      <w:lvlText w:val="%1."/>
      <w:lvlJc w:val="left"/>
      <w:pPr>
        <w:ind w:left="720" w:hanging="360"/>
      </w:pPr>
      <w:rPr>
        <w:b/>
        <w:bCs/>
        <w:color w:val="C4591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380094"/>
    <w:multiLevelType w:val="multilevel"/>
    <w:tmpl w:val="D4428ACE"/>
    <w:lvl w:ilvl="0">
      <w:start w:val="1"/>
      <w:numFmt w:val="decimal"/>
      <w:lvlText w:val="%1."/>
      <w:lvlJc w:val="left"/>
      <w:pPr>
        <w:ind w:left="720" w:hanging="360"/>
      </w:pPr>
      <w:rPr>
        <w:b/>
        <w:bCs/>
        <w:color w:val="C45911"/>
      </w:rPr>
    </w:lvl>
    <w:lvl w:ilvl="1">
      <w:start w:val="3"/>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3552609"/>
    <w:multiLevelType w:val="hybridMultilevel"/>
    <w:tmpl w:val="E4E0E340"/>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7A7055"/>
    <w:multiLevelType w:val="hybridMultilevel"/>
    <w:tmpl w:val="90B85F1C"/>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86E3A9B"/>
    <w:multiLevelType w:val="hybridMultilevel"/>
    <w:tmpl w:val="17AC8AA8"/>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D81551"/>
    <w:multiLevelType w:val="hybridMultilevel"/>
    <w:tmpl w:val="EEAA9E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ABE7589"/>
    <w:multiLevelType w:val="hybridMultilevel"/>
    <w:tmpl w:val="DE8A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B1154F0"/>
    <w:multiLevelType w:val="hybridMultilevel"/>
    <w:tmpl w:val="8422A5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9E76FF"/>
    <w:multiLevelType w:val="hybridMultilevel"/>
    <w:tmpl w:val="D298CD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BB4507F"/>
    <w:multiLevelType w:val="hybridMultilevel"/>
    <w:tmpl w:val="BC5CA9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CF60C57"/>
    <w:multiLevelType w:val="hybridMultilevel"/>
    <w:tmpl w:val="A0ECED6C"/>
    <w:lvl w:ilvl="0" w:tplc="04150001">
      <w:start w:val="1"/>
      <w:numFmt w:val="bullet"/>
      <w:lvlText w:val=""/>
      <w:lvlJc w:val="left"/>
      <w:pPr>
        <w:ind w:left="720" w:hanging="360"/>
      </w:pPr>
      <w:rPr>
        <w:rFonts w:ascii="Symbol" w:hAnsi="Symbol" w:hint="default"/>
      </w:rPr>
    </w:lvl>
    <w:lvl w:ilvl="1" w:tplc="958E0DD2">
      <w:start w:val="1"/>
      <w:numFmt w:val="bullet"/>
      <w:lvlText w:val=""/>
      <w:lvlJc w:val="left"/>
      <w:pPr>
        <w:ind w:left="1440" w:hanging="360"/>
      </w:pPr>
      <w:rPr>
        <w:rFonts w:ascii="Wingdings" w:hAnsi="Wingdings" w:hint="default"/>
        <w:color w:val="auto"/>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DB81925"/>
    <w:multiLevelType w:val="hybridMultilevel"/>
    <w:tmpl w:val="BCDCC232"/>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DC2316E"/>
    <w:multiLevelType w:val="hybridMultilevel"/>
    <w:tmpl w:val="F45297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2A0AB3"/>
    <w:multiLevelType w:val="hybridMultilevel"/>
    <w:tmpl w:val="48A43EAE"/>
    <w:lvl w:ilvl="0" w:tplc="3B86016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00C6D76"/>
    <w:multiLevelType w:val="hybridMultilevel"/>
    <w:tmpl w:val="51802BA8"/>
    <w:lvl w:ilvl="0" w:tplc="92D809A8">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0282A73"/>
    <w:multiLevelType w:val="hybridMultilevel"/>
    <w:tmpl w:val="589A90CC"/>
    <w:lvl w:ilvl="0" w:tplc="DF94BA50">
      <w:start w:val="1"/>
      <w:numFmt w:val="bullet"/>
      <w:lvlText w:val=""/>
      <w:lvlJc w:val="left"/>
      <w:pPr>
        <w:ind w:left="807" w:hanging="360"/>
      </w:pPr>
      <w:rPr>
        <w:rFonts w:ascii="Wingdings" w:hAnsi="Wingdings" w:hint="default"/>
        <w:color w:val="4472C4" w:themeColor="accent1"/>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41" w15:restartNumberingAfterBreak="0">
    <w:nsid w:val="314A1535"/>
    <w:multiLevelType w:val="hybridMultilevel"/>
    <w:tmpl w:val="A06E2B94"/>
    <w:lvl w:ilvl="0" w:tplc="37DC4662">
      <w:start w:val="1"/>
      <w:numFmt w:val="decimal"/>
      <w:lvlText w:val="%1."/>
      <w:lvlJc w:val="left"/>
      <w:pPr>
        <w:ind w:left="720" w:hanging="360"/>
      </w:pPr>
      <w:rPr>
        <w:b/>
        <w:bCs/>
        <w:color w:val="C4591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2151FBD"/>
    <w:multiLevelType w:val="hybridMultilevel"/>
    <w:tmpl w:val="98965D34"/>
    <w:lvl w:ilvl="0" w:tplc="63BED4C0">
      <w:start w:val="1"/>
      <w:numFmt w:val="bullet"/>
      <w:lvlText w:val=""/>
      <w:lvlJc w:val="left"/>
      <w:pPr>
        <w:ind w:left="720" w:hanging="360"/>
      </w:pPr>
      <w:rPr>
        <w:rFonts w:ascii="Wingdings" w:hAnsi="Wingdings" w:hint="default"/>
        <w:color w:val="C45911" w:themeColor="accent2" w:themeShade="BF"/>
      </w:rPr>
    </w:lvl>
    <w:lvl w:ilvl="1" w:tplc="2BFCE1B4">
      <w:numFmt w:val="bullet"/>
      <w:lvlText w:val="•"/>
      <w:lvlJc w:val="left"/>
      <w:pPr>
        <w:ind w:left="1440" w:hanging="360"/>
      </w:pPr>
      <w:rPr>
        <w:rFonts w:ascii="Century Gothic" w:eastAsiaTheme="minorHAnsi" w:hAnsi="Century Gothic"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4863377"/>
    <w:multiLevelType w:val="hybridMultilevel"/>
    <w:tmpl w:val="6C6AA39E"/>
    <w:lvl w:ilvl="0" w:tplc="63BED4C0">
      <w:start w:val="1"/>
      <w:numFmt w:val="bullet"/>
      <w:lvlText w:val=""/>
      <w:lvlJc w:val="left"/>
      <w:pPr>
        <w:ind w:left="720" w:hanging="360"/>
      </w:pPr>
      <w:rPr>
        <w:rFonts w:ascii="Wingdings" w:hAnsi="Wingdings"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4887BE1"/>
    <w:multiLevelType w:val="hybridMultilevel"/>
    <w:tmpl w:val="80FA9FAE"/>
    <w:lvl w:ilvl="0" w:tplc="DF94BA50">
      <w:start w:val="1"/>
      <w:numFmt w:val="bullet"/>
      <w:lvlText w:val=""/>
      <w:lvlJc w:val="left"/>
      <w:pPr>
        <w:ind w:left="720" w:hanging="360"/>
      </w:pPr>
      <w:rPr>
        <w:rFonts w:ascii="Wingdings" w:hAnsi="Wingdings"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4944515"/>
    <w:multiLevelType w:val="hybridMultilevel"/>
    <w:tmpl w:val="18D619B8"/>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4A84EFE"/>
    <w:multiLevelType w:val="hybridMultilevel"/>
    <w:tmpl w:val="DE8A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5165461"/>
    <w:multiLevelType w:val="hybridMultilevel"/>
    <w:tmpl w:val="2324A5F0"/>
    <w:lvl w:ilvl="0" w:tplc="63BED4C0">
      <w:start w:val="1"/>
      <w:numFmt w:val="bullet"/>
      <w:lvlText w:val=""/>
      <w:lvlJc w:val="left"/>
      <w:pPr>
        <w:ind w:left="720" w:hanging="360"/>
      </w:pPr>
      <w:rPr>
        <w:rFonts w:ascii="Wingdings" w:hAnsi="Wingdings"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5345105"/>
    <w:multiLevelType w:val="hybridMultilevel"/>
    <w:tmpl w:val="8A486564"/>
    <w:lvl w:ilvl="0" w:tplc="FFFFFFFF">
      <w:start w:val="1"/>
      <w:numFmt w:val="decimal"/>
      <w:lvlText w:val="%1."/>
      <w:lvlJc w:val="left"/>
      <w:pPr>
        <w:ind w:left="720" w:hanging="360"/>
      </w:pPr>
      <w:rPr>
        <w:rFonts w:hint="default"/>
      </w:rPr>
    </w:lvl>
    <w:lvl w:ilvl="1" w:tplc="43D492AC">
      <w:start w:val="1"/>
      <w:numFmt w:val="decimal"/>
      <w:lvlText w:val="%2."/>
      <w:lvlJc w:val="left"/>
      <w:pPr>
        <w:ind w:left="720" w:hanging="360"/>
      </w:pPr>
      <w:rPr>
        <w:b/>
        <w:bCs/>
        <w:color w:val="833C0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A865B29"/>
    <w:multiLevelType w:val="hybridMultilevel"/>
    <w:tmpl w:val="DE8A14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B172681"/>
    <w:multiLevelType w:val="hybridMultilevel"/>
    <w:tmpl w:val="3348B67C"/>
    <w:lvl w:ilvl="0" w:tplc="DF94BA50">
      <w:start w:val="1"/>
      <w:numFmt w:val="bullet"/>
      <w:lvlText w:val=""/>
      <w:lvlJc w:val="left"/>
      <w:pPr>
        <w:ind w:left="807" w:hanging="360"/>
      </w:pPr>
      <w:rPr>
        <w:rFonts w:ascii="Wingdings" w:hAnsi="Wingdings" w:hint="default"/>
        <w:color w:val="4472C4" w:themeColor="accent1"/>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51" w15:restartNumberingAfterBreak="0">
    <w:nsid w:val="3FDF1243"/>
    <w:multiLevelType w:val="hybridMultilevel"/>
    <w:tmpl w:val="60CE173A"/>
    <w:lvl w:ilvl="0" w:tplc="FFFFFFFF">
      <w:start w:val="1"/>
      <w:numFmt w:val="bullet"/>
      <w:lvlText w:val="-"/>
      <w:lvlJc w:val="left"/>
      <w:pPr>
        <w:ind w:left="720" w:hanging="360"/>
      </w:pPr>
      <w:rPr>
        <w:rFonts w:ascii="Calibri" w:hAnsi="Calibri" w:hint="default"/>
        <w:color w:val="C00000"/>
      </w:rPr>
    </w:lvl>
    <w:lvl w:ilvl="1" w:tplc="A60833D8">
      <w:start w:val="1"/>
      <w:numFmt w:val="bullet"/>
      <w:lvlText w:val="-"/>
      <w:lvlJc w:val="left"/>
      <w:pPr>
        <w:ind w:left="1440" w:hanging="360"/>
      </w:pPr>
      <w:rPr>
        <w:rFonts w:ascii="Calibri" w:hAnsi="Calibri" w:hint="default"/>
        <w:color w:val="C0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00949E0"/>
    <w:multiLevelType w:val="hybridMultilevel"/>
    <w:tmpl w:val="E6E443AE"/>
    <w:lvl w:ilvl="0" w:tplc="DF94BA50">
      <w:start w:val="1"/>
      <w:numFmt w:val="bullet"/>
      <w:lvlText w:val=""/>
      <w:lvlJc w:val="left"/>
      <w:pPr>
        <w:ind w:left="720" w:hanging="360"/>
      </w:pPr>
      <w:rPr>
        <w:rFonts w:ascii="Wingdings" w:hAnsi="Wingdings"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1F509E6"/>
    <w:multiLevelType w:val="hybridMultilevel"/>
    <w:tmpl w:val="40B255E8"/>
    <w:lvl w:ilvl="0" w:tplc="63BED4C0">
      <w:start w:val="1"/>
      <w:numFmt w:val="bullet"/>
      <w:lvlText w:val=""/>
      <w:lvlJc w:val="left"/>
      <w:pPr>
        <w:ind w:left="720" w:hanging="360"/>
      </w:pPr>
      <w:rPr>
        <w:rFonts w:ascii="Wingdings" w:hAnsi="Wingdings"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28A5E1E"/>
    <w:multiLevelType w:val="hybridMultilevel"/>
    <w:tmpl w:val="ED5472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2BD11CA"/>
    <w:multiLevelType w:val="hybridMultilevel"/>
    <w:tmpl w:val="DE8A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3AC661F"/>
    <w:multiLevelType w:val="hybridMultilevel"/>
    <w:tmpl w:val="F202E5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4B76068"/>
    <w:multiLevelType w:val="hybridMultilevel"/>
    <w:tmpl w:val="F1784E42"/>
    <w:lvl w:ilvl="0" w:tplc="DF94BA50">
      <w:start w:val="1"/>
      <w:numFmt w:val="bullet"/>
      <w:lvlText w:val=""/>
      <w:lvlJc w:val="left"/>
      <w:pPr>
        <w:ind w:left="807" w:hanging="360"/>
      </w:pPr>
      <w:rPr>
        <w:rFonts w:ascii="Wingdings" w:hAnsi="Wingdings" w:hint="default"/>
        <w:color w:val="4472C4" w:themeColor="accent1"/>
      </w:rPr>
    </w:lvl>
    <w:lvl w:ilvl="1" w:tplc="FFFFFFFF" w:tentative="1">
      <w:start w:val="1"/>
      <w:numFmt w:val="bullet"/>
      <w:lvlText w:val="o"/>
      <w:lvlJc w:val="left"/>
      <w:pPr>
        <w:ind w:left="1527" w:hanging="360"/>
      </w:pPr>
      <w:rPr>
        <w:rFonts w:ascii="Courier New" w:hAnsi="Courier New" w:cs="Courier New" w:hint="default"/>
      </w:rPr>
    </w:lvl>
    <w:lvl w:ilvl="2" w:tplc="FFFFFFFF" w:tentative="1">
      <w:start w:val="1"/>
      <w:numFmt w:val="bullet"/>
      <w:lvlText w:val=""/>
      <w:lvlJc w:val="left"/>
      <w:pPr>
        <w:ind w:left="2247" w:hanging="360"/>
      </w:pPr>
      <w:rPr>
        <w:rFonts w:ascii="Wingdings" w:hAnsi="Wingdings" w:hint="default"/>
      </w:rPr>
    </w:lvl>
    <w:lvl w:ilvl="3" w:tplc="FFFFFFFF" w:tentative="1">
      <w:start w:val="1"/>
      <w:numFmt w:val="bullet"/>
      <w:lvlText w:val=""/>
      <w:lvlJc w:val="left"/>
      <w:pPr>
        <w:ind w:left="2967" w:hanging="360"/>
      </w:pPr>
      <w:rPr>
        <w:rFonts w:ascii="Symbol" w:hAnsi="Symbol" w:hint="default"/>
      </w:rPr>
    </w:lvl>
    <w:lvl w:ilvl="4" w:tplc="FFFFFFFF" w:tentative="1">
      <w:start w:val="1"/>
      <w:numFmt w:val="bullet"/>
      <w:lvlText w:val="o"/>
      <w:lvlJc w:val="left"/>
      <w:pPr>
        <w:ind w:left="3687" w:hanging="360"/>
      </w:pPr>
      <w:rPr>
        <w:rFonts w:ascii="Courier New" w:hAnsi="Courier New" w:cs="Courier New" w:hint="default"/>
      </w:rPr>
    </w:lvl>
    <w:lvl w:ilvl="5" w:tplc="FFFFFFFF" w:tentative="1">
      <w:start w:val="1"/>
      <w:numFmt w:val="bullet"/>
      <w:lvlText w:val=""/>
      <w:lvlJc w:val="left"/>
      <w:pPr>
        <w:ind w:left="4407" w:hanging="360"/>
      </w:pPr>
      <w:rPr>
        <w:rFonts w:ascii="Wingdings" w:hAnsi="Wingdings" w:hint="default"/>
      </w:rPr>
    </w:lvl>
    <w:lvl w:ilvl="6" w:tplc="FFFFFFFF" w:tentative="1">
      <w:start w:val="1"/>
      <w:numFmt w:val="bullet"/>
      <w:lvlText w:val=""/>
      <w:lvlJc w:val="left"/>
      <w:pPr>
        <w:ind w:left="5127" w:hanging="360"/>
      </w:pPr>
      <w:rPr>
        <w:rFonts w:ascii="Symbol" w:hAnsi="Symbol" w:hint="default"/>
      </w:rPr>
    </w:lvl>
    <w:lvl w:ilvl="7" w:tplc="FFFFFFFF" w:tentative="1">
      <w:start w:val="1"/>
      <w:numFmt w:val="bullet"/>
      <w:lvlText w:val="o"/>
      <w:lvlJc w:val="left"/>
      <w:pPr>
        <w:ind w:left="5847" w:hanging="360"/>
      </w:pPr>
      <w:rPr>
        <w:rFonts w:ascii="Courier New" w:hAnsi="Courier New" w:cs="Courier New" w:hint="default"/>
      </w:rPr>
    </w:lvl>
    <w:lvl w:ilvl="8" w:tplc="FFFFFFFF" w:tentative="1">
      <w:start w:val="1"/>
      <w:numFmt w:val="bullet"/>
      <w:lvlText w:val=""/>
      <w:lvlJc w:val="left"/>
      <w:pPr>
        <w:ind w:left="6567" w:hanging="360"/>
      </w:pPr>
      <w:rPr>
        <w:rFonts w:ascii="Wingdings" w:hAnsi="Wingdings" w:hint="default"/>
      </w:rPr>
    </w:lvl>
  </w:abstractNum>
  <w:abstractNum w:abstractNumId="58" w15:restartNumberingAfterBreak="0">
    <w:nsid w:val="44C878C0"/>
    <w:multiLevelType w:val="hybridMultilevel"/>
    <w:tmpl w:val="8DD007FE"/>
    <w:lvl w:ilvl="0" w:tplc="63BED4C0">
      <w:start w:val="1"/>
      <w:numFmt w:val="bullet"/>
      <w:lvlText w:val=""/>
      <w:lvlJc w:val="left"/>
      <w:pPr>
        <w:ind w:left="720" w:hanging="360"/>
      </w:pPr>
      <w:rPr>
        <w:rFonts w:ascii="Wingdings" w:hAnsi="Wingdings" w:hint="default"/>
        <w:color w:val="C45911" w:themeColor="accent2" w:themeShade="BF"/>
      </w:rPr>
    </w:lvl>
    <w:lvl w:ilvl="1" w:tplc="DF183A5C">
      <w:numFmt w:val="bullet"/>
      <w:lvlText w:val="•"/>
      <w:lvlJc w:val="left"/>
      <w:pPr>
        <w:ind w:left="1440" w:hanging="360"/>
      </w:pPr>
      <w:rPr>
        <w:rFonts w:ascii="Century Gothic" w:eastAsiaTheme="minorHAnsi" w:hAnsi="Century Gothic"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4D84657"/>
    <w:multiLevelType w:val="hybridMultilevel"/>
    <w:tmpl w:val="69C29B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4E67C1E"/>
    <w:multiLevelType w:val="hybridMultilevel"/>
    <w:tmpl w:val="20B4036A"/>
    <w:lvl w:ilvl="0" w:tplc="63BED4C0">
      <w:start w:val="1"/>
      <w:numFmt w:val="bullet"/>
      <w:lvlText w:val=""/>
      <w:lvlJc w:val="left"/>
      <w:pPr>
        <w:ind w:left="720" w:hanging="360"/>
      </w:pPr>
      <w:rPr>
        <w:rFonts w:ascii="Wingdings" w:hAnsi="Wingdings"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557672B"/>
    <w:multiLevelType w:val="hybridMultilevel"/>
    <w:tmpl w:val="3FA627AA"/>
    <w:lvl w:ilvl="0" w:tplc="6478B8BE">
      <w:start w:val="1"/>
      <w:numFmt w:val="decimal"/>
      <w:lvlText w:val="%1."/>
      <w:lvlJc w:val="left"/>
      <w:pPr>
        <w:ind w:left="720" w:hanging="360"/>
      </w:pPr>
      <w:rPr>
        <w:b/>
        <w:bCs/>
        <w:color w:val="C45911"/>
      </w:rPr>
    </w:lvl>
    <w:lvl w:ilvl="1" w:tplc="73FAD2AA">
      <w:start w:val="1"/>
      <w:numFmt w:val="decimal"/>
      <w:lvlText w:val="%2."/>
      <w:lvlJc w:val="left"/>
      <w:pPr>
        <w:ind w:left="1068" w:hanging="708"/>
      </w:pPr>
      <w:rPr>
        <w:rFonts w:ascii="Century Gothic" w:hAnsi="Century Gothic" w:hint="default"/>
        <w:b w:val="0"/>
        <w:bCs/>
        <w:i w:val="0"/>
        <w:color w:val="auto"/>
        <w:sz w:val="1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5A6366B"/>
    <w:multiLevelType w:val="hybridMultilevel"/>
    <w:tmpl w:val="EB689F24"/>
    <w:lvl w:ilvl="0" w:tplc="92D809A8">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6700AB4"/>
    <w:multiLevelType w:val="hybridMultilevel"/>
    <w:tmpl w:val="DE8A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76C3B8D"/>
    <w:multiLevelType w:val="hybridMultilevel"/>
    <w:tmpl w:val="E0DA9B90"/>
    <w:lvl w:ilvl="0" w:tplc="04150005">
      <w:start w:val="1"/>
      <w:numFmt w:val="bullet"/>
      <w:lvlText w:val=""/>
      <w:lvlJc w:val="left"/>
      <w:pPr>
        <w:ind w:left="720" w:hanging="360"/>
      </w:pPr>
      <w:rPr>
        <w:rFonts w:ascii="Wingdings" w:hAnsi="Wingdings" w:hint="default"/>
      </w:rPr>
    </w:lvl>
    <w:lvl w:ilvl="1" w:tplc="864C846C">
      <w:numFmt w:val="bullet"/>
      <w:lvlText w:val=""/>
      <w:lvlJc w:val="left"/>
      <w:pPr>
        <w:ind w:left="1440" w:hanging="360"/>
      </w:pPr>
      <w:rPr>
        <w:rFonts w:ascii="Symbol" w:eastAsiaTheme="minorEastAsia"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7AC6053"/>
    <w:multiLevelType w:val="hybridMultilevel"/>
    <w:tmpl w:val="2B189140"/>
    <w:lvl w:ilvl="0" w:tplc="04150003">
      <w:start w:val="1"/>
      <w:numFmt w:val="bullet"/>
      <w:lvlText w:val="o"/>
      <w:lvlJc w:val="left"/>
      <w:pPr>
        <w:ind w:left="2138" w:hanging="360"/>
      </w:pPr>
      <w:rPr>
        <w:rFonts w:ascii="Courier New" w:hAnsi="Courier New" w:cs="Courier New"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6" w15:restartNumberingAfterBreak="0">
    <w:nsid w:val="48494F66"/>
    <w:multiLevelType w:val="hybridMultilevel"/>
    <w:tmpl w:val="8E90A010"/>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B18174E"/>
    <w:multiLevelType w:val="hybridMultilevel"/>
    <w:tmpl w:val="6C0465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CD26581"/>
    <w:multiLevelType w:val="hybridMultilevel"/>
    <w:tmpl w:val="58506E66"/>
    <w:lvl w:ilvl="0" w:tplc="40B27558">
      <w:start w:val="1"/>
      <w:numFmt w:val="bullet"/>
      <w:lvlText w:val=""/>
      <w:lvlJc w:val="left"/>
      <w:pPr>
        <w:ind w:left="720" w:hanging="360"/>
      </w:pPr>
      <w:rPr>
        <w:rFonts w:ascii="Wingdings" w:hAnsi="Wingding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E803B25"/>
    <w:multiLevelType w:val="hybridMultilevel"/>
    <w:tmpl w:val="DE8A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1642DD1"/>
    <w:multiLevelType w:val="hybridMultilevel"/>
    <w:tmpl w:val="43AEE4FA"/>
    <w:lvl w:ilvl="0" w:tplc="04150005">
      <w:start w:val="1"/>
      <w:numFmt w:val="bullet"/>
      <w:lvlText w:val=""/>
      <w:lvlJc w:val="left"/>
      <w:pPr>
        <w:ind w:left="720" w:hanging="360"/>
      </w:pPr>
      <w:rPr>
        <w:rFonts w:ascii="Wingdings" w:hAnsi="Wingdings" w:hint="default"/>
      </w:rPr>
    </w:lvl>
    <w:lvl w:ilvl="1" w:tplc="E564B644">
      <w:numFmt w:val="bullet"/>
      <w:lvlText w:val=""/>
      <w:lvlJc w:val="left"/>
      <w:pPr>
        <w:ind w:left="1440" w:hanging="360"/>
      </w:pPr>
      <w:rPr>
        <w:rFonts w:ascii="Symbol" w:eastAsiaTheme="minorEastAsia"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1DA5A53"/>
    <w:multiLevelType w:val="hybridMultilevel"/>
    <w:tmpl w:val="D77416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4976A99"/>
    <w:multiLevelType w:val="hybridMultilevel"/>
    <w:tmpl w:val="6F92AF16"/>
    <w:lvl w:ilvl="0" w:tplc="40B27558">
      <w:start w:val="1"/>
      <w:numFmt w:val="bullet"/>
      <w:lvlText w:val=""/>
      <w:lvlJc w:val="left"/>
      <w:pPr>
        <w:ind w:left="720" w:hanging="360"/>
      </w:pPr>
      <w:rPr>
        <w:rFonts w:ascii="Wingdings" w:hAnsi="Wingding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50442D2"/>
    <w:multiLevelType w:val="hybridMultilevel"/>
    <w:tmpl w:val="8A94BB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5235A79"/>
    <w:multiLevelType w:val="hybridMultilevel"/>
    <w:tmpl w:val="DE8A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5915338"/>
    <w:multiLevelType w:val="hybridMultilevel"/>
    <w:tmpl w:val="91B8BB2A"/>
    <w:lvl w:ilvl="0" w:tplc="04150005">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56AC3FFD"/>
    <w:multiLevelType w:val="hybridMultilevel"/>
    <w:tmpl w:val="1AD6CBC0"/>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0D17A3"/>
    <w:multiLevelType w:val="hybridMultilevel"/>
    <w:tmpl w:val="19169F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B1C0BA4"/>
    <w:multiLevelType w:val="hybridMultilevel"/>
    <w:tmpl w:val="624EB7D6"/>
    <w:lvl w:ilvl="0" w:tplc="92D809A8">
      <w:start w:val="1"/>
      <w:numFmt w:val="bullet"/>
      <w:lvlText w:val=""/>
      <w:lvlJc w:val="left"/>
      <w:pPr>
        <w:ind w:left="1146" w:hanging="360"/>
      </w:pPr>
      <w:rPr>
        <w:rFonts w:ascii="Wingdings" w:hAnsi="Wingdings" w:hint="default"/>
        <w:color w:val="C0000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5D316DEF"/>
    <w:multiLevelType w:val="hybridMultilevel"/>
    <w:tmpl w:val="6EA2BE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E215DA2"/>
    <w:multiLevelType w:val="hybridMultilevel"/>
    <w:tmpl w:val="D7EC09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08D5BB4"/>
    <w:multiLevelType w:val="hybridMultilevel"/>
    <w:tmpl w:val="0382E758"/>
    <w:lvl w:ilvl="0" w:tplc="DF94BA50">
      <w:start w:val="1"/>
      <w:numFmt w:val="bullet"/>
      <w:lvlText w:val=""/>
      <w:lvlJc w:val="left"/>
      <w:pPr>
        <w:ind w:left="720" w:hanging="360"/>
      </w:pPr>
      <w:rPr>
        <w:rFonts w:ascii="Wingdings" w:hAnsi="Wingdings"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0B54E1A"/>
    <w:multiLevelType w:val="hybridMultilevel"/>
    <w:tmpl w:val="CD68C3D8"/>
    <w:lvl w:ilvl="0" w:tplc="63BED4C0">
      <w:start w:val="1"/>
      <w:numFmt w:val="bullet"/>
      <w:lvlText w:val=""/>
      <w:lvlJc w:val="left"/>
      <w:pPr>
        <w:ind w:left="720" w:hanging="360"/>
      </w:pPr>
      <w:rPr>
        <w:rFonts w:ascii="Wingdings" w:hAnsi="Wingdings"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23F6204"/>
    <w:multiLevelType w:val="hybridMultilevel"/>
    <w:tmpl w:val="3C6A2B56"/>
    <w:lvl w:ilvl="0" w:tplc="D3D662D8">
      <w:start w:val="1"/>
      <w:numFmt w:val="decimal"/>
      <w:lvlText w:val="%1."/>
      <w:lvlJc w:val="left"/>
      <w:pPr>
        <w:ind w:left="720" w:hanging="360"/>
      </w:pPr>
      <w:rPr>
        <w:rFonts w:hint="default"/>
        <w:color w:val="833C0B"/>
        <w:sz w:val="18"/>
        <w:szCs w:val="18"/>
      </w:rPr>
    </w:lvl>
    <w:lvl w:ilvl="1" w:tplc="F1FE63A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5966D54"/>
    <w:multiLevelType w:val="hybridMultilevel"/>
    <w:tmpl w:val="B3DEFEEA"/>
    <w:lvl w:ilvl="0" w:tplc="92D809A8">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54724E"/>
    <w:multiLevelType w:val="hybridMultilevel"/>
    <w:tmpl w:val="3044EE9C"/>
    <w:lvl w:ilvl="0" w:tplc="40B27558">
      <w:start w:val="1"/>
      <w:numFmt w:val="bullet"/>
      <w:lvlText w:val=""/>
      <w:lvlJc w:val="left"/>
      <w:pPr>
        <w:ind w:left="720" w:hanging="360"/>
      </w:pPr>
      <w:rPr>
        <w:rFonts w:ascii="Wingdings" w:hAnsi="Wingding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5C2705"/>
    <w:multiLevelType w:val="hybridMultilevel"/>
    <w:tmpl w:val="317A6C02"/>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73641C6"/>
    <w:multiLevelType w:val="hybridMultilevel"/>
    <w:tmpl w:val="FBE8A1CA"/>
    <w:lvl w:ilvl="0" w:tplc="3B86016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8" w15:restartNumberingAfterBreak="0">
    <w:nsid w:val="6A6D2F17"/>
    <w:multiLevelType w:val="hybridMultilevel"/>
    <w:tmpl w:val="2A4CFF84"/>
    <w:lvl w:ilvl="0" w:tplc="F18E8ECC">
      <w:start w:val="1"/>
      <w:numFmt w:val="bullet"/>
      <w:lvlText w:val=""/>
      <w:lvlJc w:val="left"/>
      <w:pPr>
        <w:ind w:left="720" w:hanging="360"/>
      </w:pPr>
      <w:rPr>
        <w:rFonts w:ascii="Wingdings" w:hAnsi="Wingdings" w:hint="default"/>
        <w:color w:val="833C0B"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B6C4D6E"/>
    <w:multiLevelType w:val="hybridMultilevel"/>
    <w:tmpl w:val="DE8A1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BEB6C9A"/>
    <w:multiLevelType w:val="hybridMultilevel"/>
    <w:tmpl w:val="DDE41E46"/>
    <w:lvl w:ilvl="0" w:tplc="63BED4C0">
      <w:start w:val="1"/>
      <w:numFmt w:val="bullet"/>
      <w:lvlText w:val=""/>
      <w:lvlJc w:val="left"/>
      <w:pPr>
        <w:ind w:left="720" w:hanging="360"/>
      </w:pPr>
      <w:rPr>
        <w:rFonts w:ascii="Wingdings" w:hAnsi="Wingdings"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D047FD1"/>
    <w:multiLevelType w:val="hybridMultilevel"/>
    <w:tmpl w:val="413AA174"/>
    <w:lvl w:ilvl="0" w:tplc="40B27558">
      <w:start w:val="1"/>
      <w:numFmt w:val="bullet"/>
      <w:lvlText w:val=""/>
      <w:lvlJc w:val="left"/>
      <w:pPr>
        <w:ind w:left="720" w:hanging="360"/>
      </w:pPr>
      <w:rPr>
        <w:rFonts w:ascii="Wingdings" w:hAnsi="Wingdings"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D326CD6"/>
    <w:multiLevelType w:val="hybridMultilevel"/>
    <w:tmpl w:val="CECAD79C"/>
    <w:lvl w:ilvl="0" w:tplc="308E43D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D762630"/>
    <w:multiLevelType w:val="hybridMultilevel"/>
    <w:tmpl w:val="50426454"/>
    <w:lvl w:ilvl="0" w:tplc="63D0AEEC">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4" w15:restartNumberingAfterBreak="0">
    <w:nsid w:val="6DEC40B2"/>
    <w:multiLevelType w:val="hybridMultilevel"/>
    <w:tmpl w:val="77FC7A5A"/>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29A457E"/>
    <w:multiLevelType w:val="hybridMultilevel"/>
    <w:tmpl w:val="815AD3DC"/>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691632F"/>
    <w:multiLevelType w:val="hybridMultilevel"/>
    <w:tmpl w:val="6ADE4A48"/>
    <w:lvl w:ilvl="0" w:tplc="219489FA">
      <w:start w:val="1"/>
      <w:numFmt w:val="decimal"/>
      <w:lvlText w:val="%1."/>
      <w:lvlJc w:val="left"/>
      <w:pPr>
        <w:ind w:left="720" w:hanging="360"/>
      </w:pPr>
      <w:rPr>
        <w:b/>
        <w:bCs/>
        <w:color w:val="C4591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8C97F87"/>
    <w:multiLevelType w:val="hybridMultilevel"/>
    <w:tmpl w:val="850452A0"/>
    <w:lvl w:ilvl="0" w:tplc="A3207388">
      <w:start w:val="1"/>
      <w:numFmt w:val="bullet"/>
      <w:lvlText w:val="-"/>
      <w:lvlJc w:val="left"/>
      <w:pPr>
        <w:ind w:left="720" w:hanging="360"/>
      </w:pPr>
      <w:rPr>
        <w:rFonts w:ascii="Calibri"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9C6022F"/>
    <w:multiLevelType w:val="hybridMultilevel"/>
    <w:tmpl w:val="BCEE8A8C"/>
    <w:lvl w:ilvl="0" w:tplc="63BED4C0">
      <w:start w:val="1"/>
      <w:numFmt w:val="bullet"/>
      <w:lvlText w:val=""/>
      <w:lvlJc w:val="left"/>
      <w:pPr>
        <w:ind w:left="720" w:hanging="360"/>
      </w:pPr>
      <w:rPr>
        <w:rFonts w:ascii="Wingdings" w:hAnsi="Wingdings" w:hint="default"/>
        <w:color w:val="C45911" w:themeColor="accent2" w:themeShade="BF"/>
        <w:sz w:val="1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B4301E4"/>
    <w:multiLevelType w:val="hybridMultilevel"/>
    <w:tmpl w:val="86D4E3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BDF606C"/>
    <w:multiLevelType w:val="hybridMultilevel"/>
    <w:tmpl w:val="C1B26A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CB905E2"/>
    <w:multiLevelType w:val="hybridMultilevel"/>
    <w:tmpl w:val="A5E832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DAD347E"/>
    <w:multiLevelType w:val="hybridMultilevel"/>
    <w:tmpl w:val="143A3E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E7944A8"/>
    <w:multiLevelType w:val="hybridMultilevel"/>
    <w:tmpl w:val="F75E6DC4"/>
    <w:lvl w:ilvl="0" w:tplc="3B86016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E875C05"/>
    <w:multiLevelType w:val="hybridMultilevel"/>
    <w:tmpl w:val="FC5E4A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E956FF6"/>
    <w:multiLevelType w:val="hybridMultilevel"/>
    <w:tmpl w:val="EBE2E9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1"/>
  </w:num>
  <w:num w:numId="2">
    <w:abstractNumId w:val="48"/>
  </w:num>
  <w:num w:numId="3">
    <w:abstractNumId w:val="83"/>
  </w:num>
  <w:num w:numId="4">
    <w:abstractNumId w:val="24"/>
  </w:num>
  <w:num w:numId="5">
    <w:abstractNumId w:val="6"/>
  </w:num>
  <w:num w:numId="6">
    <w:abstractNumId w:val="88"/>
  </w:num>
  <w:num w:numId="7">
    <w:abstractNumId w:val="39"/>
  </w:num>
  <w:num w:numId="8">
    <w:abstractNumId w:val="78"/>
  </w:num>
  <w:num w:numId="9">
    <w:abstractNumId w:val="25"/>
  </w:num>
  <w:num w:numId="10">
    <w:abstractNumId w:val="96"/>
  </w:num>
  <w:num w:numId="11">
    <w:abstractNumId w:val="41"/>
  </w:num>
  <w:num w:numId="12">
    <w:abstractNumId w:val="26"/>
  </w:num>
  <w:num w:numId="13">
    <w:abstractNumId w:val="84"/>
  </w:num>
  <w:num w:numId="14">
    <w:abstractNumId w:val="62"/>
  </w:num>
  <w:num w:numId="15">
    <w:abstractNumId w:val="16"/>
  </w:num>
  <w:num w:numId="16">
    <w:abstractNumId w:val="33"/>
  </w:num>
  <w:num w:numId="17">
    <w:abstractNumId w:val="44"/>
  </w:num>
  <w:num w:numId="18">
    <w:abstractNumId w:val="81"/>
  </w:num>
  <w:num w:numId="19">
    <w:abstractNumId w:val="57"/>
  </w:num>
  <w:num w:numId="20">
    <w:abstractNumId w:val="40"/>
  </w:num>
  <w:num w:numId="21">
    <w:abstractNumId w:val="50"/>
  </w:num>
  <w:num w:numId="22">
    <w:abstractNumId w:val="52"/>
  </w:num>
  <w:num w:numId="23">
    <w:abstractNumId w:val="85"/>
  </w:num>
  <w:num w:numId="24">
    <w:abstractNumId w:val="7"/>
  </w:num>
  <w:num w:numId="25">
    <w:abstractNumId w:val="72"/>
  </w:num>
  <w:num w:numId="26">
    <w:abstractNumId w:val="91"/>
  </w:num>
  <w:num w:numId="27">
    <w:abstractNumId w:val="68"/>
  </w:num>
  <w:num w:numId="28">
    <w:abstractNumId w:val="18"/>
  </w:num>
  <w:num w:numId="29">
    <w:abstractNumId w:val="43"/>
  </w:num>
  <w:num w:numId="30">
    <w:abstractNumId w:val="53"/>
  </w:num>
  <w:num w:numId="31">
    <w:abstractNumId w:val="98"/>
  </w:num>
  <w:num w:numId="32">
    <w:abstractNumId w:val="8"/>
  </w:num>
  <w:num w:numId="33">
    <w:abstractNumId w:val="90"/>
  </w:num>
  <w:num w:numId="34">
    <w:abstractNumId w:val="3"/>
  </w:num>
  <w:num w:numId="35">
    <w:abstractNumId w:val="82"/>
  </w:num>
  <w:num w:numId="36">
    <w:abstractNumId w:val="60"/>
  </w:num>
  <w:num w:numId="37">
    <w:abstractNumId w:val="47"/>
  </w:num>
  <w:num w:numId="38">
    <w:abstractNumId w:val="42"/>
  </w:num>
  <w:num w:numId="39">
    <w:abstractNumId w:val="58"/>
  </w:num>
  <w:num w:numId="40">
    <w:abstractNumId w:val="45"/>
  </w:num>
  <w:num w:numId="41">
    <w:abstractNumId w:val="95"/>
  </w:num>
  <w:num w:numId="42">
    <w:abstractNumId w:val="51"/>
  </w:num>
  <w:num w:numId="43">
    <w:abstractNumId w:val="94"/>
  </w:num>
  <w:num w:numId="44">
    <w:abstractNumId w:val="23"/>
  </w:num>
  <w:num w:numId="45">
    <w:abstractNumId w:val="12"/>
  </w:num>
  <w:num w:numId="46">
    <w:abstractNumId w:val="36"/>
  </w:num>
  <w:num w:numId="47">
    <w:abstractNumId w:val="9"/>
  </w:num>
  <w:num w:numId="48">
    <w:abstractNumId w:val="15"/>
  </w:num>
  <w:num w:numId="49">
    <w:abstractNumId w:val="27"/>
  </w:num>
  <w:num w:numId="50">
    <w:abstractNumId w:val="66"/>
  </w:num>
  <w:num w:numId="51">
    <w:abstractNumId w:val="76"/>
  </w:num>
  <w:num w:numId="52">
    <w:abstractNumId w:val="10"/>
  </w:num>
  <w:num w:numId="53">
    <w:abstractNumId w:val="97"/>
  </w:num>
  <w:num w:numId="54">
    <w:abstractNumId w:val="37"/>
  </w:num>
  <w:num w:numId="55">
    <w:abstractNumId w:val="59"/>
  </w:num>
  <w:num w:numId="56">
    <w:abstractNumId w:val="73"/>
  </w:num>
  <w:num w:numId="57">
    <w:abstractNumId w:val="1"/>
  </w:num>
  <w:num w:numId="58">
    <w:abstractNumId w:val="19"/>
  </w:num>
  <w:num w:numId="59">
    <w:abstractNumId w:val="100"/>
  </w:num>
  <w:num w:numId="60">
    <w:abstractNumId w:val="79"/>
  </w:num>
  <w:num w:numId="61">
    <w:abstractNumId w:val="13"/>
  </w:num>
  <w:num w:numId="62">
    <w:abstractNumId w:val="64"/>
  </w:num>
  <w:num w:numId="63">
    <w:abstractNumId w:val="70"/>
  </w:num>
  <w:num w:numId="64">
    <w:abstractNumId w:val="11"/>
  </w:num>
  <w:num w:numId="65">
    <w:abstractNumId w:val="99"/>
  </w:num>
  <w:num w:numId="66">
    <w:abstractNumId w:val="34"/>
  </w:num>
  <w:num w:numId="67">
    <w:abstractNumId w:val="102"/>
  </w:num>
  <w:num w:numId="68">
    <w:abstractNumId w:val="77"/>
  </w:num>
  <w:num w:numId="69">
    <w:abstractNumId w:val="101"/>
  </w:num>
  <w:num w:numId="70">
    <w:abstractNumId w:val="105"/>
  </w:num>
  <w:num w:numId="71">
    <w:abstractNumId w:val="87"/>
  </w:num>
  <w:num w:numId="72">
    <w:abstractNumId w:val="14"/>
  </w:num>
  <w:num w:numId="73">
    <w:abstractNumId w:val="38"/>
  </w:num>
  <w:num w:numId="74">
    <w:abstractNumId w:val="32"/>
  </w:num>
  <w:num w:numId="75">
    <w:abstractNumId w:val="0"/>
  </w:num>
  <w:num w:numId="76">
    <w:abstractNumId w:val="103"/>
  </w:num>
  <w:num w:numId="77">
    <w:abstractNumId w:val="56"/>
  </w:num>
  <w:num w:numId="78">
    <w:abstractNumId w:val="30"/>
  </w:num>
  <w:num w:numId="79">
    <w:abstractNumId w:val="71"/>
  </w:num>
  <w:num w:numId="80">
    <w:abstractNumId w:val="20"/>
  </w:num>
  <w:num w:numId="81">
    <w:abstractNumId w:val="80"/>
  </w:num>
  <w:num w:numId="82">
    <w:abstractNumId w:val="67"/>
  </w:num>
  <w:num w:numId="83">
    <w:abstractNumId w:val="35"/>
  </w:num>
  <w:num w:numId="84">
    <w:abstractNumId w:val="75"/>
  </w:num>
  <w:num w:numId="85">
    <w:abstractNumId w:val="49"/>
  </w:num>
  <w:num w:numId="86">
    <w:abstractNumId w:val="22"/>
  </w:num>
  <w:num w:numId="87">
    <w:abstractNumId w:val="92"/>
  </w:num>
  <w:num w:numId="88">
    <w:abstractNumId w:val="17"/>
  </w:num>
  <w:num w:numId="89">
    <w:abstractNumId w:val="65"/>
  </w:num>
  <w:num w:numId="90">
    <w:abstractNumId w:val="2"/>
  </w:num>
  <w:num w:numId="91">
    <w:abstractNumId w:val="31"/>
  </w:num>
  <w:num w:numId="92">
    <w:abstractNumId w:val="46"/>
  </w:num>
  <w:num w:numId="93">
    <w:abstractNumId w:val="89"/>
  </w:num>
  <w:num w:numId="94">
    <w:abstractNumId w:val="4"/>
  </w:num>
  <w:num w:numId="95">
    <w:abstractNumId w:val="55"/>
  </w:num>
  <w:num w:numId="96">
    <w:abstractNumId w:val="63"/>
  </w:num>
  <w:num w:numId="97">
    <w:abstractNumId w:val="69"/>
  </w:num>
  <w:num w:numId="98">
    <w:abstractNumId w:val="74"/>
  </w:num>
  <w:num w:numId="99">
    <w:abstractNumId w:val="54"/>
  </w:num>
  <w:num w:numId="100">
    <w:abstractNumId w:val="93"/>
  </w:num>
  <w:num w:numId="101">
    <w:abstractNumId w:val="5"/>
  </w:num>
  <w:num w:numId="102">
    <w:abstractNumId w:val="28"/>
  </w:num>
  <w:num w:numId="103">
    <w:abstractNumId w:val="86"/>
  </w:num>
  <w:num w:numId="104">
    <w:abstractNumId w:val="29"/>
  </w:num>
  <w:num w:numId="105">
    <w:abstractNumId w:val="104"/>
  </w:num>
  <w:num w:numId="106">
    <w:abstractNumId w:val="2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3B7"/>
    <w:rsid w:val="00002364"/>
    <w:rsid w:val="0000327F"/>
    <w:rsid w:val="00003FAC"/>
    <w:rsid w:val="000118E8"/>
    <w:rsid w:val="00013900"/>
    <w:rsid w:val="00021F0B"/>
    <w:rsid w:val="00025809"/>
    <w:rsid w:val="00033F77"/>
    <w:rsid w:val="000375E6"/>
    <w:rsid w:val="00041277"/>
    <w:rsid w:val="000435CE"/>
    <w:rsid w:val="0004441B"/>
    <w:rsid w:val="000508B8"/>
    <w:rsid w:val="00050C83"/>
    <w:rsid w:val="000521EF"/>
    <w:rsid w:val="00052340"/>
    <w:rsid w:val="0005404A"/>
    <w:rsid w:val="000547F3"/>
    <w:rsid w:val="00054BAE"/>
    <w:rsid w:val="000556B8"/>
    <w:rsid w:val="00060446"/>
    <w:rsid w:val="00067F45"/>
    <w:rsid w:val="00070957"/>
    <w:rsid w:val="000726B2"/>
    <w:rsid w:val="000733EC"/>
    <w:rsid w:val="00073454"/>
    <w:rsid w:val="00075750"/>
    <w:rsid w:val="00077FD8"/>
    <w:rsid w:val="00084D9B"/>
    <w:rsid w:val="000865CB"/>
    <w:rsid w:val="00093DA3"/>
    <w:rsid w:val="000A2983"/>
    <w:rsid w:val="000A3C96"/>
    <w:rsid w:val="000B05F3"/>
    <w:rsid w:val="000B4828"/>
    <w:rsid w:val="000B4ADE"/>
    <w:rsid w:val="000C1511"/>
    <w:rsid w:val="000C1923"/>
    <w:rsid w:val="000C59FC"/>
    <w:rsid w:val="000C6AD7"/>
    <w:rsid w:val="000C6EBC"/>
    <w:rsid w:val="000C75C9"/>
    <w:rsid w:val="000D2078"/>
    <w:rsid w:val="000D387C"/>
    <w:rsid w:val="000D4659"/>
    <w:rsid w:val="000D5132"/>
    <w:rsid w:val="000D5EB4"/>
    <w:rsid w:val="000D711E"/>
    <w:rsid w:val="000E1DD2"/>
    <w:rsid w:val="000E43EB"/>
    <w:rsid w:val="000E7D54"/>
    <w:rsid w:val="000F19F7"/>
    <w:rsid w:val="000F4D82"/>
    <w:rsid w:val="000F523E"/>
    <w:rsid w:val="000F590C"/>
    <w:rsid w:val="0010029D"/>
    <w:rsid w:val="0010147A"/>
    <w:rsid w:val="0010437E"/>
    <w:rsid w:val="00104E89"/>
    <w:rsid w:val="00105EDB"/>
    <w:rsid w:val="00106631"/>
    <w:rsid w:val="00106BFE"/>
    <w:rsid w:val="001101A0"/>
    <w:rsid w:val="00110A70"/>
    <w:rsid w:val="0011187D"/>
    <w:rsid w:val="00117433"/>
    <w:rsid w:val="00122B0B"/>
    <w:rsid w:val="0012344D"/>
    <w:rsid w:val="00124D3E"/>
    <w:rsid w:val="00137CF3"/>
    <w:rsid w:val="0014227F"/>
    <w:rsid w:val="00145A5E"/>
    <w:rsid w:val="00151DBC"/>
    <w:rsid w:val="0015252F"/>
    <w:rsid w:val="0015377E"/>
    <w:rsid w:val="00160170"/>
    <w:rsid w:val="00161819"/>
    <w:rsid w:val="001628D1"/>
    <w:rsid w:val="00164232"/>
    <w:rsid w:val="00165C4D"/>
    <w:rsid w:val="001702E1"/>
    <w:rsid w:val="00172E27"/>
    <w:rsid w:val="00182613"/>
    <w:rsid w:val="00183617"/>
    <w:rsid w:val="00184F85"/>
    <w:rsid w:val="00190E7D"/>
    <w:rsid w:val="001934E3"/>
    <w:rsid w:val="001941F8"/>
    <w:rsid w:val="00194FC2"/>
    <w:rsid w:val="00197E59"/>
    <w:rsid w:val="001A1769"/>
    <w:rsid w:val="001A1B86"/>
    <w:rsid w:val="001A2490"/>
    <w:rsid w:val="001A3BC1"/>
    <w:rsid w:val="001A6C0F"/>
    <w:rsid w:val="001A7CBF"/>
    <w:rsid w:val="001B17B2"/>
    <w:rsid w:val="001C0953"/>
    <w:rsid w:val="001C4885"/>
    <w:rsid w:val="001C732C"/>
    <w:rsid w:val="001C79A2"/>
    <w:rsid w:val="001D0DB1"/>
    <w:rsid w:val="001D1C3E"/>
    <w:rsid w:val="001D2677"/>
    <w:rsid w:val="001D2731"/>
    <w:rsid w:val="001D63F1"/>
    <w:rsid w:val="001D691F"/>
    <w:rsid w:val="001D7C29"/>
    <w:rsid w:val="001E0593"/>
    <w:rsid w:val="001E09E0"/>
    <w:rsid w:val="001E2A1A"/>
    <w:rsid w:val="001E4749"/>
    <w:rsid w:val="001E5DDA"/>
    <w:rsid w:val="001F48B4"/>
    <w:rsid w:val="001F760D"/>
    <w:rsid w:val="00205A5F"/>
    <w:rsid w:val="00206477"/>
    <w:rsid w:val="00207F9A"/>
    <w:rsid w:val="002145FA"/>
    <w:rsid w:val="00215D3A"/>
    <w:rsid w:val="00215FFF"/>
    <w:rsid w:val="00220E71"/>
    <w:rsid w:val="00221592"/>
    <w:rsid w:val="00221896"/>
    <w:rsid w:val="00226540"/>
    <w:rsid w:val="00232B51"/>
    <w:rsid w:val="00233BC1"/>
    <w:rsid w:val="002378A8"/>
    <w:rsid w:val="00240879"/>
    <w:rsid w:val="002435F2"/>
    <w:rsid w:val="00243C4C"/>
    <w:rsid w:val="00244887"/>
    <w:rsid w:val="00244FF3"/>
    <w:rsid w:val="002479C7"/>
    <w:rsid w:val="002540C1"/>
    <w:rsid w:val="0025446F"/>
    <w:rsid w:val="0025593D"/>
    <w:rsid w:val="00256465"/>
    <w:rsid w:val="00257668"/>
    <w:rsid w:val="00257C67"/>
    <w:rsid w:val="002610BD"/>
    <w:rsid w:val="00261698"/>
    <w:rsid w:val="00262773"/>
    <w:rsid w:val="0026295D"/>
    <w:rsid w:val="002641F5"/>
    <w:rsid w:val="002669E1"/>
    <w:rsid w:val="002726F2"/>
    <w:rsid w:val="00272DD3"/>
    <w:rsid w:val="00277FA2"/>
    <w:rsid w:val="00280E13"/>
    <w:rsid w:val="00280FDB"/>
    <w:rsid w:val="00287B51"/>
    <w:rsid w:val="00287C14"/>
    <w:rsid w:val="002915B2"/>
    <w:rsid w:val="002922FA"/>
    <w:rsid w:val="00292818"/>
    <w:rsid w:val="00293118"/>
    <w:rsid w:val="0029411C"/>
    <w:rsid w:val="0029491E"/>
    <w:rsid w:val="00295EC9"/>
    <w:rsid w:val="002964E1"/>
    <w:rsid w:val="00297C5F"/>
    <w:rsid w:val="00297C88"/>
    <w:rsid w:val="002A30F6"/>
    <w:rsid w:val="002A7FA2"/>
    <w:rsid w:val="002B3E55"/>
    <w:rsid w:val="002B4D88"/>
    <w:rsid w:val="002C0C04"/>
    <w:rsid w:val="002C38FF"/>
    <w:rsid w:val="002C66A5"/>
    <w:rsid w:val="002D0E06"/>
    <w:rsid w:val="002D3114"/>
    <w:rsid w:val="002E04A2"/>
    <w:rsid w:val="002E30E6"/>
    <w:rsid w:val="002E4013"/>
    <w:rsid w:val="002E522E"/>
    <w:rsid w:val="002F278A"/>
    <w:rsid w:val="002F2C3A"/>
    <w:rsid w:val="002F349F"/>
    <w:rsid w:val="002F4926"/>
    <w:rsid w:val="0030026C"/>
    <w:rsid w:val="00304C9A"/>
    <w:rsid w:val="00305625"/>
    <w:rsid w:val="00306BDB"/>
    <w:rsid w:val="003169DC"/>
    <w:rsid w:val="00317DA3"/>
    <w:rsid w:val="00322A1F"/>
    <w:rsid w:val="00323233"/>
    <w:rsid w:val="00323D48"/>
    <w:rsid w:val="00323E95"/>
    <w:rsid w:val="003339A4"/>
    <w:rsid w:val="00333C85"/>
    <w:rsid w:val="00334541"/>
    <w:rsid w:val="00341E23"/>
    <w:rsid w:val="0034684C"/>
    <w:rsid w:val="00347474"/>
    <w:rsid w:val="003500BB"/>
    <w:rsid w:val="003502AF"/>
    <w:rsid w:val="00353AA6"/>
    <w:rsid w:val="00353F7E"/>
    <w:rsid w:val="00361793"/>
    <w:rsid w:val="003644CE"/>
    <w:rsid w:val="003716A0"/>
    <w:rsid w:val="0037203D"/>
    <w:rsid w:val="00373C44"/>
    <w:rsid w:val="003740E3"/>
    <w:rsid w:val="003750E2"/>
    <w:rsid w:val="0037571A"/>
    <w:rsid w:val="003807D2"/>
    <w:rsid w:val="003816EC"/>
    <w:rsid w:val="003878CF"/>
    <w:rsid w:val="003903B8"/>
    <w:rsid w:val="0039177E"/>
    <w:rsid w:val="003923C0"/>
    <w:rsid w:val="00393FC8"/>
    <w:rsid w:val="003A2608"/>
    <w:rsid w:val="003A3439"/>
    <w:rsid w:val="003A3CF4"/>
    <w:rsid w:val="003A5D00"/>
    <w:rsid w:val="003B0A8E"/>
    <w:rsid w:val="003B2E35"/>
    <w:rsid w:val="003C5643"/>
    <w:rsid w:val="003C5BFE"/>
    <w:rsid w:val="003C6E8C"/>
    <w:rsid w:val="003C77D5"/>
    <w:rsid w:val="003D19AA"/>
    <w:rsid w:val="003D2C23"/>
    <w:rsid w:val="003D4E17"/>
    <w:rsid w:val="003E3674"/>
    <w:rsid w:val="003E4205"/>
    <w:rsid w:val="003E5479"/>
    <w:rsid w:val="003F2001"/>
    <w:rsid w:val="003F2902"/>
    <w:rsid w:val="00401BFC"/>
    <w:rsid w:val="0040206F"/>
    <w:rsid w:val="00403DFD"/>
    <w:rsid w:val="00403FD4"/>
    <w:rsid w:val="004048A7"/>
    <w:rsid w:val="0040492A"/>
    <w:rsid w:val="00405134"/>
    <w:rsid w:val="00411F08"/>
    <w:rsid w:val="004129C7"/>
    <w:rsid w:val="0041453E"/>
    <w:rsid w:val="004166AE"/>
    <w:rsid w:val="00416DC6"/>
    <w:rsid w:val="004201D4"/>
    <w:rsid w:val="00424EC2"/>
    <w:rsid w:val="00427454"/>
    <w:rsid w:val="00433B8A"/>
    <w:rsid w:val="00434A04"/>
    <w:rsid w:val="00437896"/>
    <w:rsid w:val="004428A1"/>
    <w:rsid w:val="004428B2"/>
    <w:rsid w:val="00445F52"/>
    <w:rsid w:val="004471F9"/>
    <w:rsid w:val="00447216"/>
    <w:rsid w:val="00447356"/>
    <w:rsid w:val="004527DC"/>
    <w:rsid w:val="004543A1"/>
    <w:rsid w:val="00455C8F"/>
    <w:rsid w:val="0045756B"/>
    <w:rsid w:val="0045785B"/>
    <w:rsid w:val="00465E3F"/>
    <w:rsid w:val="00466623"/>
    <w:rsid w:val="00476279"/>
    <w:rsid w:val="004813C1"/>
    <w:rsid w:val="0048448E"/>
    <w:rsid w:val="004868B6"/>
    <w:rsid w:val="00487A17"/>
    <w:rsid w:val="00487D4E"/>
    <w:rsid w:val="004937E2"/>
    <w:rsid w:val="0049381C"/>
    <w:rsid w:val="004941DF"/>
    <w:rsid w:val="00494563"/>
    <w:rsid w:val="00494883"/>
    <w:rsid w:val="00495750"/>
    <w:rsid w:val="00496D39"/>
    <w:rsid w:val="00497C7E"/>
    <w:rsid w:val="00497D7E"/>
    <w:rsid w:val="004A1125"/>
    <w:rsid w:val="004A1D7F"/>
    <w:rsid w:val="004A2A56"/>
    <w:rsid w:val="004A3C78"/>
    <w:rsid w:val="004A458F"/>
    <w:rsid w:val="004B038A"/>
    <w:rsid w:val="004B0917"/>
    <w:rsid w:val="004B20ED"/>
    <w:rsid w:val="004B42DB"/>
    <w:rsid w:val="004B49EE"/>
    <w:rsid w:val="004B6352"/>
    <w:rsid w:val="004B72D8"/>
    <w:rsid w:val="004B73CF"/>
    <w:rsid w:val="004C3FBD"/>
    <w:rsid w:val="004C7845"/>
    <w:rsid w:val="004D1588"/>
    <w:rsid w:val="004D18AD"/>
    <w:rsid w:val="004D22B6"/>
    <w:rsid w:val="004D2408"/>
    <w:rsid w:val="004D4576"/>
    <w:rsid w:val="004D5EFB"/>
    <w:rsid w:val="004E1DCB"/>
    <w:rsid w:val="004E327C"/>
    <w:rsid w:val="004E3467"/>
    <w:rsid w:val="004E46DA"/>
    <w:rsid w:val="004E5942"/>
    <w:rsid w:val="004F04D8"/>
    <w:rsid w:val="004F0724"/>
    <w:rsid w:val="00503326"/>
    <w:rsid w:val="00511C32"/>
    <w:rsid w:val="00512EF5"/>
    <w:rsid w:val="0051622C"/>
    <w:rsid w:val="00524457"/>
    <w:rsid w:val="00524FA5"/>
    <w:rsid w:val="00527D19"/>
    <w:rsid w:val="00533D7E"/>
    <w:rsid w:val="0053400A"/>
    <w:rsid w:val="00535554"/>
    <w:rsid w:val="0053781F"/>
    <w:rsid w:val="00537898"/>
    <w:rsid w:val="005401F2"/>
    <w:rsid w:val="00544210"/>
    <w:rsid w:val="00547486"/>
    <w:rsid w:val="00551911"/>
    <w:rsid w:val="00552010"/>
    <w:rsid w:val="00554CA5"/>
    <w:rsid w:val="005564CF"/>
    <w:rsid w:val="0056337A"/>
    <w:rsid w:val="00564987"/>
    <w:rsid w:val="00566C83"/>
    <w:rsid w:val="00567D17"/>
    <w:rsid w:val="00571C62"/>
    <w:rsid w:val="00572122"/>
    <w:rsid w:val="00577FD8"/>
    <w:rsid w:val="00580AF7"/>
    <w:rsid w:val="00581A19"/>
    <w:rsid w:val="0058289F"/>
    <w:rsid w:val="00586A0F"/>
    <w:rsid w:val="00587AEB"/>
    <w:rsid w:val="005934F3"/>
    <w:rsid w:val="00596088"/>
    <w:rsid w:val="0059675A"/>
    <w:rsid w:val="00596DFF"/>
    <w:rsid w:val="005A22F2"/>
    <w:rsid w:val="005A2CF8"/>
    <w:rsid w:val="005A3983"/>
    <w:rsid w:val="005A5258"/>
    <w:rsid w:val="005A52D4"/>
    <w:rsid w:val="005A5918"/>
    <w:rsid w:val="005A5E27"/>
    <w:rsid w:val="005A67DE"/>
    <w:rsid w:val="005A685F"/>
    <w:rsid w:val="005B3AA1"/>
    <w:rsid w:val="005C14A2"/>
    <w:rsid w:val="005C20FD"/>
    <w:rsid w:val="005D05D7"/>
    <w:rsid w:val="005D17B6"/>
    <w:rsid w:val="005D222C"/>
    <w:rsid w:val="005D3FF8"/>
    <w:rsid w:val="005D6D3D"/>
    <w:rsid w:val="005E140C"/>
    <w:rsid w:val="005E406D"/>
    <w:rsid w:val="005E7BF3"/>
    <w:rsid w:val="005E7EAD"/>
    <w:rsid w:val="005F0833"/>
    <w:rsid w:val="005F0CF5"/>
    <w:rsid w:val="005F194B"/>
    <w:rsid w:val="005F2D79"/>
    <w:rsid w:val="0060066F"/>
    <w:rsid w:val="00600CBC"/>
    <w:rsid w:val="0060170A"/>
    <w:rsid w:val="0060478B"/>
    <w:rsid w:val="00607F51"/>
    <w:rsid w:val="00610437"/>
    <w:rsid w:val="0061050E"/>
    <w:rsid w:val="006108B1"/>
    <w:rsid w:val="00611ED5"/>
    <w:rsid w:val="00614870"/>
    <w:rsid w:val="00614968"/>
    <w:rsid w:val="006205FA"/>
    <w:rsid w:val="00621987"/>
    <w:rsid w:val="006240AB"/>
    <w:rsid w:val="0062492E"/>
    <w:rsid w:val="006306EE"/>
    <w:rsid w:val="0064089A"/>
    <w:rsid w:val="00641467"/>
    <w:rsid w:val="00643755"/>
    <w:rsid w:val="006461A0"/>
    <w:rsid w:val="00646CF3"/>
    <w:rsid w:val="00647157"/>
    <w:rsid w:val="00650E8C"/>
    <w:rsid w:val="006529E3"/>
    <w:rsid w:val="006533F2"/>
    <w:rsid w:val="006551BD"/>
    <w:rsid w:val="00656754"/>
    <w:rsid w:val="00660E07"/>
    <w:rsid w:val="006621DF"/>
    <w:rsid w:val="00663865"/>
    <w:rsid w:val="006704F1"/>
    <w:rsid w:val="006728EC"/>
    <w:rsid w:val="0067314B"/>
    <w:rsid w:val="00676BF4"/>
    <w:rsid w:val="00676C2A"/>
    <w:rsid w:val="00676C8A"/>
    <w:rsid w:val="006800B7"/>
    <w:rsid w:val="006806EA"/>
    <w:rsid w:val="00684697"/>
    <w:rsid w:val="00693C0D"/>
    <w:rsid w:val="006A1B79"/>
    <w:rsid w:val="006A28A9"/>
    <w:rsid w:val="006A2B92"/>
    <w:rsid w:val="006A2FC0"/>
    <w:rsid w:val="006A40B5"/>
    <w:rsid w:val="006A6248"/>
    <w:rsid w:val="006A6569"/>
    <w:rsid w:val="006C1191"/>
    <w:rsid w:val="006C6021"/>
    <w:rsid w:val="006C6A0A"/>
    <w:rsid w:val="006C7C24"/>
    <w:rsid w:val="006D01AE"/>
    <w:rsid w:val="006D3845"/>
    <w:rsid w:val="006E02AC"/>
    <w:rsid w:val="006E0ABB"/>
    <w:rsid w:val="006E2A9A"/>
    <w:rsid w:val="006E3B55"/>
    <w:rsid w:val="006E6538"/>
    <w:rsid w:val="006E6928"/>
    <w:rsid w:val="006F3F05"/>
    <w:rsid w:val="006F5B5A"/>
    <w:rsid w:val="007022F2"/>
    <w:rsid w:val="00703DD5"/>
    <w:rsid w:val="00705F4D"/>
    <w:rsid w:val="00712575"/>
    <w:rsid w:val="00712727"/>
    <w:rsid w:val="00716294"/>
    <w:rsid w:val="007170C0"/>
    <w:rsid w:val="00717716"/>
    <w:rsid w:val="0072035A"/>
    <w:rsid w:val="00720A69"/>
    <w:rsid w:val="007219BF"/>
    <w:rsid w:val="007252F1"/>
    <w:rsid w:val="00731B34"/>
    <w:rsid w:val="007321C9"/>
    <w:rsid w:val="007327CA"/>
    <w:rsid w:val="00733262"/>
    <w:rsid w:val="007339DF"/>
    <w:rsid w:val="00735EEB"/>
    <w:rsid w:val="00736EE0"/>
    <w:rsid w:val="00743A40"/>
    <w:rsid w:val="0074515A"/>
    <w:rsid w:val="0074541E"/>
    <w:rsid w:val="007464E1"/>
    <w:rsid w:val="00746A76"/>
    <w:rsid w:val="007477E3"/>
    <w:rsid w:val="00750285"/>
    <w:rsid w:val="007528C6"/>
    <w:rsid w:val="0075353B"/>
    <w:rsid w:val="007546C3"/>
    <w:rsid w:val="0076000B"/>
    <w:rsid w:val="0077385E"/>
    <w:rsid w:val="0077512C"/>
    <w:rsid w:val="007769AA"/>
    <w:rsid w:val="00783FE0"/>
    <w:rsid w:val="00785160"/>
    <w:rsid w:val="00786592"/>
    <w:rsid w:val="007909FB"/>
    <w:rsid w:val="00790A0A"/>
    <w:rsid w:val="0079113B"/>
    <w:rsid w:val="007955AA"/>
    <w:rsid w:val="007968F4"/>
    <w:rsid w:val="00796F22"/>
    <w:rsid w:val="007A1397"/>
    <w:rsid w:val="007A21AD"/>
    <w:rsid w:val="007A6B47"/>
    <w:rsid w:val="007A6E57"/>
    <w:rsid w:val="007B071A"/>
    <w:rsid w:val="007B1BBD"/>
    <w:rsid w:val="007B364C"/>
    <w:rsid w:val="007B56A4"/>
    <w:rsid w:val="007B6ABE"/>
    <w:rsid w:val="007C1208"/>
    <w:rsid w:val="007C1294"/>
    <w:rsid w:val="007C3FB2"/>
    <w:rsid w:val="007C5166"/>
    <w:rsid w:val="007C7ACE"/>
    <w:rsid w:val="007D0A8A"/>
    <w:rsid w:val="007D77AA"/>
    <w:rsid w:val="007E134C"/>
    <w:rsid w:val="007E16FD"/>
    <w:rsid w:val="007E37FA"/>
    <w:rsid w:val="007E66D6"/>
    <w:rsid w:val="007F0F57"/>
    <w:rsid w:val="007F241A"/>
    <w:rsid w:val="007F4643"/>
    <w:rsid w:val="007F5457"/>
    <w:rsid w:val="007F5861"/>
    <w:rsid w:val="007F6BC8"/>
    <w:rsid w:val="007F76CD"/>
    <w:rsid w:val="00802E10"/>
    <w:rsid w:val="00804260"/>
    <w:rsid w:val="00805E04"/>
    <w:rsid w:val="00810F44"/>
    <w:rsid w:val="0081117C"/>
    <w:rsid w:val="008122A3"/>
    <w:rsid w:val="00812B8B"/>
    <w:rsid w:val="00816A84"/>
    <w:rsid w:val="00817EEB"/>
    <w:rsid w:val="00820394"/>
    <w:rsid w:val="00822C36"/>
    <w:rsid w:val="00824D93"/>
    <w:rsid w:val="00826EB0"/>
    <w:rsid w:val="008318B1"/>
    <w:rsid w:val="00832E16"/>
    <w:rsid w:val="00836EB1"/>
    <w:rsid w:val="008429A7"/>
    <w:rsid w:val="00842A61"/>
    <w:rsid w:val="00852834"/>
    <w:rsid w:val="00853B1A"/>
    <w:rsid w:val="00853BB6"/>
    <w:rsid w:val="008570C4"/>
    <w:rsid w:val="008706D6"/>
    <w:rsid w:val="00870EEC"/>
    <w:rsid w:val="00871315"/>
    <w:rsid w:val="00871C05"/>
    <w:rsid w:val="00872EB1"/>
    <w:rsid w:val="008737BD"/>
    <w:rsid w:val="00877924"/>
    <w:rsid w:val="00877B23"/>
    <w:rsid w:val="00890205"/>
    <w:rsid w:val="008902EF"/>
    <w:rsid w:val="00891419"/>
    <w:rsid w:val="00891B16"/>
    <w:rsid w:val="00893AC2"/>
    <w:rsid w:val="008940E9"/>
    <w:rsid w:val="008A071F"/>
    <w:rsid w:val="008A0F07"/>
    <w:rsid w:val="008A1962"/>
    <w:rsid w:val="008A35B5"/>
    <w:rsid w:val="008A48D8"/>
    <w:rsid w:val="008A659C"/>
    <w:rsid w:val="008A7DB9"/>
    <w:rsid w:val="008B039E"/>
    <w:rsid w:val="008B5194"/>
    <w:rsid w:val="008B53B9"/>
    <w:rsid w:val="008B6FBA"/>
    <w:rsid w:val="008C0374"/>
    <w:rsid w:val="008C3A2F"/>
    <w:rsid w:val="008C6AEA"/>
    <w:rsid w:val="008C6D66"/>
    <w:rsid w:val="008D212C"/>
    <w:rsid w:val="008D27E0"/>
    <w:rsid w:val="008D3267"/>
    <w:rsid w:val="008D59DA"/>
    <w:rsid w:val="008D6EED"/>
    <w:rsid w:val="008E0CB6"/>
    <w:rsid w:val="008E48B8"/>
    <w:rsid w:val="008F0888"/>
    <w:rsid w:val="008F21EA"/>
    <w:rsid w:val="008F3DD3"/>
    <w:rsid w:val="008F4608"/>
    <w:rsid w:val="008F482D"/>
    <w:rsid w:val="00902C05"/>
    <w:rsid w:val="00907A5E"/>
    <w:rsid w:val="00917B8B"/>
    <w:rsid w:val="00922491"/>
    <w:rsid w:val="00932214"/>
    <w:rsid w:val="00933D60"/>
    <w:rsid w:val="00936DEB"/>
    <w:rsid w:val="00937EE4"/>
    <w:rsid w:val="00941F1D"/>
    <w:rsid w:val="009453CB"/>
    <w:rsid w:val="0094704E"/>
    <w:rsid w:val="00950416"/>
    <w:rsid w:val="00950895"/>
    <w:rsid w:val="00951E73"/>
    <w:rsid w:val="00957614"/>
    <w:rsid w:val="009619AC"/>
    <w:rsid w:val="0096543A"/>
    <w:rsid w:val="00975C1F"/>
    <w:rsid w:val="00976044"/>
    <w:rsid w:val="0097678B"/>
    <w:rsid w:val="00976AB8"/>
    <w:rsid w:val="009801E6"/>
    <w:rsid w:val="00984B3C"/>
    <w:rsid w:val="00985914"/>
    <w:rsid w:val="00987A03"/>
    <w:rsid w:val="009925B0"/>
    <w:rsid w:val="00993C51"/>
    <w:rsid w:val="009A2A49"/>
    <w:rsid w:val="009A2B1A"/>
    <w:rsid w:val="009A3B5F"/>
    <w:rsid w:val="009A6F89"/>
    <w:rsid w:val="009A7D31"/>
    <w:rsid w:val="009B148D"/>
    <w:rsid w:val="009B2183"/>
    <w:rsid w:val="009B2E42"/>
    <w:rsid w:val="009B5566"/>
    <w:rsid w:val="009C3228"/>
    <w:rsid w:val="009C5A58"/>
    <w:rsid w:val="009C7366"/>
    <w:rsid w:val="009D0B58"/>
    <w:rsid w:val="009D211B"/>
    <w:rsid w:val="009D49B9"/>
    <w:rsid w:val="009D59E3"/>
    <w:rsid w:val="009D7C9F"/>
    <w:rsid w:val="009E1D5C"/>
    <w:rsid w:val="009E234F"/>
    <w:rsid w:val="009E239B"/>
    <w:rsid w:val="009E6F47"/>
    <w:rsid w:val="009E7BD7"/>
    <w:rsid w:val="009F0051"/>
    <w:rsid w:val="009F4F9A"/>
    <w:rsid w:val="009F65CA"/>
    <w:rsid w:val="009F74B1"/>
    <w:rsid w:val="00A000CA"/>
    <w:rsid w:val="00A025F6"/>
    <w:rsid w:val="00A117A8"/>
    <w:rsid w:val="00A13E34"/>
    <w:rsid w:val="00A21248"/>
    <w:rsid w:val="00A21976"/>
    <w:rsid w:val="00A22A70"/>
    <w:rsid w:val="00A2380F"/>
    <w:rsid w:val="00A252C4"/>
    <w:rsid w:val="00A261A6"/>
    <w:rsid w:val="00A3028A"/>
    <w:rsid w:val="00A347A7"/>
    <w:rsid w:val="00A36C57"/>
    <w:rsid w:val="00A37214"/>
    <w:rsid w:val="00A379F4"/>
    <w:rsid w:val="00A40B22"/>
    <w:rsid w:val="00A44410"/>
    <w:rsid w:val="00A448BC"/>
    <w:rsid w:val="00A51891"/>
    <w:rsid w:val="00A52215"/>
    <w:rsid w:val="00A523AD"/>
    <w:rsid w:val="00A54EEF"/>
    <w:rsid w:val="00A54FBD"/>
    <w:rsid w:val="00A5552D"/>
    <w:rsid w:val="00A55CF5"/>
    <w:rsid w:val="00A60271"/>
    <w:rsid w:val="00A640C6"/>
    <w:rsid w:val="00A648C8"/>
    <w:rsid w:val="00A64D11"/>
    <w:rsid w:val="00A71E81"/>
    <w:rsid w:val="00A754F6"/>
    <w:rsid w:val="00A76449"/>
    <w:rsid w:val="00A80EC5"/>
    <w:rsid w:val="00A82005"/>
    <w:rsid w:val="00A85474"/>
    <w:rsid w:val="00A90855"/>
    <w:rsid w:val="00A917BF"/>
    <w:rsid w:val="00A93C38"/>
    <w:rsid w:val="00A958C3"/>
    <w:rsid w:val="00AA15D0"/>
    <w:rsid w:val="00AA330E"/>
    <w:rsid w:val="00AA5235"/>
    <w:rsid w:val="00AA5E2E"/>
    <w:rsid w:val="00AA6BA5"/>
    <w:rsid w:val="00AA7531"/>
    <w:rsid w:val="00AB0438"/>
    <w:rsid w:val="00AB07E0"/>
    <w:rsid w:val="00AB1F8B"/>
    <w:rsid w:val="00AB3A3B"/>
    <w:rsid w:val="00AB5750"/>
    <w:rsid w:val="00AB649E"/>
    <w:rsid w:val="00AB6C4A"/>
    <w:rsid w:val="00AC2E75"/>
    <w:rsid w:val="00AC4B17"/>
    <w:rsid w:val="00AC5305"/>
    <w:rsid w:val="00AC5955"/>
    <w:rsid w:val="00AC777E"/>
    <w:rsid w:val="00AD1B62"/>
    <w:rsid w:val="00AD2565"/>
    <w:rsid w:val="00AD43BD"/>
    <w:rsid w:val="00AD5DC6"/>
    <w:rsid w:val="00AE3E57"/>
    <w:rsid w:val="00AF1D9D"/>
    <w:rsid w:val="00AF1EC3"/>
    <w:rsid w:val="00AF28D5"/>
    <w:rsid w:val="00AF429E"/>
    <w:rsid w:val="00AF5550"/>
    <w:rsid w:val="00B00A0D"/>
    <w:rsid w:val="00B0226B"/>
    <w:rsid w:val="00B10A3E"/>
    <w:rsid w:val="00B10BD3"/>
    <w:rsid w:val="00B15013"/>
    <w:rsid w:val="00B15312"/>
    <w:rsid w:val="00B16CCF"/>
    <w:rsid w:val="00B16E76"/>
    <w:rsid w:val="00B22B1C"/>
    <w:rsid w:val="00B24A18"/>
    <w:rsid w:val="00B2530C"/>
    <w:rsid w:val="00B260AA"/>
    <w:rsid w:val="00B276FE"/>
    <w:rsid w:val="00B34285"/>
    <w:rsid w:val="00B362D9"/>
    <w:rsid w:val="00B40716"/>
    <w:rsid w:val="00B408C1"/>
    <w:rsid w:val="00B43FD5"/>
    <w:rsid w:val="00B5279D"/>
    <w:rsid w:val="00B559B8"/>
    <w:rsid w:val="00B619A5"/>
    <w:rsid w:val="00B61F85"/>
    <w:rsid w:val="00B63710"/>
    <w:rsid w:val="00B711D3"/>
    <w:rsid w:val="00B72E2A"/>
    <w:rsid w:val="00B73019"/>
    <w:rsid w:val="00B75436"/>
    <w:rsid w:val="00B76C6A"/>
    <w:rsid w:val="00B775BD"/>
    <w:rsid w:val="00B80A72"/>
    <w:rsid w:val="00B80F19"/>
    <w:rsid w:val="00B82F63"/>
    <w:rsid w:val="00B8354B"/>
    <w:rsid w:val="00B838F2"/>
    <w:rsid w:val="00B8464B"/>
    <w:rsid w:val="00B87AD0"/>
    <w:rsid w:val="00B87B5C"/>
    <w:rsid w:val="00B92C22"/>
    <w:rsid w:val="00BA3263"/>
    <w:rsid w:val="00BA51A8"/>
    <w:rsid w:val="00BA577D"/>
    <w:rsid w:val="00BB027D"/>
    <w:rsid w:val="00BB0A74"/>
    <w:rsid w:val="00BB28AC"/>
    <w:rsid w:val="00BB4476"/>
    <w:rsid w:val="00BB6C40"/>
    <w:rsid w:val="00BC33B7"/>
    <w:rsid w:val="00BC7937"/>
    <w:rsid w:val="00BC7F92"/>
    <w:rsid w:val="00BD2B08"/>
    <w:rsid w:val="00BD39A7"/>
    <w:rsid w:val="00BD5ACE"/>
    <w:rsid w:val="00BD5B67"/>
    <w:rsid w:val="00BD67EA"/>
    <w:rsid w:val="00BD6AB7"/>
    <w:rsid w:val="00BD6FFF"/>
    <w:rsid w:val="00BE42FA"/>
    <w:rsid w:val="00BE6CD5"/>
    <w:rsid w:val="00BF09CD"/>
    <w:rsid w:val="00BF2ABB"/>
    <w:rsid w:val="00BF69FD"/>
    <w:rsid w:val="00BF7F5B"/>
    <w:rsid w:val="00C03928"/>
    <w:rsid w:val="00C1285D"/>
    <w:rsid w:val="00C15529"/>
    <w:rsid w:val="00C20F39"/>
    <w:rsid w:val="00C21003"/>
    <w:rsid w:val="00C21B46"/>
    <w:rsid w:val="00C2310E"/>
    <w:rsid w:val="00C23B28"/>
    <w:rsid w:val="00C32022"/>
    <w:rsid w:val="00C32743"/>
    <w:rsid w:val="00C3476C"/>
    <w:rsid w:val="00C35CD2"/>
    <w:rsid w:val="00C36CB0"/>
    <w:rsid w:val="00C37A0C"/>
    <w:rsid w:val="00C37ED5"/>
    <w:rsid w:val="00C404BA"/>
    <w:rsid w:val="00C40F69"/>
    <w:rsid w:val="00C422BE"/>
    <w:rsid w:val="00C43A3B"/>
    <w:rsid w:val="00C45500"/>
    <w:rsid w:val="00C5173A"/>
    <w:rsid w:val="00C533CB"/>
    <w:rsid w:val="00C57017"/>
    <w:rsid w:val="00C6138B"/>
    <w:rsid w:val="00C6518C"/>
    <w:rsid w:val="00C655E7"/>
    <w:rsid w:val="00C72386"/>
    <w:rsid w:val="00C74EF2"/>
    <w:rsid w:val="00C779C3"/>
    <w:rsid w:val="00C77B59"/>
    <w:rsid w:val="00C77EC4"/>
    <w:rsid w:val="00C81289"/>
    <w:rsid w:val="00C838FB"/>
    <w:rsid w:val="00C8708D"/>
    <w:rsid w:val="00C8748F"/>
    <w:rsid w:val="00C92FB2"/>
    <w:rsid w:val="00C93045"/>
    <w:rsid w:val="00C93980"/>
    <w:rsid w:val="00CA1C67"/>
    <w:rsid w:val="00CA1FAF"/>
    <w:rsid w:val="00CA269A"/>
    <w:rsid w:val="00CA37F5"/>
    <w:rsid w:val="00CA3F0B"/>
    <w:rsid w:val="00CA5755"/>
    <w:rsid w:val="00CA58FB"/>
    <w:rsid w:val="00CA76EC"/>
    <w:rsid w:val="00CB1D62"/>
    <w:rsid w:val="00CB33E9"/>
    <w:rsid w:val="00CB76F6"/>
    <w:rsid w:val="00CC2DF8"/>
    <w:rsid w:val="00CC40F4"/>
    <w:rsid w:val="00CC6F0B"/>
    <w:rsid w:val="00CC70E1"/>
    <w:rsid w:val="00CC7505"/>
    <w:rsid w:val="00CD1478"/>
    <w:rsid w:val="00CD2014"/>
    <w:rsid w:val="00CD40EC"/>
    <w:rsid w:val="00CD51D4"/>
    <w:rsid w:val="00CD67BC"/>
    <w:rsid w:val="00CD7772"/>
    <w:rsid w:val="00CE05EC"/>
    <w:rsid w:val="00CE4CB7"/>
    <w:rsid w:val="00CF11A7"/>
    <w:rsid w:val="00CF45D6"/>
    <w:rsid w:val="00CF7754"/>
    <w:rsid w:val="00CF7E1A"/>
    <w:rsid w:val="00D018D6"/>
    <w:rsid w:val="00D02BAE"/>
    <w:rsid w:val="00D03302"/>
    <w:rsid w:val="00D05FFF"/>
    <w:rsid w:val="00D06C49"/>
    <w:rsid w:val="00D07028"/>
    <w:rsid w:val="00D07DF8"/>
    <w:rsid w:val="00D11FD7"/>
    <w:rsid w:val="00D14296"/>
    <w:rsid w:val="00D14881"/>
    <w:rsid w:val="00D2012B"/>
    <w:rsid w:val="00D20274"/>
    <w:rsid w:val="00D208F8"/>
    <w:rsid w:val="00D2090A"/>
    <w:rsid w:val="00D2160D"/>
    <w:rsid w:val="00D340C1"/>
    <w:rsid w:val="00D35C4D"/>
    <w:rsid w:val="00D37FC0"/>
    <w:rsid w:val="00D429E0"/>
    <w:rsid w:val="00D42E0D"/>
    <w:rsid w:val="00D43C66"/>
    <w:rsid w:val="00D44AF3"/>
    <w:rsid w:val="00D46312"/>
    <w:rsid w:val="00D50FD0"/>
    <w:rsid w:val="00D524CA"/>
    <w:rsid w:val="00D52779"/>
    <w:rsid w:val="00D54987"/>
    <w:rsid w:val="00D63772"/>
    <w:rsid w:val="00D647C0"/>
    <w:rsid w:val="00D735F9"/>
    <w:rsid w:val="00D81088"/>
    <w:rsid w:val="00D85236"/>
    <w:rsid w:val="00D8744B"/>
    <w:rsid w:val="00D9054B"/>
    <w:rsid w:val="00D90C6C"/>
    <w:rsid w:val="00D90DA1"/>
    <w:rsid w:val="00D9205E"/>
    <w:rsid w:val="00D93659"/>
    <w:rsid w:val="00D94F81"/>
    <w:rsid w:val="00D96D4A"/>
    <w:rsid w:val="00D97CD4"/>
    <w:rsid w:val="00DA1E2F"/>
    <w:rsid w:val="00DA4C81"/>
    <w:rsid w:val="00DA6981"/>
    <w:rsid w:val="00DB0047"/>
    <w:rsid w:val="00DB2074"/>
    <w:rsid w:val="00DB2ED1"/>
    <w:rsid w:val="00DB381D"/>
    <w:rsid w:val="00DB5677"/>
    <w:rsid w:val="00DB7F11"/>
    <w:rsid w:val="00DC11F7"/>
    <w:rsid w:val="00DC29A4"/>
    <w:rsid w:val="00DC3ED4"/>
    <w:rsid w:val="00DC7762"/>
    <w:rsid w:val="00DD0E7E"/>
    <w:rsid w:val="00DD2FD0"/>
    <w:rsid w:val="00DD3D8E"/>
    <w:rsid w:val="00DE3A27"/>
    <w:rsid w:val="00DE79CD"/>
    <w:rsid w:val="00DE7D10"/>
    <w:rsid w:val="00DF008E"/>
    <w:rsid w:val="00DF4C26"/>
    <w:rsid w:val="00E0149E"/>
    <w:rsid w:val="00E01B8F"/>
    <w:rsid w:val="00E04CE0"/>
    <w:rsid w:val="00E110CC"/>
    <w:rsid w:val="00E11586"/>
    <w:rsid w:val="00E126BC"/>
    <w:rsid w:val="00E15B43"/>
    <w:rsid w:val="00E170DF"/>
    <w:rsid w:val="00E2278A"/>
    <w:rsid w:val="00E23677"/>
    <w:rsid w:val="00E24DA1"/>
    <w:rsid w:val="00E25D25"/>
    <w:rsid w:val="00E335BC"/>
    <w:rsid w:val="00E34F28"/>
    <w:rsid w:val="00E43333"/>
    <w:rsid w:val="00E521DC"/>
    <w:rsid w:val="00E54960"/>
    <w:rsid w:val="00E54DC0"/>
    <w:rsid w:val="00E5661C"/>
    <w:rsid w:val="00E6583E"/>
    <w:rsid w:val="00E66310"/>
    <w:rsid w:val="00E67FDE"/>
    <w:rsid w:val="00E70E14"/>
    <w:rsid w:val="00E717A0"/>
    <w:rsid w:val="00E73482"/>
    <w:rsid w:val="00E73AFC"/>
    <w:rsid w:val="00E74AFE"/>
    <w:rsid w:val="00E81DBA"/>
    <w:rsid w:val="00E826E4"/>
    <w:rsid w:val="00E87E1A"/>
    <w:rsid w:val="00E94151"/>
    <w:rsid w:val="00E9543D"/>
    <w:rsid w:val="00EA011B"/>
    <w:rsid w:val="00EA0854"/>
    <w:rsid w:val="00EA4CDF"/>
    <w:rsid w:val="00EA4E0B"/>
    <w:rsid w:val="00EA5847"/>
    <w:rsid w:val="00EA7131"/>
    <w:rsid w:val="00EA7FAC"/>
    <w:rsid w:val="00EB16A4"/>
    <w:rsid w:val="00EB2885"/>
    <w:rsid w:val="00EB2ADD"/>
    <w:rsid w:val="00EB598B"/>
    <w:rsid w:val="00EB75C2"/>
    <w:rsid w:val="00EB7912"/>
    <w:rsid w:val="00EC02EC"/>
    <w:rsid w:val="00EC10F6"/>
    <w:rsid w:val="00EC2CB3"/>
    <w:rsid w:val="00EC33FE"/>
    <w:rsid w:val="00EC6522"/>
    <w:rsid w:val="00EC7E71"/>
    <w:rsid w:val="00ED2393"/>
    <w:rsid w:val="00ED27BF"/>
    <w:rsid w:val="00ED2B51"/>
    <w:rsid w:val="00ED3118"/>
    <w:rsid w:val="00ED5E54"/>
    <w:rsid w:val="00EE0188"/>
    <w:rsid w:val="00EE1415"/>
    <w:rsid w:val="00EE45C7"/>
    <w:rsid w:val="00EE6A48"/>
    <w:rsid w:val="00EE73F1"/>
    <w:rsid w:val="00EF5635"/>
    <w:rsid w:val="00EF60C9"/>
    <w:rsid w:val="00EF635D"/>
    <w:rsid w:val="00EF6E9C"/>
    <w:rsid w:val="00EF7754"/>
    <w:rsid w:val="00F05873"/>
    <w:rsid w:val="00F1580D"/>
    <w:rsid w:val="00F16DE0"/>
    <w:rsid w:val="00F2559A"/>
    <w:rsid w:val="00F25CFF"/>
    <w:rsid w:val="00F26AFA"/>
    <w:rsid w:val="00F26D2C"/>
    <w:rsid w:val="00F27283"/>
    <w:rsid w:val="00F27FD5"/>
    <w:rsid w:val="00F30B25"/>
    <w:rsid w:val="00F31718"/>
    <w:rsid w:val="00F3211A"/>
    <w:rsid w:val="00F324AB"/>
    <w:rsid w:val="00F32996"/>
    <w:rsid w:val="00F32D2F"/>
    <w:rsid w:val="00F4714F"/>
    <w:rsid w:val="00F5208F"/>
    <w:rsid w:val="00F52ABF"/>
    <w:rsid w:val="00F544CE"/>
    <w:rsid w:val="00F545BE"/>
    <w:rsid w:val="00F56057"/>
    <w:rsid w:val="00F607B9"/>
    <w:rsid w:val="00F60A48"/>
    <w:rsid w:val="00F71509"/>
    <w:rsid w:val="00F739BE"/>
    <w:rsid w:val="00F742D8"/>
    <w:rsid w:val="00F7516D"/>
    <w:rsid w:val="00F7760F"/>
    <w:rsid w:val="00F7778A"/>
    <w:rsid w:val="00F77D20"/>
    <w:rsid w:val="00F82A41"/>
    <w:rsid w:val="00F83E65"/>
    <w:rsid w:val="00F8426C"/>
    <w:rsid w:val="00F85234"/>
    <w:rsid w:val="00F8604B"/>
    <w:rsid w:val="00F909DD"/>
    <w:rsid w:val="00F9202A"/>
    <w:rsid w:val="00F93082"/>
    <w:rsid w:val="00F95A82"/>
    <w:rsid w:val="00FA3B06"/>
    <w:rsid w:val="00FA6171"/>
    <w:rsid w:val="00FA64EA"/>
    <w:rsid w:val="00FA7155"/>
    <w:rsid w:val="00FB13A1"/>
    <w:rsid w:val="00FB4E19"/>
    <w:rsid w:val="00FC15E9"/>
    <w:rsid w:val="00FC5167"/>
    <w:rsid w:val="00FC5439"/>
    <w:rsid w:val="00FC71C5"/>
    <w:rsid w:val="00FC737B"/>
    <w:rsid w:val="00FD3A8D"/>
    <w:rsid w:val="00FD6A31"/>
    <w:rsid w:val="00FD7271"/>
    <w:rsid w:val="00FE0A18"/>
    <w:rsid w:val="00FE4592"/>
    <w:rsid w:val="00FE52C8"/>
    <w:rsid w:val="00FE602E"/>
    <w:rsid w:val="00FF032C"/>
    <w:rsid w:val="00FF0C3E"/>
    <w:rsid w:val="00FF7484"/>
    <w:rsid w:val="00FF7F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C7741"/>
  <w15:chartTrackingRefBased/>
  <w15:docId w15:val="{0268E4B5-9362-44BD-9053-645ACEED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C2CB3"/>
    <w:pPr>
      <w:spacing w:after="120" w:line="312" w:lineRule="auto"/>
      <w:jc w:val="both"/>
    </w:pPr>
    <w:rPr>
      <w:rFonts w:ascii="Century Gothic" w:hAnsi="Century Gothic"/>
      <w:sz w:val="20"/>
    </w:rPr>
  </w:style>
  <w:style w:type="paragraph" w:styleId="Nagwek1">
    <w:name w:val="heading 1"/>
    <w:basedOn w:val="Normalny"/>
    <w:next w:val="Normalny"/>
    <w:link w:val="Nagwek1Znak"/>
    <w:qFormat/>
    <w:rsid w:val="00FC5439"/>
    <w:pPr>
      <w:pBdr>
        <w:top w:val="single" w:sz="24" w:space="0" w:color="C45911" w:themeColor="accent2" w:themeShade="BF"/>
        <w:left w:val="single" w:sz="24" w:space="0" w:color="C45911" w:themeColor="accent2" w:themeShade="BF"/>
        <w:bottom w:val="single" w:sz="24" w:space="0" w:color="C45911" w:themeColor="accent2" w:themeShade="BF"/>
        <w:right w:val="single" w:sz="24" w:space="0" w:color="C45911" w:themeColor="accent2" w:themeShade="BF"/>
      </w:pBdr>
      <w:shd w:val="clear" w:color="auto" w:fill="C45911" w:themeFill="accent2" w:themeFillShade="BF"/>
      <w:spacing w:before="120" w:after="240" w:line="276" w:lineRule="auto"/>
      <w:outlineLvl w:val="0"/>
    </w:pPr>
    <w:rPr>
      <w:caps/>
      <w:color w:val="FFFFFF"/>
      <w:spacing w:val="15"/>
      <w:sz w:val="24"/>
    </w:rPr>
  </w:style>
  <w:style w:type="paragraph" w:styleId="Nagwek2">
    <w:name w:val="heading 2"/>
    <w:basedOn w:val="Normalny"/>
    <w:next w:val="Normalny"/>
    <w:link w:val="Nagwek2Znak"/>
    <w:uiPriority w:val="9"/>
    <w:unhideWhenUsed/>
    <w:qFormat/>
    <w:rsid w:val="00941F1D"/>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line="276" w:lineRule="auto"/>
      <w:outlineLvl w:val="1"/>
    </w:pPr>
    <w:rPr>
      <w:b/>
      <w:caps/>
      <w:color w:val="833C0B"/>
      <w:spacing w:val="15"/>
      <w:lang w:bidi="en-US"/>
    </w:rPr>
  </w:style>
  <w:style w:type="paragraph" w:styleId="Nagwek3">
    <w:name w:val="heading 3"/>
    <w:basedOn w:val="Normalny"/>
    <w:next w:val="Normalny"/>
    <w:link w:val="Nagwek3Znak"/>
    <w:uiPriority w:val="9"/>
    <w:semiHidden/>
    <w:unhideWhenUsed/>
    <w:qFormat/>
    <w:rsid w:val="00FC54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3F2001"/>
    <w:pPr>
      <w:keepNext/>
      <w:keepLines/>
      <w:spacing w:before="40" w:after="0" w:line="259" w:lineRule="auto"/>
      <w:jc w:val="left"/>
      <w:outlineLvl w:val="3"/>
    </w:pPr>
    <w:rPr>
      <w:rFonts w:ascii="Calibri" w:hAnsi="Calibri"/>
      <w:caps/>
      <w:color w:val="9D3511"/>
      <w:spacing w:val="10"/>
      <w:sz w:val="22"/>
      <w:lang w:bidi="en-US"/>
    </w:rPr>
  </w:style>
  <w:style w:type="paragraph" w:styleId="Nagwek5">
    <w:name w:val="heading 5"/>
    <w:basedOn w:val="Normalny"/>
    <w:next w:val="Normalny"/>
    <w:link w:val="Nagwek5Znak"/>
    <w:uiPriority w:val="9"/>
    <w:semiHidden/>
    <w:unhideWhenUsed/>
    <w:qFormat/>
    <w:rsid w:val="003F2001"/>
    <w:pPr>
      <w:keepNext/>
      <w:keepLines/>
      <w:spacing w:before="40" w:after="0" w:line="259" w:lineRule="auto"/>
      <w:jc w:val="left"/>
      <w:outlineLvl w:val="4"/>
    </w:pPr>
    <w:rPr>
      <w:rFonts w:ascii="Calibri" w:hAnsi="Calibri"/>
      <w:caps/>
      <w:color w:val="9D3511"/>
      <w:spacing w:val="10"/>
      <w:sz w:val="22"/>
      <w:lang w:bidi="en-US"/>
    </w:rPr>
  </w:style>
  <w:style w:type="paragraph" w:styleId="Nagwek6">
    <w:name w:val="heading 6"/>
    <w:basedOn w:val="Normalny"/>
    <w:next w:val="Normalny"/>
    <w:link w:val="Nagwek6Znak"/>
    <w:uiPriority w:val="9"/>
    <w:semiHidden/>
    <w:unhideWhenUsed/>
    <w:qFormat/>
    <w:rsid w:val="003F2001"/>
    <w:pPr>
      <w:keepNext/>
      <w:keepLines/>
      <w:spacing w:before="40" w:after="0" w:line="259" w:lineRule="auto"/>
      <w:jc w:val="left"/>
      <w:outlineLvl w:val="5"/>
    </w:pPr>
    <w:rPr>
      <w:rFonts w:ascii="Calibri" w:hAnsi="Calibri"/>
      <w:caps/>
      <w:color w:val="9D3511"/>
      <w:spacing w:val="10"/>
      <w:sz w:val="22"/>
      <w:lang w:bidi="en-US"/>
    </w:rPr>
  </w:style>
  <w:style w:type="paragraph" w:styleId="Nagwek7">
    <w:name w:val="heading 7"/>
    <w:basedOn w:val="Normalny"/>
    <w:next w:val="Normalny"/>
    <w:link w:val="Nagwek7Znak"/>
    <w:uiPriority w:val="9"/>
    <w:semiHidden/>
    <w:unhideWhenUsed/>
    <w:qFormat/>
    <w:rsid w:val="003F2001"/>
    <w:pPr>
      <w:keepNext/>
      <w:keepLines/>
      <w:spacing w:before="40" w:after="0" w:line="259" w:lineRule="auto"/>
      <w:jc w:val="left"/>
      <w:outlineLvl w:val="6"/>
    </w:pPr>
    <w:rPr>
      <w:rFonts w:ascii="Calibri" w:hAnsi="Calibri"/>
      <w:caps/>
      <w:color w:val="9D3511"/>
      <w:spacing w:val="10"/>
      <w:sz w:val="22"/>
      <w:lang w:bidi="en-US"/>
    </w:rPr>
  </w:style>
  <w:style w:type="paragraph" w:styleId="Nagwek8">
    <w:name w:val="heading 8"/>
    <w:basedOn w:val="Normalny"/>
    <w:next w:val="Normalny"/>
    <w:link w:val="Nagwek8Znak"/>
    <w:uiPriority w:val="9"/>
    <w:semiHidden/>
    <w:unhideWhenUsed/>
    <w:qFormat/>
    <w:rsid w:val="003F2001"/>
    <w:pPr>
      <w:spacing w:before="300" w:after="0" w:line="276" w:lineRule="auto"/>
      <w:outlineLvl w:val="7"/>
    </w:pPr>
    <w:rPr>
      <w:rFonts w:eastAsia="Times New Roman"/>
      <w:caps/>
      <w:spacing w:val="10"/>
      <w:kern w:val="0"/>
      <w:sz w:val="18"/>
      <w:szCs w:val="18"/>
      <w:lang w:bidi="en-US"/>
      <w14:ligatures w14:val="none"/>
    </w:rPr>
  </w:style>
  <w:style w:type="paragraph" w:styleId="Nagwek9">
    <w:name w:val="heading 9"/>
    <w:basedOn w:val="Normalny"/>
    <w:next w:val="Normalny"/>
    <w:link w:val="Nagwek9Znak"/>
    <w:uiPriority w:val="9"/>
    <w:semiHidden/>
    <w:unhideWhenUsed/>
    <w:qFormat/>
    <w:rsid w:val="003F2001"/>
    <w:pPr>
      <w:spacing w:before="300" w:after="0" w:line="276" w:lineRule="auto"/>
      <w:outlineLvl w:val="8"/>
    </w:pPr>
    <w:rPr>
      <w:rFonts w:eastAsia="Times New Roman"/>
      <w:i/>
      <w:caps/>
      <w:spacing w:val="10"/>
      <w:kern w:val="0"/>
      <w:sz w:val="18"/>
      <w:szCs w:val="18"/>
      <w:lang w:bidi="en-US"/>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FC5439"/>
    <w:rPr>
      <w:rFonts w:ascii="Century Gothic" w:hAnsi="Century Gothic"/>
      <w:caps/>
      <w:color w:val="FFFFFF"/>
      <w:spacing w:val="15"/>
      <w:sz w:val="24"/>
      <w:shd w:val="clear" w:color="auto" w:fill="C45911" w:themeFill="accent2" w:themeFillShade="BF"/>
    </w:rPr>
  </w:style>
  <w:style w:type="character" w:customStyle="1" w:styleId="Nagwek2Znak">
    <w:name w:val="Nagłówek 2 Znak"/>
    <w:link w:val="Nagwek2"/>
    <w:uiPriority w:val="9"/>
    <w:rsid w:val="00941F1D"/>
    <w:rPr>
      <w:rFonts w:ascii="Century Gothic" w:hAnsi="Century Gothic"/>
      <w:b/>
      <w:caps/>
      <w:color w:val="833C0B"/>
      <w:spacing w:val="15"/>
      <w:sz w:val="20"/>
      <w:lang w:bidi="en-US"/>
    </w:rPr>
  </w:style>
  <w:style w:type="paragraph" w:customStyle="1" w:styleId="podrozdzial">
    <w:name w:val="podrozdzial"/>
    <w:basedOn w:val="Normalny"/>
    <w:next w:val="Normalny"/>
    <w:link w:val="podrozdzialZnak"/>
    <w:qFormat/>
    <w:rsid w:val="00FC15E9"/>
    <w:pPr>
      <w:spacing w:line="276" w:lineRule="auto"/>
    </w:pPr>
    <w:rPr>
      <w:b/>
      <w:smallCaps/>
      <w:color w:val="833C0B"/>
      <w:lang w:bidi="en-US"/>
    </w:rPr>
  </w:style>
  <w:style w:type="character" w:customStyle="1" w:styleId="podrozdzialZnak">
    <w:name w:val="podrozdzial Znak"/>
    <w:basedOn w:val="Domylnaczcionkaakapitu"/>
    <w:link w:val="podrozdzial"/>
    <w:rsid w:val="00FC15E9"/>
    <w:rPr>
      <w:rFonts w:ascii="Century Gothic" w:hAnsi="Century Gothic"/>
      <w:b/>
      <w:smallCaps/>
      <w:color w:val="833C0B"/>
      <w:sz w:val="20"/>
      <w:lang w:bidi="en-US"/>
    </w:rPr>
  </w:style>
  <w:style w:type="paragraph" w:styleId="Akapitzlist">
    <w:name w:val="List Paragraph"/>
    <w:aliases w:val="Resume Title,Citation List,Ha,List Paragraph1,Body,List Paragraph_Table bullets,Bullet List Paragraph,Listes,Paragraphe de liste 2,Reference list,Lettre d'introduction,Paragrafo elenco,1st level - Bullet List Paragraph,Yellow Bullet"/>
    <w:basedOn w:val="Normalny"/>
    <w:link w:val="AkapitzlistZnak"/>
    <w:uiPriority w:val="34"/>
    <w:qFormat/>
    <w:rsid w:val="00F27FD5"/>
    <w:pPr>
      <w:ind w:left="720"/>
      <w:contextualSpacing/>
    </w:pPr>
  </w:style>
  <w:style w:type="character" w:customStyle="1" w:styleId="Nagwek3Znak">
    <w:name w:val="Nagłówek 3 Znak"/>
    <w:basedOn w:val="Domylnaczcionkaakapitu"/>
    <w:link w:val="Nagwek3"/>
    <w:uiPriority w:val="9"/>
    <w:semiHidden/>
    <w:rsid w:val="00FC5439"/>
    <w:rPr>
      <w:rFonts w:asciiTheme="majorHAnsi" w:eastAsiaTheme="majorEastAsia" w:hAnsiTheme="majorHAnsi" w:cstheme="majorBidi"/>
      <w:color w:val="1F3763" w:themeColor="accent1" w:themeShade="7F"/>
      <w:sz w:val="24"/>
      <w:szCs w:val="24"/>
    </w:rPr>
  </w:style>
  <w:style w:type="paragraph" w:styleId="Spistreci1">
    <w:name w:val="toc 1"/>
    <w:basedOn w:val="Normalny"/>
    <w:next w:val="Normalny"/>
    <w:autoRedefine/>
    <w:uiPriority w:val="39"/>
    <w:unhideWhenUsed/>
    <w:rsid w:val="000D4659"/>
    <w:pPr>
      <w:spacing w:after="100"/>
      <w:jc w:val="left"/>
    </w:pPr>
  </w:style>
  <w:style w:type="paragraph" w:styleId="Spistreci2">
    <w:name w:val="toc 2"/>
    <w:basedOn w:val="Normalny"/>
    <w:next w:val="Normalny"/>
    <w:autoRedefine/>
    <w:uiPriority w:val="39"/>
    <w:unhideWhenUsed/>
    <w:rsid w:val="00FC5439"/>
    <w:pPr>
      <w:spacing w:after="100"/>
      <w:ind w:left="220"/>
    </w:pPr>
  </w:style>
  <w:style w:type="character" w:styleId="Hipercze">
    <w:name w:val="Hyperlink"/>
    <w:basedOn w:val="Domylnaczcionkaakapitu"/>
    <w:uiPriority w:val="99"/>
    <w:unhideWhenUsed/>
    <w:rsid w:val="00FC5439"/>
    <w:rPr>
      <w:color w:val="0563C1" w:themeColor="hyperlink"/>
      <w:u w:val="single"/>
    </w:rPr>
  </w:style>
  <w:style w:type="paragraph" w:styleId="Spistreci3">
    <w:name w:val="toc 3"/>
    <w:basedOn w:val="Normalny"/>
    <w:next w:val="Normalny"/>
    <w:autoRedefine/>
    <w:uiPriority w:val="39"/>
    <w:unhideWhenUsed/>
    <w:rsid w:val="00FC15E9"/>
    <w:pPr>
      <w:spacing w:after="100"/>
      <w:ind w:left="400"/>
    </w:pPr>
  </w:style>
  <w:style w:type="paragraph" w:styleId="Nagwek">
    <w:name w:val="header"/>
    <w:basedOn w:val="Normalny"/>
    <w:link w:val="NagwekZnak"/>
    <w:uiPriority w:val="99"/>
    <w:unhideWhenUsed/>
    <w:rsid w:val="007600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000B"/>
    <w:rPr>
      <w:rFonts w:ascii="Century Gothic" w:hAnsi="Century Gothic"/>
      <w:sz w:val="20"/>
    </w:rPr>
  </w:style>
  <w:style w:type="paragraph" w:styleId="Stopka">
    <w:name w:val="footer"/>
    <w:basedOn w:val="Normalny"/>
    <w:link w:val="StopkaZnak"/>
    <w:uiPriority w:val="99"/>
    <w:unhideWhenUsed/>
    <w:rsid w:val="007600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000B"/>
    <w:rPr>
      <w:rFonts w:ascii="Century Gothic" w:hAnsi="Century Gothic"/>
      <w:sz w:val="20"/>
    </w:rPr>
  </w:style>
  <w:style w:type="paragraph" w:styleId="Tekstprzypisukocowego">
    <w:name w:val="endnote text"/>
    <w:basedOn w:val="Normalny"/>
    <w:link w:val="TekstprzypisukocowegoZnak"/>
    <w:uiPriority w:val="99"/>
    <w:semiHidden/>
    <w:unhideWhenUsed/>
    <w:rsid w:val="007B56A4"/>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7B56A4"/>
    <w:rPr>
      <w:rFonts w:ascii="Century Gothic" w:hAnsi="Century Gothic"/>
      <w:sz w:val="20"/>
      <w:szCs w:val="20"/>
    </w:rPr>
  </w:style>
  <w:style w:type="character" w:styleId="Odwoanieprzypisukocowego">
    <w:name w:val="endnote reference"/>
    <w:basedOn w:val="Domylnaczcionkaakapitu"/>
    <w:uiPriority w:val="99"/>
    <w:semiHidden/>
    <w:unhideWhenUsed/>
    <w:rsid w:val="007B56A4"/>
    <w:rPr>
      <w:vertAlign w:val="superscript"/>
    </w:rPr>
  </w:style>
  <w:style w:type="table" w:styleId="Tabela-Siatka">
    <w:name w:val="Table Grid"/>
    <w:basedOn w:val="Standardowy"/>
    <w:uiPriority w:val="39"/>
    <w:rsid w:val="008F0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A51A8"/>
    <w:rPr>
      <w:sz w:val="16"/>
      <w:szCs w:val="16"/>
    </w:rPr>
  </w:style>
  <w:style w:type="paragraph" w:styleId="Tekstkomentarza">
    <w:name w:val="annotation text"/>
    <w:basedOn w:val="Normalny"/>
    <w:link w:val="TekstkomentarzaZnak"/>
    <w:uiPriority w:val="99"/>
    <w:unhideWhenUsed/>
    <w:rsid w:val="00BA51A8"/>
    <w:pPr>
      <w:spacing w:line="240" w:lineRule="auto"/>
    </w:pPr>
    <w:rPr>
      <w:szCs w:val="20"/>
    </w:rPr>
  </w:style>
  <w:style w:type="character" w:customStyle="1" w:styleId="TekstkomentarzaZnak">
    <w:name w:val="Tekst komentarza Znak"/>
    <w:basedOn w:val="Domylnaczcionkaakapitu"/>
    <w:link w:val="Tekstkomentarza"/>
    <w:uiPriority w:val="99"/>
    <w:rsid w:val="00BA51A8"/>
    <w:rPr>
      <w:rFonts w:ascii="Century Gothic" w:hAnsi="Century Gothic"/>
      <w:sz w:val="20"/>
      <w:szCs w:val="20"/>
    </w:rPr>
  </w:style>
  <w:style w:type="paragraph" w:styleId="Tematkomentarza">
    <w:name w:val="annotation subject"/>
    <w:basedOn w:val="Tekstkomentarza"/>
    <w:next w:val="Tekstkomentarza"/>
    <w:link w:val="TematkomentarzaZnak"/>
    <w:uiPriority w:val="99"/>
    <w:semiHidden/>
    <w:unhideWhenUsed/>
    <w:rsid w:val="00BA51A8"/>
    <w:rPr>
      <w:b/>
      <w:bCs/>
    </w:rPr>
  </w:style>
  <w:style w:type="character" w:customStyle="1" w:styleId="TematkomentarzaZnak">
    <w:name w:val="Temat komentarza Znak"/>
    <w:basedOn w:val="TekstkomentarzaZnak"/>
    <w:link w:val="Tematkomentarza"/>
    <w:uiPriority w:val="99"/>
    <w:semiHidden/>
    <w:rsid w:val="00BA51A8"/>
    <w:rPr>
      <w:rFonts w:ascii="Century Gothic" w:hAnsi="Century Gothic"/>
      <w:b/>
      <w:bCs/>
      <w:sz w:val="20"/>
      <w:szCs w:val="20"/>
    </w:rPr>
  </w:style>
  <w:style w:type="paragraph" w:styleId="Legenda">
    <w:name w:val="caption"/>
    <w:basedOn w:val="Normalny"/>
    <w:next w:val="Normalny"/>
    <w:link w:val="LegendaZnak"/>
    <w:uiPriority w:val="35"/>
    <w:unhideWhenUsed/>
    <w:qFormat/>
    <w:rsid w:val="00CF7E1A"/>
    <w:pPr>
      <w:spacing w:after="200" w:line="240" w:lineRule="auto"/>
    </w:pPr>
    <w:rPr>
      <w:i/>
      <w:iCs/>
      <w:color w:val="44546A" w:themeColor="text2"/>
      <w:sz w:val="18"/>
      <w:szCs w:val="18"/>
    </w:rPr>
  </w:style>
  <w:style w:type="paragraph" w:customStyle="1" w:styleId="Styl1">
    <w:name w:val="Styl1"/>
    <w:basedOn w:val="Legenda"/>
    <w:link w:val="Styl1Znak"/>
    <w:qFormat/>
    <w:rsid w:val="00CF7E1A"/>
    <w:pPr>
      <w:jc w:val="left"/>
    </w:pPr>
    <w:rPr>
      <w:color w:val="auto"/>
    </w:rPr>
  </w:style>
  <w:style w:type="character" w:customStyle="1" w:styleId="LegendaZnak">
    <w:name w:val="Legenda Znak"/>
    <w:basedOn w:val="Domylnaczcionkaakapitu"/>
    <w:link w:val="Legenda"/>
    <w:uiPriority w:val="35"/>
    <w:rsid w:val="00CF7E1A"/>
    <w:rPr>
      <w:rFonts w:ascii="Century Gothic" w:hAnsi="Century Gothic"/>
      <w:i/>
      <w:iCs/>
      <w:color w:val="44546A" w:themeColor="text2"/>
      <w:sz w:val="18"/>
      <w:szCs w:val="18"/>
    </w:rPr>
  </w:style>
  <w:style w:type="character" w:customStyle="1" w:styleId="Styl1Znak">
    <w:name w:val="Styl1 Znak"/>
    <w:basedOn w:val="LegendaZnak"/>
    <w:link w:val="Styl1"/>
    <w:rsid w:val="00CF7E1A"/>
    <w:rPr>
      <w:rFonts w:ascii="Century Gothic" w:hAnsi="Century Gothic"/>
      <w:i/>
      <w:iCs/>
      <w:color w:val="44546A" w:themeColor="text2"/>
      <w:sz w:val="18"/>
      <w:szCs w:val="18"/>
    </w:rPr>
  </w:style>
  <w:style w:type="paragraph" w:styleId="Tekstdymka">
    <w:name w:val="Balloon Text"/>
    <w:basedOn w:val="Normalny"/>
    <w:link w:val="TekstdymkaZnak"/>
    <w:uiPriority w:val="99"/>
    <w:semiHidden/>
    <w:unhideWhenUsed/>
    <w:rsid w:val="00C9398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93980"/>
    <w:rPr>
      <w:rFonts w:ascii="Segoe UI" w:hAnsi="Segoe UI" w:cs="Segoe UI"/>
      <w:sz w:val="18"/>
      <w:szCs w:val="18"/>
    </w:rPr>
  </w:style>
  <w:style w:type="paragraph" w:styleId="Tekstprzypisudolnego">
    <w:name w:val="footnote text"/>
    <w:basedOn w:val="Normalny"/>
    <w:link w:val="TekstprzypisudolnegoZnak"/>
    <w:uiPriority w:val="99"/>
    <w:unhideWhenUsed/>
    <w:rsid w:val="007F4643"/>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7F4643"/>
    <w:rPr>
      <w:rFonts w:ascii="Century Gothic" w:hAnsi="Century Gothic"/>
      <w:sz w:val="20"/>
      <w:szCs w:val="20"/>
    </w:rPr>
  </w:style>
  <w:style w:type="character" w:styleId="Odwoanieprzypisudolnego">
    <w:name w:val="footnote reference"/>
    <w:basedOn w:val="Domylnaczcionkaakapitu"/>
    <w:uiPriority w:val="99"/>
    <w:unhideWhenUsed/>
    <w:rsid w:val="007F4643"/>
    <w:rPr>
      <w:vertAlign w:val="superscript"/>
    </w:rPr>
  </w:style>
  <w:style w:type="table" w:customStyle="1" w:styleId="Tabela-Siatka1">
    <w:name w:val="Tabela - Siatka1"/>
    <w:basedOn w:val="Standardowy"/>
    <w:next w:val="Tabela-Siatka"/>
    <w:uiPriority w:val="39"/>
    <w:rsid w:val="00A85474"/>
    <w:pPr>
      <w:spacing w:after="0" w:line="240" w:lineRule="auto"/>
      <w:ind w:left="284" w:hanging="284"/>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C8128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3F2001"/>
    <w:rPr>
      <w:rFonts w:ascii="Calibri" w:hAnsi="Calibri"/>
      <w:caps/>
      <w:color w:val="9D3511"/>
      <w:spacing w:val="10"/>
      <w:lang w:bidi="en-US"/>
    </w:rPr>
  </w:style>
  <w:style w:type="character" w:customStyle="1" w:styleId="Nagwek5Znak">
    <w:name w:val="Nagłówek 5 Znak"/>
    <w:basedOn w:val="Domylnaczcionkaakapitu"/>
    <w:link w:val="Nagwek5"/>
    <w:uiPriority w:val="9"/>
    <w:semiHidden/>
    <w:rsid w:val="003F2001"/>
    <w:rPr>
      <w:rFonts w:ascii="Calibri" w:hAnsi="Calibri"/>
      <w:caps/>
      <w:color w:val="9D3511"/>
      <w:spacing w:val="10"/>
      <w:lang w:bidi="en-US"/>
    </w:rPr>
  </w:style>
  <w:style w:type="character" w:customStyle="1" w:styleId="Nagwek6Znak">
    <w:name w:val="Nagłówek 6 Znak"/>
    <w:basedOn w:val="Domylnaczcionkaakapitu"/>
    <w:link w:val="Nagwek6"/>
    <w:uiPriority w:val="9"/>
    <w:semiHidden/>
    <w:rsid w:val="003F2001"/>
    <w:rPr>
      <w:rFonts w:ascii="Calibri" w:hAnsi="Calibri"/>
      <w:caps/>
      <w:color w:val="9D3511"/>
      <w:spacing w:val="10"/>
      <w:lang w:bidi="en-US"/>
    </w:rPr>
  </w:style>
  <w:style w:type="character" w:customStyle="1" w:styleId="Nagwek7Znak">
    <w:name w:val="Nagłówek 7 Znak"/>
    <w:basedOn w:val="Domylnaczcionkaakapitu"/>
    <w:link w:val="Nagwek7"/>
    <w:uiPriority w:val="9"/>
    <w:semiHidden/>
    <w:rsid w:val="003F2001"/>
    <w:rPr>
      <w:rFonts w:ascii="Calibri" w:hAnsi="Calibri"/>
      <w:caps/>
      <w:color w:val="9D3511"/>
      <w:spacing w:val="10"/>
      <w:lang w:bidi="en-US"/>
    </w:rPr>
  </w:style>
  <w:style w:type="character" w:customStyle="1" w:styleId="Nagwek8Znak">
    <w:name w:val="Nagłówek 8 Znak"/>
    <w:basedOn w:val="Domylnaczcionkaakapitu"/>
    <w:link w:val="Nagwek8"/>
    <w:uiPriority w:val="9"/>
    <w:semiHidden/>
    <w:rsid w:val="003F2001"/>
    <w:rPr>
      <w:rFonts w:ascii="Century Gothic" w:eastAsia="Times New Roman" w:hAnsi="Century Gothic"/>
      <w:caps/>
      <w:spacing w:val="10"/>
      <w:kern w:val="0"/>
      <w:sz w:val="18"/>
      <w:szCs w:val="18"/>
      <w:lang w:bidi="en-US"/>
      <w14:ligatures w14:val="none"/>
    </w:rPr>
  </w:style>
  <w:style w:type="character" w:customStyle="1" w:styleId="Nagwek9Znak">
    <w:name w:val="Nagłówek 9 Znak"/>
    <w:basedOn w:val="Domylnaczcionkaakapitu"/>
    <w:link w:val="Nagwek9"/>
    <w:uiPriority w:val="9"/>
    <w:semiHidden/>
    <w:rsid w:val="003F2001"/>
    <w:rPr>
      <w:rFonts w:ascii="Century Gothic" w:eastAsia="Times New Roman" w:hAnsi="Century Gothic"/>
      <w:i/>
      <w:caps/>
      <w:spacing w:val="10"/>
      <w:kern w:val="0"/>
      <w:sz w:val="18"/>
      <w:szCs w:val="18"/>
      <w:lang w:bidi="en-US"/>
      <w14:ligatures w14:val="none"/>
    </w:rPr>
  </w:style>
  <w:style w:type="numbering" w:customStyle="1" w:styleId="Bezlisty1">
    <w:name w:val="Bez listy1"/>
    <w:next w:val="Bezlisty"/>
    <w:uiPriority w:val="99"/>
    <w:semiHidden/>
    <w:unhideWhenUsed/>
    <w:rsid w:val="003F2001"/>
  </w:style>
  <w:style w:type="paragraph" w:customStyle="1" w:styleId="Nagwek11">
    <w:name w:val="Nagłówek 11"/>
    <w:basedOn w:val="Normalny"/>
    <w:next w:val="Normalny"/>
    <w:uiPriority w:val="9"/>
    <w:qFormat/>
    <w:rsid w:val="003F2001"/>
    <w:pPr>
      <w:pBdr>
        <w:top w:val="single" w:sz="24" w:space="0" w:color="D34817"/>
        <w:left w:val="single" w:sz="24" w:space="0" w:color="D34817"/>
        <w:bottom w:val="single" w:sz="24" w:space="0" w:color="D34817"/>
        <w:right w:val="single" w:sz="24" w:space="0" w:color="D34817"/>
      </w:pBdr>
      <w:shd w:val="clear" w:color="auto" w:fill="D34817"/>
      <w:spacing w:after="0" w:line="276" w:lineRule="auto"/>
      <w:outlineLvl w:val="0"/>
    </w:pPr>
    <w:rPr>
      <w:rFonts w:ascii="Calibri" w:hAnsi="Calibri"/>
      <w:b/>
      <w:bCs/>
      <w:caps/>
      <w:color w:val="FFFFFF"/>
      <w:spacing w:val="15"/>
      <w:sz w:val="22"/>
      <w:lang w:bidi="en-US"/>
    </w:rPr>
  </w:style>
  <w:style w:type="paragraph" w:customStyle="1" w:styleId="Nagwek21">
    <w:name w:val="Nagłówek 21"/>
    <w:basedOn w:val="Normalny"/>
    <w:next w:val="Normalny"/>
    <w:uiPriority w:val="9"/>
    <w:unhideWhenUsed/>
    <w:qFormat/>
    <w:rsid w:val="003F2001"/>
    <w:pPr>
      <w:pBdr>
        <w:top w:val="single" w:sz="24" w:space="0" w:color="F9D8CD"/>
        <w:left w:val="single" w:sz="24" w:space="0" w:color="F9D8CD"/>
        <w:bottom w:val="single" w:sz="24" w:space="0" w:color="F9D8CD"/>
        <w:right w:val="single" w:sz="24" w:space="0" w:color="F9D8CD"/>
      </w:pBdr>
      <w:shd w:val="clear" w:color="auto" w:fill="F9D8CD"/>
      <w:spacing w:before="240" w:after="240" w:line="276" w:lineRule="auto"/>
      <w:outlineLvl w:val="1"/>
    </w:pPr>
    <w:rPr>
      <w:rFonts w:eastAsia="Times New Roman"/>
      <w:b/>
      <w:bCs/>
      <w:caps/>
      <w:spacing w:val="15"/>
      <w:kern w:val="0"/>
      <w:szCs w:val="20"/>
      <w:lang w:bidi="en-US"/>
      <w14:ligatures w14:val="none"/>
    </w:rPr>
  </w:style>
  <w:style w:type="paragraph" w:customStyle="1" w:styleId="Nagwek31">
    <w:name w:val="Nagłówek 31"/>
    <w:basedOn w:val="Normalny"/>
    <w:next w:val="Normalny"/>
    <w:uiPriority w:val="9"/>
    <w:semiHidden/>
    <w:unhideWhenUsed/>
    <w:qFormat/>
    <w:rsid w:val="003F2001"/>
    <w:pPr>
      <w:pBdr>
        <w:top w:val="single" w:sz="6" w:space="2" w:color="D34817"/>
        <w:left w:val="single" w:sz="6" w:space="2" w:color="D34817"/>
      </w:pBdr>
      <w:spacing w:before="300" w:after="0" w:line="276" w:lineRule="auto"/>
      <w:outlineLvl w:val="2"/>
    </w:pPr>
    <w:rPr>
      <w:rFonts w:eastAsia="Times New Roman"/>
      <w:caps/>
      <w:color w:val="68230B"/>
      <w:spacing w:val="15"/>
      <w:kern w:val="0"/>
      <w:sz w:val="22"/>
      <w:lang w:bidi="en-US"/>
      <w14:ligatures w14:val="none"/>
    </w:rPr>
  </w:style>
  <w:style w:type="paragraph" w:customStyle="1" w:styleId="Nagwek41">
    <w:name w:val="Nagłówek 41"/>
    <w:basedOn w:val="Normalny"/>
    <w:next w:val="Normalny"/>
    <w:uiPriority w:val="9"/>
    <w:semiHidden/>
    <w:unhideWhenUsed/>
    <w:qFormat/>
    <w:rsid w:val="003F2001"/>
    <w:pPr>
      <w:pBdr>
        <w:top w:val="dotted" w:sz="6" w:space="2" w:color="D34817"/>
        <w:left w:val="dotted" w:sz="6" w:space="2" w:color="D34817"/>
      </w:pBdr>
      <w:spacing w:before="300" w:after="0" w:line="276" w:lineRule="auto"/>
      <w:outlineLvl w:val="3"/>
    </w:pPr>
    <w:rPr>
      <w:rFonts w:eastAsia="Times New Roman"/>
      <w:caps/>
      <w:color w:val="9D3511"/>
      <w:spacing w:val="10"/>
      <w:kern w:val="0"/>
      <w:sz w:val="22"/>
      <w:lang w:bidi="en-US"/>
      <w14:ligatures w14:val="none"/>
    </w:rPr>
  </w:style>
  <w:style w:type="paragraph" w:customStyle="1" w:styleId="Nagwek51">
    <w:name w:val="Nagłówek 51"/>
    <w:basedOn w:val="Normalny"/>
    <w:next w:val="Normalny"/>
    <w:uiPriority w:val="9"/>
    <w:semiHidden/>
    <w:unhideWhenUsed/>
    <w:qFormat/>
    <w:rsid w:val="003F2001"/>
    <w:pPr>
      <w:pBdr>
        <w:bottom w:val="single" w:sz="6" w:space="1" w:color="D34817"/>
      </w:pBdr>
      <w:spacing w:before="300" w:after="0" w:line="276" w:lineRule="auto"/>
      <w:outlineLvl w:val="4"/>
    </w:pPr>
    <w:rPr>
      <w:rFonts w:eastAsia="Times New Roman"/>
      <w:caps/>
      <w:color w:val="9D3511"/>
      <w:spacing w:val="10"/>
      <w:kern w:val="0"/>
      <w:sz w:val="22"/>
      <w:lang w:bidi="en-US"/>
      <w14:ligatures w14:val="none"/>
    </w:rPr>
  </w:style>
  <w:style w:type="paragraph" w:customStyle="1" w:styleId="Nagwek61">
    <w:name w:val="Nagłówek 61"/>
    <w:basedOn w:val="Normalny"/>
    <w:next w:val="Normalny"/>
    <w:uiPriority w:val="9"/>
    <w:semiHidden/>
    <w:unhideWhenUsed/>
    <w:qFormat/>
    <w:rsid w:val="003F2001"/>
    <w:pPr>
      <w:pBdr>
        <w:bottom w:val="dotted" w:sz="6" w:space="1" w:color="D34817"/>
      </w:pBdr>
      <w:spacing w:before="300" w:after="0" w:line="276" w:lineRule="auto"/>
      <w:outlineLvl w:val="5"/>
    </w:pPr>
    <w:rPr>
      <w:rFonts w:eastAsia="Times New Roman"/>
      <w:caps/>
      <w:color w:val="9D3511"/>
      <w:spacing w:val="10"/>
      <w:kern w:val="0"/>
      <w:sz w:val="22"/>
      <w:lang w:bidi="en-US"/>
      <w14:ligatures w14:val="none"/>
    </w:rPr>
  </w:style>
  <w:style w:type="paragraph" w:customStyle="1" w:styleId="Nagwek71">
    <w:name w:val="Nagłówek 71"/>
    <w:basedOn w:val="Normalny"/>
    <w:next w:val="Normalny"/>
    <w:uiPriority w:val="9"/>
    <w:semiHidden/>
    <w:unhideWhenUsed/>
    <w:qFormat/>
    <w:rsid w:val="003F2001"/>
    <w:pPr>
      <w:spacing w:before="300" w:after="0" w:line="276" w:lineRule="auto"/>
      <w:outlineLvl w:val="6"/>
    </w:pPr>
    <w:rPr>
      <w:rFonts w:eastAsia="Times New Roman"/>
      <w:caps/>
      <w:color w:val="9D3511"/>
      <w:spacing w:val="10"/>
      <w:kern w:val="0"/>
      <w:sz w:val="22"/>
      <w:lang w:bidi="en-US"/>
      <w14:ligatures w14:val="none"/>
    </w:rPr>
  </w:style>
  <w:style w:type="numbering" w:customStyle="1" w:styleId="Bezlisty11">
    <w:name w:val="Bez listy11"/>
    <w:next w:val="Bezlisty"/>
    <w:uiPriority w:val="99"/>
    <w:semiHidden/>
    <w:unhideWhenUsed/>
    <w:rsid w:val="003F2001"/>
  </w:style>
  <w:style w:type="paragraph" w:customStyle="1" w:styleId="Legenda1">
    <w:name w:val="Legenda1"/>
    <w:basedOn w:val="Normalny"/>
    <w:next w:val="Normalny"/>
    <w:uiPriority w:val="35"/>
    <w:unhideWhenUsed/>
    <w:qFormat/>
    <w:rsid w:val="003F2001"/>
    <w:pPr>
      <w:spacing w:before="120" w:line="240" w:lineRule="auto"/>
    </w:pPr>
    <w:rPr>
      <w:rFonts w:eastAsia="Times New Roman"/>
      <w:b/>
      <w:bCs/>
      <w:color w:val="69230B"/>
      <w:kern w:val="0"/>
      <w:sz w:val="16"/>
      <w:szCs w:val="18"/>
      <w:lang w:bidi="en-US"/>
      <w14:ligatures w14:val="none"/>
    </w:rPr>
  </w:style>
  <w:style w:type="paragraph" w:customStyle="1" w:styleId="Tytu1">
    <w:name w:val="Tytuł1"/>
    <w:basedOn w:val="Normalny"/>
    <w:next w:val="Normalny"/>
    <w:link w:val="Tytu1Znak"/>
    <w:uiPriority w:val="10"/>
    <w:qFormat/>
    <w:rsid w:val="003F2001"/>
    <w:pPr>
      <w:spacing w:before="720" w:line="276" w:lineRule="auto"/>
    </w:pPr>
    <w:rPr>
      <w:rFonts w:eastAsia="Times New Roman"/>
      <w:caps/>
      <w:color w:val="D34817"/>
      <w:spacing w:val="10"/>
      <w:kern w:val="28"/>
      <w:sz w:val="52"/>
      <w:szCs w:val="52"/>
      <w:lang w:bidi="en-US"/>
      <w14:ligatures w14:val="none"/>
    </w:rPr>
  </w:style>
  <w:style w:type="character" w:customStyle="1" w:styleId="TytuZnak">
    <w:name w:val="Tytuł Znak"/>
    <w:basedOn w:val="Domylnaczcionkaakapitu"/>
    <w:link w:val="Tytu"/>
    <w:uiPriority w:val="10"/>
    <w:rsid w:val="003F2001"/>
    <w:rPr>
      <w:caps/>
      <w:color w:val="D34817"/>
      <w:spacing w:val="10"/>
      <w:kern w:val="28"/>
      <w:sz w:val="52"/>
      <w:szCs w:val="52"/>
      <w:lang w:bidi="en-US"/>
    </w:rPr>
  </w:style>
  <w:style w:type="paragraph" w:customStyle="1" w:styleId="Podtytu1">
    <w:name w:val="Podtytuł1"/>
    <w:basedOn w:val="Normalny"/>
    <w:next w:val="Normalny"/>
    <w:uiPriority w:val="11"/>
    <w:qFormat/>
    <w:rsid w:val="003F2001"/>
    <w:pPr>
      <w:spacing w:after="1000" w:line="240" w:lineRule="auto"/>
    </w:pPr>
    <w:rPr>
      <w:rFonts w:eastAsia="Times New Roman"/>
      <w:caps/>
      <w:color w:val="595959"/>
      <w:spacing w:val="10"/>
      <w:kern w:val="0"/>
      <w:sz w:val="24"/>
      <w:szCs w:val="24"/>
      <w:lang w:bidi="en-US"/>
      <w14:ligatures w14:val="none"/>
    </w:rPr>
  </w:style>
  <w:style w:type="character" w:customStyle="1" w:styleId="PodtytuZnak">
    <w:name w:val="Podtytuł Znak"/>
    <w:basedOn w:val="Domylnaczcionkaakapitu"/>
    <w:link w:val="Podtytu"/>
    <w:uiPriority w:val="11"/>
    <w:rsid w:val="003F2001"/>
    <w:rPr>
      <w:caps/>
      <w:color w:val="595959"/>
      <w:spacing w:val="10"/>
      <w:sz w:val="24"/>
      <w:szCs w:val="24"/>
      <w:lang w:bidi="en-US"/>
    </w:rPr>
  </w:style>
  <w:style w:type="character" w:styleId="Pogrubienie">
    <w:name w:val="Strong"/>
    <w:uiPriority w:val="22"/>
    <w:qFormat/>
    <w:rsid w:val="003F2001"/>
    <w:rPr>
      <w:b/>
      <w:bCs/>
    </w:rPr>
  </w:style>
  <w:style w:type="character" w:customStyle="1" w:styleId="Uwydatnienie1">
    <w:name w:val="Uwydatnienie1"/>
    <w:uiPriority w:val="20"/>
    <w:qFormat/>
    <w:rsid w:val="003F2001"/>
    <w:rPr>
      <w:caps/>
      <w:color w:val="68230B"/>
      <w:spacing w:val="5"/>
    </w:rPr>
  </w:style>
  <w:style w:type="paragraph" w:styleId="Bezodstpw">
    <w:name w:val="No Spacing"/>
    <w:basedOn w:val="Normalny"/>
    <w:link w:val="BezodstpwZnak"/>
    <w:uiPriority w:val="1"/>
    <w:qFormat/>
    <w:rsid w:val="003F2001"/>
    <w:pPr>
      <w:spacing w:after="0" w:line="240" w:lineRule="auto"/>
    </w:pPr>
    <w:rPr>
      <w:rFonts w:eastAsia="Times New Roman"/>
      <w:kern w:val="0"/>
      <w:szCs w:val="20"/>
      <w:lang w:bidi="en-US"/>
      <w14:ligatures w14:val="none"/>
    </w:rPr>
  </w:style>
  <w:style w:type="paragraph" w:styleId="Cytat">
    <w:name w:val="Quote"/>
    <w:basedOn w:val="Normalny"/>
    <w:next w:val="Normalny"/>
    <w:link w:val="CytatZnak"/>
    <w:uiPriority w:val="29"/>
    <w:qFormat/>
    <w:rsid w:val="003F2001"/>
    <w:pPr>
      <w:spacing w:line="276" w:lineRule="auto"/>
    </w:pPr>
    <w:rPr>
      <w:rFonts w:eastAsia="Times New Roman"/>
      <w:i/>
      <w:iCs/>
      <w:kern w:val="0"/>
      <w:szCs w:val="20"/>
      <w:lang w:bidi="en-US"/>
      <w14:ligatures w14:val="none"/>
    </w:rPr>
  </w:style>
  <w:style w:type="character" w:customStyle="1" w:styleId="CytatZnak">
    <w:name w:val="Cytat Znak"/>
    <w:basedOn w:val="Domylnaczcionkaakapitu"/>
    <w:link w:val="Cytat"/>
    <w:uiPriority w:val="29"/>
    <w:rsid w:val="003F2001"/>
    <w:rPr>
      <w:rFonts w:ascii="Century Gothic" w:eastAsia="Times New Roman" w:hAnsi="Century Gothic"/>
      <w:i/>
      <w:iCs/>
      <w:kern w:val="0"/>
      <w:sz w:val="20"/>
      <w:szCs w:val="20"/>
      <w:lang w:bidi="en-US"/>
      <w14:ligatures w14:val="none"/>
    </w:rPr>
  </w:style>
  <w:style w:type="paragraph" w:customStyle="1" w:styleId="Cytatintensywny1">
    <w:name w:val="Cytat intensywny1"/>
    <w:basedOn w:val="Normalny"/>
    <w:next w:val="Normalny"/>
    <w:uiPriority w:val="30"/>
    <w:qFormat/>
    <w:rsid w:val="003F2001"/>
    <w:pPr>
      <w:pBdr>
        <w:top w:val="single" w:sz="4" w:space="10" w:color="D34817"/>
        <w:left w:val="single" w:sz="4" w:space="10" w:color="D34817"/>
      </w:pBdr>
      <w:spacing w:after="0" w:line="276" w:lineRule="auto"/>
      <w:ind w:left="1296" w:right="1152"/>
    </w:pPr>
    <w:rPr>
      <w:rFonts w:eastAsia="Times New Roman"/>
      <w:i/>
      <w:iCs/>
      <w:color w:val="D34817"/>
      <w:kern w:val="0"/>
      <w:szCs w:val="20"/>
      <w:lang w:bidi="en-US"/>
      <w14:ligatures w14:val="none"/>
    </w:rPr>
  </w:style>
  <w:style w:type="character" w:customStyle="1" w:styleId="CytatintensywnyZnak">
    <w:name w:val="Cytat intensywny Znak"/>
    <w:basedOn w:val="Domylnaczcionkaakapitu"/>
    <w:link w:val="Cytatintensywny"/>
    <w:uiPriority w:val="30"/>
    <w:rsid w:val="003F2001"/>
    <w:rPr>
      <w:i/>
      <w:iCs/>
      <w:color w:val="D34817"/>
      <w:sz w:val="20"/>
      <w:szCs w:val="20"/>
      <w:lang w:bidi="en-US"/>
    </w:rPr>
  </w:style>
  <w:style w:type="character" w:customStyle="1" w:styleId="Wyrnieniedelikatne1">
    <w:name w:val="Wyróżnienie delikatne1"/>
    <w:uiPriority w:val="19"/>
    <w:qFormat/>
    <w:rsid w:val="003F2001"/>
    <w:rPr>
      <w:i/>
      <w:iCs/>
      <w:color w:val="68230B"/>
    </w:rPr>
  </w:style>
  <w:style w:type="character" w:customStyle="1" w:styleId="Wyrnienieintensywne1">
    <w:name w:val="Wyróżnienie intensywne1"/>
    <w:uiPriority w:val="21"/>
    <w:qFormat/>
    <w:rsid w:val="003F2001"/>
    <w:rPr>
      <w:b/>
      <w:bCs/>
      <w:caps/>
      <w:color w:val="68230B"/>
      <w:spacing w:val="10"/>
    </w:rPr>
  </w:style>
  <w:style w:type="character" w:customStyle="1" w:styleId="Odwoaniedelikatne1">
    <w:name w:val="Odwołanie delikatne1"/>
    <w:uiPriority w:val="31"/>
    <w:qFormat/>
    <w:rsid w:val="003F2001"/>
    <w:rPr>
      <w:rFonts w:ascii="Century Gothic" w:eastAsia="Times New Roman" w:hAnsi="Century Gothic" w:cs="Times New Roman"/>
      <w:b/>
      <w:bCs/>
      <w:color w:val="7B230B"/>
      <w:kern w:val="0"/>
      <w:sz w:val="16"/>
      <w:szCs w:val="19"/>
      <w14:ligatures w14:val="none"/>
    </w:rPr>
  </w:style>
  <w:style w:type="character" w:customStyle="1" w:styleId="Odwoanieintensywne1">
    <w:name w:val="Odwołanie intensywne1"/>
    <w:uiPriority w:val="32"/>
    <w:qFormat/>
    <w:rsid w:val="003F2001"/>
    <w:rPr>
      <w:b/>
      <w:bCs/>
      <w:i/>
      <w:iCs/>
      <w:caps/>
      <w:color w:val="D34817"/>
    </w:rPr>
  </w:style>
  <w:style w:type="character" w:styleId="Tytuksiki">
    <w:name w:val="Book Title"/>
    <w:uiPriority w:val="33"/>
    <w:qFormat/>
    <w:rsid w:val="003F2001"/>
    <w:rPr>
      <w:b/>
      <w:bCs/>
      <w:i/>
      <w:iCs/>
      <w:spacing w:val="9"/>
    </w:rPr>
  </w:style>
  <w:style w:type="character" w:customStyle="1" w:styleId="Nagwek1Znak1">
    <w:name w:val="Nagłówek 1 Znak1"/>
    <w:basedOn w:val="Domylnaczcionkaakapitu"/>
    <w:uiPriority w:val="9"/>
    <w:rsid w:val="003F2001"/>
    <w:rPr>
      <w:rFonts w:ascii="Calibri Light" w:eastAsia="Times New Roman" w:hAnsi="Calibri Light" w:cs="Times New Roman"/>
      <w:color w:val="9D3511"/>
      <w:sz w:val="32"/>
      <w:szCs w:val="32"/>
    </w:rPr>
  </w:style>
  <w:style w:type="paragraph" w:styleId="Nagwekspisutreci">
    <w:name w:val="TOC Heading"/>
    <w:basedOn w:val="Nagwek1"/>
    <w:next w:val="Normalny"/>
    <w:uiPriority w:val="39"/>
    <w:semiHidden/>
    <w:unhideWhenUsed/>
    <w:qFormat/>
    <w:rsid w:val="003F2001"/>
    <w:pPr>
      <w:pBdr>
        <w:top w:val="single" w:sz="24" w:space="0" w:color="D34817"/>
        <w:left w:val="single" w:sz="24" w:space="0" w:color="D34817"/>
        <w:bottom w:val="single" w:sz="24" w:space="0" w:color="D34817"/>
        <w:right w:val="single" w:sz="24" w:space="0" w:color="D34817"/>
      </w:pBdr>
      <w:shd w:val="clear" w:color="auto" w:fill="D34817"/>
      <w:spacing w:before="0" w:after="0"/>
      <w:outlineLvl w:val="9"/>
    </w:pPr>
    <w:rPr>
      <w:rFonts w:eastAsia="Times New Roman" w:cs="Times New Roman"/>
      <w:b/>
      <w:bCs/>
      <w:kern w:val="0"/>
      <w:sz w:val="22"/>
      <w:lang w:bidi="en-US"/>
      <w14:ligatures w14:val="none"/>
    </w:rPr>
  </w:style>
  <w:style w:type="character" w:customStyle="1" w:styleId="BezodstpwZnak">
    <w:name w:val="Bez odstępów Znak"/>
    <w:basedOn w:val="Domylnaczcionkaakapitu"/>
    <w:link w:val="Bezodstpw"/>
    <w:uiPriority w:val="1"/>
    <w:rsid w:val="003F2001"/>
    <w:rPr>
      <w:rFonts w:ascii="Century Gothic" w:eastAsia="Times New Roman" w:hAnsi="Century Gothic"/>
      <w:kern w:val="0"/>
      <w:sz w:val="20"/>
      <w:szCs w:val="20"/>
      <w:lang w:bidi="en-US"/>
      <w14:ligatures w14:val="none"/>
    </w:rPr>
  </w:style>
  <w:style w:type="table" w:customStyle="1" w:styleId="Tabela-Siatka3">
    <w:name w:val="Tabela - Siatka3"/>
    <w:basedOn w:val="Standardowy"/>
    <w:next w:val="Tabela-Siatka"/>
    <w:uiPriority w:val="39"/>
    <w:rsid w:val="003F2001"/>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
    <w:name w:val="Tabela siatki 1 — jasna — akcent 11"/>
    <w:basedOn w:val="Standardowy"/>
    <w:next w:val="Tabelasiatki1jasnaakcent1"/>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F4B29B"/>
        <w:left w:val="single" w:sz="4" w:space="0" w:color="F4B29B"/>
        <w:bottom w:val="single" w:sz="4" w:space="0" w:color="F4B29B"/>
        <w:right w:val="single" w:sz="4" w:space="0" w:color="F4B29B"/>
        <w:insideH w:val="single" w:sz="4" w:space="0" w:color="F4B29B"/>
        <w:insideV w:val="single" w:sz="4" w:space="0" w:color="F4B29B"/>
      </w:tblBorders>
    </w:tblPr>
    <w:tblStylePr w:type="firstRow">
      <w:rPr>
        <w:b/>
        <w:bCs/>
      </w:rPr>
      <w:tblPr/>
      <w:tcPr>
        <w:tcBorders>
          <w:bottom w:val="single" w:sz="12" w:space="0" w:color="EE8C69"/>
        </w:tcBorders>
      </w:tcPr>
    </w:tblStylePr>
    <w:tblStylePr w:type="lastRow">
      <w:rPr>
        <w:b/>
        <w:bCs/>
      </w:rPr>
      <w:tblPr/>
      <w:tcPr>
        <w:tcBorders>
          <w:top w:val="double" w:sz="2" w:space="0" w:color="EE8C69"/>
        </w:tcBorders>
      </w:tcPr>
    </w:tblStylePr>
    <w:tblStylePr w:type="firstCol">
      <w:rPr>
        <w:b/>
        <w:bCs/>
      </w:rPr>
    </w:tblStylePr>
    <w:tblStylePr w:type="lastCol">
      <w:rPr>
        <w:b/>
        <w:bCs/>
      </w:rPr>
    </w:tblStylePr>
  </w:style>
  <w:style w:type="character" w:customStyle="1" w:styleId="Hipercze1">
    <w:name w:val="Hiperłącze1"/>
    <w:basedOn w:val="Domylnaczcionkaakapitu"/>
    <w:uiPriority w:val="99"/>
    <w:unhideWhenUsed/>
    <w:rsid w:val="003F2001"/>
    <w:rPr>
      <w:color w:val="69230B"/>
      <w:u w:val="single"/>
    </w:rPr>
  </w:style>
  <w:style w:type="character" w:customStyle="1" w:styleId="Nierozpoznanawzmianka1">
    <w:name w:val="Nierozpoznana wzmianka1"/>
    <w:basedOn w:val="Domylnaczcionkaakapitu"/>
    <w:uiPriority w:val="99"/>
    <w:semiHidden/>
    <w:unhideWhenUsed/>
    <w:rsid w:val="003F2001"/>
    <w:rPr>
      <w:color w:val="605E5C"/>
      <w:shd w:val="clear" w:color="auto" w:fill="E1DFDD"/>
    </w:rPr>
  </w:style>
  <w:style w:type="table" w:customStyle="1" w:styleId="Tabelasiatki1jasna1">
    <w:name w:val="Tabela siatki 1 — jasna1"/>
    <w:basedOn w:val="Standardowy"/>
    <w:next w:val="Tabelasiatki1jasna"/>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Jasnecieniowanieakcent11">
    <w:name w:val="Jasne cieniowanie — akcent 11"/>
    <w:basedOn w:val="Standardowy"/>
    <w:uiPriority w:val="60"/>
    <w:rsid w:val="003F2001"/>
    <w:pPr>
      <w:spacing w:after="0" w:line="240" w:lineRule="auto"/>
    </w:pPr>
    <w:rPr>
      <w:rFonts w:eastAsia="Calibri"/>
      <w:color w:val="2F5496"/>
      <w:kern w:val="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Jasnecieniowanieakcent111">
    <w:name w:val="Jasne cieniowanie — akcent 111"/>
    <w:basedOn w:val="Standardowy"/>
    <w:uiPriority w:val="60"/>
    <w:rsid w:val="003F2001"/>
    <w:pPr>
      <w:spacing w:after="0" w:line="240" w:lineRule="auto"/>
    </w:pPr>
    <w:rPr>
      <w:rFonts w:eastAsia="Calibri"/>
      <w:color w:val="2F5496"/>
      <w:kern w:val="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Spisilustracji">
    <w:name w:val="table of figures"/>
    <w:basedOn w:val="Normalny"/>
    <w:next w:val="Normalny"/>
    <w:uiPriority w:val="99"/>
    <w:unhideWhenUsed/>
    <w:rsid w:val="003F2001"/>
    <w:pPr>
      <w:spacing w:before="120" w:line="240" w:lineRule="auto"/>
    </w:pPr>
    <w:rPr>
      <w:rFonts w:eastAsia="Times New Roman"/>
      <w:kern w:val="0"/>
      <w:szCs w:val="20"/>
      <w:lang w:bidi="en-US"/>
      <w14:ligatures w14:val="none"/>
    </w:rPr>
  </w:style>
  <w:style w:type="paragraph" w:styleId="Poprawka">
    <w:name w:val="Revision"/>
    <w:hidden/>
    <w:uiPriority w:val="99"/>
    <w:semiHidden/>
    <w:rsid w:val="003F2001"/>
    <w:pPr>
      <w:spacing w:after="0" w:line="240" w:lineRule="auto"/>
    </w:pPr>
    <w:rPr>
      <w:rFonts w:ascii="Century Gothic" w:eastAsia="Times New Roman" w:hAnsi="Century Gothic"/>
      <w:kern w:val="0"/>
      <w:sz w:val="20"/>
      <w:szCs w:val="20"/>
      <w:lang w:bidi="en-US"/>
      <w14:ligatures w14:val="none"/>
    </w:rPr>
  </w:style>
  <w:style w:type="character" w:customStyle="1" w:styleId="Nagwek2Znak1">
    <w:name w:val="Nagłówek 2 Znak1"/>
    <w:basedOn w:val="Domylnaczcionkaakapitu"/>
    <w:uiPriority w:val="9"/>
    <w:semiHidden/>
    <w:rsid w:val="003F2001"/>
    <w:rPr>
      <w:rFonts w:ascii="Calibri Light" w:eastAsia="Times New Roman" w:hAnsi="Calibri Light" w:cs="Times New Roman"/>
      <w:color w:val="9D3511"/>
      <w:sz w:val="26"/>
      <w:szCs w:val="26"/>
    </w:rPr>
  </w:style>
  <w:style w:type="character" w:customStyle="1" w:styleId="Nagwek3Znak1">
    <w:name w:val="Nagłówek 3 Znak1"/>
    <w:basedOn w:val="Domylnaczcionkaakapitu"/>
    <w:uiPriority w:val="9"/>
    <w:semiHidden/>
    <w:rsid w:val="003F2001"/>
    <w:rPr>
      <w:rFonts w:ascii="Calibri Light" w:eastAsia="Times New Roman" w:hAnsi="Calibri Light" w:cs="Times New Roman"/>
      <w:color w:val="68230B"/>
      <w:sz w:val="24"/>
      <w:szCs w:val="24"/>
    </w:rPr>
  </w:style>
  <w:style w:type="character" w:customStyle="1" w:styleId="Nagwek4Znak1">
    <w:name w:val="Nagłówek 4 Znak1"/>
    <w:basedOn w:val="Domylnaczcionkaakapitu"/>
    <w:uiPriority w:val="9"/>
    <w:semiHidden/>
    <w:rsid w:val="003F2001"/>
    <w:rPr>
      <w:rFonts w:ascii="Calibri Light" w:eastAsia="Times New Roman" w:hAnsi="Calibri Light" w:cs="Times New Roman"/>
      <w:i/>
      <w:iCs/>
      <w:color w:val="9D3511"/>
    </w:rPr>
  </w:style>
  <w:style w:type="character" w:customStyle="1" w:styleId="Nagwek5Znak1">
    <w:name w:val="Nagłówek 5 Znak1"/>
    <w:basedOn w:val="Domylnaczcionkaakapitu"/>
    <w:uiPriority w:val="9"/>
    <w:semiHidden/>
    <w:rsid w:val="003F2001"/>
    <w:rPr>
      <w:rFonts w:ascii="Calibri Light" w:eastAsia="Times New Roman" w:hAnsi="Calibri Light" w:cs="Times New Roman"/>
      <w:color w:val="9D3511"/>
    </w:rPr>
  </w:style>
  <w:style w:type="character" w:customStyle="1" w:styleId="Nagwek6Znak1">
    <w:name w:val="Nagłówek 6 Znak1"/>
    <w:basedOn w:val="Domylnaczcionkaakapitu"/>
    <w:uiPriority w:val="9"/>
    <w:semiHidden/>
    <w:rsid w:val="003F2001"/>
    <w:rPr>
      <w:rFonts w:ascii="Calibri Light" w:eastAsia="Times New Roman" w:hAnsi="Calibri Light" w:cs="Times New Roman"/>
      <w:color w:val="68230B"/>
    </w:rPr>
  </w:style>
  <w:style w:type="character" w:customStyle="1" w:styleId="Nagwek7Znak1">
    <w:name w:val="Nagłówek 7 Znak1"/>
    <w:basedOn w:val="Domylnaczcionkaakapitu"/>
    <w:uiPriority w:val="9"/>
    <w:semiHidden/>
    <w:rsid w:val="003F2001"/>
    <w:rPr>
      <w:rFonts w:ascii="Calibri Light" w:eastAsia="Times New Roman" w:hAnsi="Calibri Light" w:cs="Times New Roman"/>
      <w:i/>
      <w:iCs/>
      <w:color w:val="68230B"/>
    </w:rPr>
  </w:style>
  <w:style w:type="paragraph" w:styleId="Tytu">
    <w:name w:val="Title"/>
    <w:basedOn w:val="Normalny"/>
    <w:next w:val="Normalny"/>
    <w:link w:val="TytuZnak"/>
    <w:uiPriority w:val="10"/>
    <w:qFormat/>
    <w:rsid w:val="003F2001"/>
    <w:pPr>
      <w:spacing w:after="0" w:line="240" w:lineRule="auto"/>
      <w:contextualSpacing/>
      <w:jc w:val="left"/>
    </w:pPr>
    <w:rPr>
      <w:rFonts w:asciiTheme="minorHAnsi" w:hAnsiTheme="minorHAnsi"/>
      <w:caps/>
      <w:color w:val="D34817"/>
      <w:spacing w:val="10"/>
      <w:kern w:val="28"/>
      <w:sz w:val="52"/>
      <w:szCs w:val="52"/>
      <w:lang w:bidi="en-US"/>
    </w:rPr>
  </w:style>
  <w:style w:type="character" w:customStyle="1" w:styleId="TytuZnak1">
    <w:name w:val="Tytuł Znak1"/>
    <w:basedOn w:val="Domylnaczcionkaakapitu"/>
    <w:uiPriority w:val="10"/>
    <w:rsid w:val="003F200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3F2001"/>
    <w:pPr>
      <w:numPr>
        <w:ilvl w:val="1"/>
      </w:numPr>
      <w:spacing w:after="160" w:line="259" w:lineRule="auto"/>
      <w:jc w:val="left"/>
    </w:pPr>
    <w:rPr>
      <w:rFonts w:asciiTheme="minorHAnsi" w:hAnsiTheme="minorHAnsi"/>
      <w:caps/>
      <w:color w:val="595959"/>
      <w:spacing w:val="10"/>
      <w:sz w:val="24"/>
      <w:szCs w:val="24"/>
      <w:lang w:bidi="en-US"/>
    </w:rPr>
  </w:style>
  <w:style w:type="character" w:customStyle="1" w:styleId="PodtytuZnak1">
    <w:name w:val="Podtytuł Znak1"/>
    <w:basedOn w:val="Domylnaczcionkaakapitu"/>
    <w:uiPriority w:val="11"/>
    <w:rsid w:val="003F2001"/>
    <w:rPr>
      <w:rFonts w:eastAsiaTheme="minorEastAsia"/>
      <w:color w:val="5A5A5A" w:themeColor="text1" w:themeTint="A5"/>
      <w:spacing w:val="15"/>
    </w:rPr>
  </w:style>
  <w:style w:type="character" w:styleId="Uwydatnienie">
    <w:name w:val="Emphasis"/>
    <w:basedOn w:val="Domylnaczcionkaakapitu"/>
    <w:uiPriority w:val="20"/>
    <w:qFormat/>
    <w:rsid w:val="003F2001"/>
    <w:rPr>
      <w:i/>
      <w:iCs/>
    </w:rPr>
  </w:style>
  <w:style w:type="paragraph" w:customStyle="1" w:styleId="Cytatintensywny2">
    <w:name w:val="Cytat intensywny2"/>
    <w:basedOn w:val="Normalny"/>
    <w:next w:val="Normalny"/>
    <w:uiPriority w:val="30"/>
    <w:qFormat/>
    <w:rsid w:val="003F2001"/>
    <w:pPr>
      <w:pBdr>
        <w:top w:val="single" w:sz="4" w:space="10" w:color="D34817"/>
        <w:bottom w:val="single" w:sz="4" w:space="10" w:color="D34817"/>
      </w:pBdr>
      <w:spacing w:before="360" w:after="360" w:line="259" w:lineRule="auto"/>
      <w:ind w:left="864" w:right="864"/>
      <w:jc w:val="center"/>
    </w:pPr>
    <w:rPr>
      <w:rFonts w:ascii="Calibri" w:hAnsi="Calibri"/>
      <w:i/>
      <w:iCs/>
      <w:color w:val="D34817"/>
      <w:szCs w:val="20"/>
      <w:lang w:bidi="en-US"/>
    </w:rPr>
  </w:style>
  <w:style w:type="character" w:customStyle="1" w:styleId="CytatintensywnyZnak1">
    <w:name w:val="Cytat intensywny Znak1"/>
    <w:basedOn w:val="Domylnaczcionkaakapitu"/>
    <w:uiPriority w:val="30"/>
    <w:rsid w:val="003F2001"/>
    <w:rPr>
      <w:i/>
      <w:iCs/>
      <w:color w:val="D34817"/>
    </w:rPr>
  </w:style>
  <w:style w:type="character" w:customStyle="1" w:styleId="Wyrnieniedelikatne2">
    <w:name w:val="Wyróżnienie delikatne2"/>
    <w:basedOn w:val="Domylnaczcionkaakapitu"/>
    <w:uiPriority w:val="19"/>
    <w:qFormat/>
    <w:rsid w:val="003F2001"/>
    <w:rPr>
      <w:i/>
      <w:iCs/>
      <w:color w:val="404040"/>
    </w:rPr>
  </w:style>
  <w:style w:type="character" w:customStyle="1" w:styleId="Wyrnienieintensywne2">
    <w:name w:val="Wyróżnienie intensywne2"/>
    <w:basedOn w:val="Domylnaczcionkaakapitu"/>
    <w:uiPriority w:val="21"/>
    <w:qFormat/>
    <w:rsid w:val="003F2001"/>
    <w:rPr>
      <w:i/>
      <w:iCs/>
      <w:color w:val="D34817"/>
    </w:rPr>
  </w:style>
  <w:style w:type="character" w:customStyle="1" w:styleId="Odwoaniedelikatne2">
    <w:name w:val="Odwołanie delikatne2"/>
    <w:basedOn w:val="Domylnaczcionkaakapitu"/>
    <w:uiPriority w:val="31"/>
    <w:qFormat/>
    <w:rsid w:val="003F2001"/>
    <w:rPr>
      <w:smallCaps/>
      <w:color w:val="5A5A5A"/>
    </w:rPr>
  </w:style>
  <w:style w:type="character" w:customStyle="1" w:styleId="Odwoanieintensywne2">
    <w:name w:val="Odwołanie intensywne2"/>
    <w:basedOn w:val="Domylnaczcionkaakapitu"/>
    <w:uiPriority w:val="32"/>
    <w:qFormat/>
    <w:rsid w:val="003F2001"/>
    <w:rPr>
      <w:b/>
      <w:bCs/>
      <w:smallCaps/>
      <w:color w:val="D34817"/>
      <w:spacing w:val="5"/>
    </w:rPr>
  </w:style>
  <w:style w:type="table" w:customStyle="1" w:styleId="Tabelasiatki1jasnaakcent12">
    <w:name w:val="Tabela siatki 1 — jasna — akcent 12"/>
    <w:basedOn w:val="Standardowy"/>
    <w:next w:val="Tabelasiatki1jasnaakcent1"/>
    <w:uiPriority w:val="46"/>
    <w:rsid w:val="003F2001"/>
    <w:pPr>
      <w:spacing w:after="0" w:line="240" w:lineRule="auto"/>
    </w:pPr>
    <w:tblPr>
      <w:tblStyleRowBandSize w:val="1"/>
      <w:tblStyleColBandSize w:val="1"/>
      <w:tblBorders>
        <w:top w:val="single" w:sz="4" w:space="0" w:color="F4B29B"/>
        <w:left w:val="single" w:sz="4" w:space="0" w:color="F4B29B"/>
        <w:bottom w:val="single" w:sz="4" w:space="0" w:color="F4B29B"/>
        <w:right w:val="single" w:sz="4" w:space="0" w:color="F4B29B"/>
        <w:insideH w:val="single" w:sz="4" w:space="0" w:color="F4B29B"/>
        <w:insideV w:val="single" w:sz="4" w:space="0" w:color="F4B29B"/>
      </w:tblBorders>
    </w:tblPr>
    <w:tblStylePr w:type="firstRow">
      <w:rPr>
        <w:b/>
        <w:bCs/>
      </w:rPr>
      <w:tblPr/>
      <w:tcPr>
        <w:tcBorders>
          <w:bottom w:val="single" w:sz="12" w:space="0" w:color="EE8C69"/>
        </w:tcBorders>
      </w:tcPr>
    </w:tblStylePr>
    <w:tblStylePr w:type="lastRow">
      <w:rPr>
        <w:b/>
        <w:bCs/>
      </w:rPr>
      <w:tblPr/>
      <w:tcPr>
        <w:tcBorders>
          <w:top w:val="double" w:sz="2" w:space="0" w:color="EE8C69"/>
        </w:tcBorders>
      </w:tcPr>
    </w:tblStylePr>
    <w:tblStylePr w:type="firstCol">
      <w:rPr>
        <w:b/>
        <w:bCs/>
      </w:rPr>
    </w:tblStylePr>
    <w:tblStylePr w:type="lastCol">
      <w:rPr>
        <w:b/>
        <w:bCs/>
      </w:rPr>
    </w:tblStylePr>
  </w:style>
  <w:style w:type="table" w:customStyle="1" w:styleId="Tabelasiatki1jasna2">
    <w:name w:val="Tabela siatki 1 — jasna2"/>
    <w:basedOn w:val="Standardowy"/>
    <w:next w:val="Tabelasiatki1jasna"/>
    <w:uiPriority w:val="46"/>
    <w:rsid w:val="003F2001"/>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Bezlisty2">
    <w:name w:val="Bez listy2"/>
    <w:next w:val="Bezlisty"/>
    <w:uiPriority w:val="99"/>
    <w:semiHidden/>
    <w:unhideWhenUsed/>
    <w:rsid w:val="003F2001"/>
  </w:style>
  <w:style w:type="paragraph" w:customStyle="1" w:styleId="Legenda2">
    <w:name w:val="Legenda2"/>
    <w:basedOn w:val="Normalny"/>
    <w:next w:val="Normalny"/>
    <w:uiPriority w:val="35"/>
    <w:unhideWhenUsed/>
    <w:qFormat/>
    <w:rsid w:val="003F2001"/>
    <w:pPr>
      <w:spacing w:before="120" w:line="240" w:lineRule="auto"/>
    </w:pPr>
    <w:rPr>
      <w:rFonts w:eastAsia="Times New Roman"/>
      <w:b/>
      <w:bCs/>
      <w:color w:val="69230B"/>
      <w:kern w:val="0"/>
      <w:sz w:val="16"/>
      <w:szCs w:val="18"/>
      <w:lang w:bidi="en-US"/>
      <w14:ligatures w14:val="none"/>
    </w:rPr>
  </w:style>
  <w:style w:type="table" w:customStyle="1" w:styleId="Tabela-Siatka11">
    <w:name w:val="Tabela - Siatka11"/>
    <w:basedOn w:val="Standardowy"/>
    <w:next w:val="Tabela-Siatka"/>
    <w:uiPriority w:val="39"/>
    <w:rsid w:val="003F2001"/>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21">
    <w:name w:val="Tabela siatki 1 — jasna — akcent 121"/>
    <w:basedOn w:val="Standardowy"/>
    <w:next w:val="Tabelasiatki1jasnaakcent1"/>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F4B29B"/>
        <w:left w:val="single" w:sz="4" w:space="0" w:color="F4B29B"/>
        <w:bottom w:val="single" w:sz="4" w:space="0" w:color="F4B29B"/>
        <w:right w:val="single" w:sz="4" w:space="0" w:color="F4B29B"/>
        <w:insideH w:val="single" w:sz="4" w:space="0" w:color="F4B29B"/>
        <w:insideV w:val="single" w:sz="4" w:space="0" w:color="F4B29B"/>
      </w:tblBorders>
    </w:tblPr>
    <w:tblStylePr w:type="firstRow">
      <w:rPr>
        <w:b/>
        <w:bCs/>
      </w:rPr>
      <w:tblPr/>
      <w:tcPr>
        <w:tcBorders>
          <w:bottom w:val="single" w:sz="12" w:space="0" w:color="EE8C69"/>
        </w:tcBorders>
      </w:tcPr>
    </w:tblStylePr>
    <w:tblStylePr w:type="lastRow">
      <w:rPr>
        <w:b/>
        <w:bCs/>
      </w:rPr>
      <w:tblPr/>
      <w:tcPr>
        <w:tcBorders>
          <w:top w:val="double" w:sz="2" w:space="0" w:color="EE8C69"/>
        </w:tcBorders>
      </w:tcPr>
    </w:tblStylePr>
    <w:tblStylePr w:type="firstCol">
      <w:rPr>
        <w:b/>
        <w:bCs/>
      </w:rPr>
    </w:tblStylePr>
    <w:tblStylePr w:type="lastCol">
      <w:rPr>
        <w:b/>
        <w:bCs/>
      </w:rPr>
    </w:tblStylePr>
  </w:style>
  <w:style w:type="table" w:customStyle="1" w:styleId="Tabelasiatki1jasna21">
    <w:name w:val="Tabela siatki 1 — jasna21"/>
    <w:basedOn w:val="Standardowy"/>
    <w:next w:val="Tabelasiatki1jasna"/>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1jasnaakcent13">
    <w:name w:val="Tabela siatki 1 — jasna — akcent 13"/>
    <w:basedOn w:val="Standardowy"/>
    <w:next w:val="Tabelasiatki1jasnaakcent1"/>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F4B29B"/>
        <w:left w:val="single" w:sz="4" w:space="0" w:color="F4B29B"/>
        <w:bottom w:val="single" w:sz="4" w:space="0" w:color="F4B29B"/>
        <w:right w:val="single" w:sz="4" w:space="0" w:color="F4B29B"/>
        <w:insideH w:val="single" w:sz="4" w:space="0" w:color="F4B29B"/>
        <w:insideV w:val="single" w:sz="4" w:space="0" w:color="F4B29B"/>
      </w:tblBorders>
    </w:tblPr>
    <w:tblStylePr w:type="firstRow">
      <w:rPr>
        <w:b/>
        <w:bCs/>
      </w:rPr>
      <w:tblPr/>
      <w:tcPr>
        <w:tcBorders>
          <w:bottom w:val="single" w:sz="12" w:space="0" w:color="EE8C69"/>
        </w:tcBorders>
      </w:tcPr>
    </w:tblStylePr>
    <w:tblStylePr w:type="lastRow">
      <w:rPr>
        <w:b/>
        <w:bCs/>
      </w:rPr>
      <w:tblPr/>
      <w:tcPr>
        <w:tcBorders>
          <w:top w:val="double" w:sz="2" w:space="0" w:color="EE8C69"/>
        </w:tcBorders>
      </w:tcPr>
    </w:tblStylePr>
    <w:tblStylePr w:type="firstCol">
      <w:rPr>
        <w:b/>
        <w:bCs/>
      </w:rPr>
    </w:tblStylePr>
    <w:tblStylePr w:type="lastCol">
      <w:rPr>
        <w:b/>
        <w:bCs/>
      </w:rPr>
    </w:tblStylePr>
  </w:style>
  <w:style w:type="numbering" w:customStyle="1" w:styleId="Bezlisty3">
    <w:name w:val="Bez listy3"/>
    <w:next w:val="Bezlisty"/>
    <w:uiPriority w:val="99"/>
    <w:semiHidden/>
    <w:unhideWhenUsed/>
    <w:rsid w:val="003F2001"/>
  </w:style>
  <w:style w:type="paragraph" w:customStyle="1" w:styleId="Legenda3">
    <w:name w:val="Legenda3"/>
    <w:basedOn w:val="Normalny"/>
    <w:next w:val="Normalny"/>
    <w:uiPriority w:val="35"/>
    <w:unhideWhenUsed/>
    <w:qFormat/>
    <w:rsid w:val="003F2001"/>
    <w:pPr>
      <w:spacing w:before="120" w:line="240" w:lineRule="auto"/>
    </w:pPr>
    <w:rPr>
      <w:rFonts w:eastAsia="Times New Roman"/>
      <w:b/>
      <w:bCs/>
      <w:color w:val="69230B"/>
      <w:kern w:val="0"/>
      <w:sz w:val="16"/>
      <w:szCs w:val="18"/>
      <w:lang w:bidi="en-US"/>
      <w14:ligatures w14:val="none"/>
    </w:rPr>
  </w:style>
  <w:style w:type="table" w:customStyle="1" w:styleId="Tabela-Siatka21">
    <w:name w:val="Tabela - Siatka21"/>
    <w:basedOn w:val="Standardowy"/>
    <w:next w:val="Tabela-Siatka"/>
    <w:uiPriority w:val="39"/>
    <w:rsid w:val="003F2001"/>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4">
    <w:name w:val="Tabela siatki 1 — jasna — akcent 14"/>
    <w:basedOn w:val="Standardowy"/>
    <w:next w:val="Tabelasiatki1jasnaakcent1"/>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F4B29B"/>
        <w:left w:val="single" w:sz="4" w:space="0" w:color="F4B29B"/>
        <w:bottom w:val="single" w:sz="4" w:space="0" w:color="F4B29B"/>
        <w:right w:val="single" w:sz="4" w:space="0" w:color="F4B29B"/>
        <w:insideH w:val="single" w:sz="4" w:space="0" w:color="F4B29B"/>
        <w:insideV w:val="single" w:sz="4" w:space="0" w:color="F4B29B"/>
      </w:tblBorders>
    </w:tblPr>
    <w:tblStylePr w:type="firstRow">
      <w:rPr>
        <w:b/>
        <w:bCs/>
      </w:rPr>
      <w:tblPr/>
      <w:tcPr>
        <w:tcBorders>
          <w:bottom w:val="single" w:sz="12" w:space="0" w:color="EE8C69"/>
        </w:tcBorders>
      </w:tcPr>
    </w:tblStylePr>
    <w:tblStylePr w:type="lastRow">
      <w:rPr>
        <w:b/>
        <w:bCs/>
      </w:rPr>
      <w:tblPr/>
      <w:tcPr>
        <w:tcBorders>
          <w:top w:val="double" w:sz="2" w:space="0" w:color="EE8C69"/>
        </w:tcBorders>
      </w:tcPr>
    </w:tblStylePr>
    <w:tblStylePr w:type="firstCol">
      <w:rPr>
        <w:b/>
        <w:bCs/>
      </w:rPr>
    </w:tblStylePr>
    <w:tblStylePr w:type="lastCol">
      <w:rPr>
        <w:b/>
        <w:bCs/>
      </w:rPr>
    </w:tblStylePr>
  </w:style>
  <w:style w:type="table" w:customStyle="1" w:styleId="Tabelasiatki1jasna3">
    <w:name w:val="Tabela siatki 1 — jasna3"/>
    <w:basedOn w:val="Standardowy"/>
    <w:next w:val="Tabelasiatki1jasna"/>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Bezlisty4">
    <w:name w:val="Bez listy4"/>
    <w:next w:val="Bezlisty"/>
    <w:uiPriority w:val="99"/>
    <w:semiHidden/>
    <w:unhideWhenUsed/>
    <w:rsid w:val="003F2001"/>
  </w:style>
  <w:style w:type="paragraph" w:customStyle="1" w:styleId="Legenda4">
    <w:name w:val="Legenda4"/>
    <w:basedOn w:val="Normalny"/>
    <w:next w:val="Normalny"/>
    <w:uiPriority w:val="35"/>
    <w:unhideWhenUsed/>
    <w:qFormat/>
    <w:rsid w:val="003F2001"/>
    <w:pPr>
      <w:spacing w:before="120" w:line="240" w:lineRule="auto"/>
    </w:pPr>
    <w:rPr>
      <w:rFonts w:eastAsia="Times New Roman"/>
      <w:b/>
      <w:bCs/>
      <w:color w:val="69230B"/>
      <w:kern w:val="0"/>
      <w:sz w:val="16"/>
      <w:szCs w:val="18"/>
      <w:lang w:bidi="en-US"/>
      <w14:ligatures w14:val="none"/>
    </w:rPr>
  </w:style>
  <w:style w:type="table" w:customStyle="1" w:styleId="Tabelasiatki1jasnaakcent15">
    <w:name w:val="Tabela siatki 1 — jasna — akcent 15"/>
    <w:basedOn w:val="Standardowy"/>
    <w:next w:val="Tabelasiatki1jasnaakcent1"/>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F4B29B"/>
        <w:left w:val="single" w:sz="4" w:space="0" w:color="F4B29B"/>
        <w:bottom w:val="single" w:sz="4" w:space="0" w:color="F4B29B"/>
        <w:right w:val="single" w:sz="4" w:space="0" w:color="F4B29B"/>
        <w:insideH w:val="single" w:sz="4" w:space="0" w:color="F4B29B"/>
        <w:insideV w:val="single" w:sz="4" w:space="0" w:color="F4B29B"/>
      </w:tblBorders>
    </w:tblPr>
    <w:tblStylePr w:type="firstRow">
      <w:rPr>
        <w:b/>
        <w:bCs/>
      </w:rPr>
      <w:tblPr/>
      <w:tcPr>
        <w:tcBorders>
          <w:bottom w:val="single" w:sz="12" w:space="0" w:color="EE8C69"/>
        </w:tcBorders>
      </w:tcPr>
    </w:tblStylePr>
    <w:tblStylePr w:type="lastRow">
      <w:rPr>
        <w:b/>
        <w:bCs/>
      </w:rPr>
      <w:tblPr/>
      <w:tcPr>
        <w:tcBorders>
          <w:top w:val="double" w:sz="2" w:space="0" w:color="EE8C69"/>
        </w:tcBorders>
      </w:tcPr>
    </w:tblStylePr>
    <w:tblStylePr w:type="firstCol">
      <w:rPr>
        <w:b/>
        <w:bCs/>
      </w:rPr>
    </w:tblStylePr>
    <w:tblStylePr w:type="lastCol">
      <w:rPr>
        <w:b/>
        <w:bCs/>
      </w:rPr>
    </w:tblStylePr>
  </w:style>
  <w:style w:type="table" w:customStyle="1" w:styleId="Tabelasiatki1jasna4">
    <w:name w:val="Tabela siatki 1 — jasna4"/>
    <w:basedOn w:val="Standardowy"/>
    <w:next w:val="Tabelasiatki1jasna"/>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yteHipercze1">
    <w:name w:val="UżyteHiperłącze1"/>
    <w:basedOn w:val="Domylnaczcionkaakapitu"/>
    <w:uiPriority w:val="99"/>
    <w:semiHidden/>
    <w:unhideWhenUsed/>
    <w:rsid w:val="003F2001"/>
    <w:rPr>
      <w:color w:val="96A9A9"/>
      <w:u w:val="single"/>
    </w:rPr>
  </w:style>
  <w:style w:type="numbering" w:customStyle="1" w:styleId="Bezlisty5">
    <w:name w:val="Bez listy5"/>
    <w:next w:val="Bezlisty"/>
    <w:uiPriority w:val="99"/>
    <w:semiHidden/>
    <w:unhideWhenUsed/>
    <w:rsid w:val="003F2001"/>
  </w:style>
  <w:style w:type="paragraph" w:customStyle="1" w:styleId="Legenda5">
    <w:name w:val="Legenda5"/>
    <w:basedOn w:val="Normalny"/>
    <w:next w:val="Normalny"/>
    <w:uiPriority w:val="35"/>
    <w:unhideWhenUsed/>
    <w:qFormat/>
    <w:rsid w:val="003F2001"/>
    <w:pPr>
      <w:spacing w:before="120" w:line="240" w:lineRule="auto"/>
    </w:pPr>
    <w:rPr>
      <w:rFonts w:eastAsia="Times New Roman"/>
      <w:b/>
      <w:bCs/>
      <w:color w:val="69230B"/>
      <w:kern w:val="0"/>
      <w:sz w:val="16"/>
      <w:szCs w:val="18"/>
      <w:lang w:bidi="en-US"/>
      <w14:ligatures w14:val="none"/>
    </w:rPr>
  </w:style>
  <w:style w:type="table" w:customStyle="1" w:styleId="Tabela-Siatka4">
    <w:name w:val="Tabela - Siatka4"/>
    <w:basedOn w:val="Standardowy"/>
    <w:next w:val="Tabela-Siatka"/>
    <w:uiPriority w:val="39"/>
    <w:rsid w:val="003F2001"/>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6">
    <w:name w:val="Tabela siatki 1 — jasna — akcent 16"/>
    <w:basedOn w:val="Standardowy"/>
    <w:next w:val="Tabelasiatki1jasnaakcent1"/>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F4B29B"/>
        <w:left w:val="single" w:sz="4" w:space="0" w:color="F4B29B"/>
        <w:bottom w:val="single" w:sz="4" w:space="0" w:color="F4B29B"/>
        <w:right w:val="single" w:sz="4" w:space="0" w:color="F4B29B"/>
        <w:insideH w:val="single" w:sz="4" w:space="0" w:color="F4B29B"/>
        <w:insideV w:val="single" w:sz="4" w:space="0" w:color="F4B29B"/>
      </w:tblBorders>
    </w:tblPr>
    <w:tblStylePr w:type="firstRow">
      <w:rPr>
        <w:b/>
        <w:bCs/>
      </w:rPr>
      <w:tblPr/>
      <w:tcPr>
        <w:tcBorders>
          <w:bottom w:val="single" w:sz="12" w:space="0" w:color="EE8C69"/>
        </w:tcBorders>
      </w:tcPr>
    </w:tblStylePr>
    <w:tblStylePr w:type="lastRow">
      <w:rPr>
        <w:b/>
        <w:bCs/>
      </w:rPr>
      <w:tblPr/>
      <w:tcPr>
        <w:tcBorders>
          <w:top w:val="double" w:sz="2" w:space="0" w:color="EE8C69"/>
        </w:tcBorders>
      </w:tcPr>
    </w:tblStylePr>
    <w:tblStylePr w:type="firstCol">
      <w:rPr>
        <w:b/>
        <w:bCs/>
      </w:rPr>
    </w:tblStylePr>
    <w:tblStylePr w:type="lastCol">
      <w:rPr>
        <w:b/>
        <w:bCs/>
      </w:rPr>
    </w:tblStylePr>
  </w:style>
  <w:style w:type="table" w:customStyle="1" w:styleId="Tabelasiatki1jasna5">
    <w:name w:val="Tabela siatki 1 — jasna5"/>
    <w:basedOn w:val="Standardowy"/>
    <w:next w:val="Tabelasiatki1jasna"/>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a5">
    <w:name w:val="Tabela - Siatka5"/>
    <w:basedOn w:val="Standardowy"/>
    <w:next w:val="Tabela-Siatka"/>
    <w:uiPriority w:val="39"/>
    <w:rsid w:val="003F2001"/>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7">
    <w:name w:val="Tabela siatki 1 — jasna — akcent 17"/>
    <w:basedOn w:val="Standardowy"/>
    <w:next w:val="Tabelasiatki1jasnaakcent1"/>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F4B29B"/>
        <w:left w:val="single" w:sz="4" w:space="0" w:color="F4B29B"/>
        <w:bottom w:val="single" w:sz="4" w:space="0" w:color="F4B29B"/>
        <w:right w:val="single" w:sz="4" w:space="0" w:color="F4B29B"/>
        <w:insideH w:val="single" w:sz="4" w:space="0" w:color="F4B29B"/>
        <w:insideV w:val="single" w:sz="4" w:space="0" w:color="F4B29B"/>
      </w:tblBorders>
    </w:tblPr>
    <w:tblStylePr w:type="firstRow">
      <w:rPr>
        <w:b/>
        <w:bCs/>
      </w:rPr>
      <w:tblPr/>
      <w:tcPr>
        <w:tcBorders>
          <w:bottom w:val="single" w:sz="12" w:space="0" w:color="EE8C69"/>
        </w:tcBorders>
      </w:tcPr>
    </w:tblStylePr>
    <w:tblStylePr w:type="lastRow">
      <w:rPr>
        <w:b/>
        <w:bCs/>
      </w:rPr>
      <w:tblPr/>
      <w:tcPr>
        <w:tcBorders>
          <w:top w:val="double" w:sz="2" w:space="0" w:color="EE8C69"/>
        </w:tcBorders>
      </w:tcPr>
    </w:tblStylePr>
    <w:tblStylePr w:type="firstCol">
      <w:rPr>
        <w:b/>
        <w:bCs/>
      </w:rPr>
    </w:tblStylePr>
    <w:tblStylePr w:type="lastCol">
      <w:rPr>
        <w:b/>
        <w:bCs/>
      </w:rPr>
    </w:tblStylePr>
  </w:style>
  <w:style w:type="paragraph" w:customStyle="1" w:styleId="Default">
    <w:name w:val="Default"/>
    <w:rsid w:val="003F2001"/>
    <w:pPr>
      <w:autoSpaceDE w:val="0"/>
      <w:autoSpaceDN w:val="0"/>
      <w:adjustRightInd w:val="0"/>
      <w:spacing w:after="0" w:line="240" w:lineRule="auto"/>
    </w:pPr>
    <w:rPr>
      <w:rFonts w:ascii="Calibri" w:hAnsi="Calibri" w:cs="Calibri"/>
      <w:color w:val="000000"/>
      <w:kern w:val="0"/>
      <w:sz w:val="24"/>
      <w:szCs w:val="24"/>
    </w:rPr>
  </w:style>
  <w:style w:type="numbering" w:customStyle="1" w:styleId="Bezlisty6">
    <w:name w:val="Bez listy6"/>
    <w:next w:val="Bezlisty"/>
    <w:uiPriority w:val="99"/>
    <w:semiHidden/>
    <w:unhideWhenUsed/>
    <w:rsid w:val="003F2001"/>
  </w:style>
  <w:style w:type="table" w:customStyle="1" w:styleId="Tabela-Siatka6">
    <w:name w:val="Tabela - Siatka6"/>
    <w:basedOn w:val="Standardowy"/>
    <w:next w:val="Tabela-Siatka"/>
    <w:uiPriority w:val="39"/>
    <w:rsid w:val="003F2001"/>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8">
    <w:name w:val="Tabela siatki 1 — jasna — akcent 18"/>
    <w:basedOn w:val="Standardowy"/>
    <w:next w:val="Tabelasiatki1jasnaakcent1"/>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F4B29B"/>
        <w:left w:val="single" w:sz="4" w:space="0" w:color="F4B29B"/>
        <w:bottom w:val="single" w:sz="4" w:space="0" w:color="F4B29B"/>
        <w:right w:val="single" w:sz="4" w:space="0" w:color="F4B29B"/>
        <w:insideH w:val="single" w:sz="4" w:space="0" w:color="F4B29B"/>
        <w:insideV w:val="single" w:sz="4" w:space="0" w:color="F4B29B"/>
      </w:tblBorders>
    </w:tblPr>
    <w:tblStylePr w:type="firstRow">
      <w:rPr>
        <w:b/>
        <w:bCs/>
      </w:rPr>
      <w:tblPr/>
      <w:tcPr>
        <w:tcBorders>
          <w:bottom w:val="single" w:sz="12" w:space="0" w:color="EE8C69"/>
        </w:tcBorders>
      </w:tcPr>
    </w:tblStylePr>
    <w:tblStylePr w:type="lastRow">
      <w:rPr>
        <w:b/>
        <w:bCs/>
      </w:rPr>
      <w:tblPr/>
      <w:tcPr>
        <w:tcBorders>
          <w:top w:val="double" w:sz="2" w:space="0" w:color="EE8C69"/>
        </w:tcBorders>
      </w:tcPr>
    </w:tblStylePr>
    <w:tblStylePr w:type="firstCol">
      <w:rPr>
        <w:b/>
        <w:bCs/>
      </w:rPr>
    </w:tblStylePr>
    <w:tblStylePr w:type="lastCol">
      <w:rPr>
        <w:b/>
        <w:bCs/>
      </w:rPr>
    </w:tblStylePr>
  </w:style>
  <w:style w:type="table" w:customStyle="1" w:styleId="Tabelasiatki1jasna6">
    <w:name w:val="Tabela siatki 1 — jasna6"/>
    <w:basedOn w:val="Standardowy"/>
    <w:next w:val="Tabelasiatki1jasna"/>
    <w:uiPriority w:val="46"/>
    <w:rsid w:val="003F2001"/>
    <w:pPr>
      <w:spacing w:before="200" w:after="0" w:line="240" w:lineRule="auto"/>
    </w:pPr>
    <w:rPr>
      <w:rFonts w:eastAsia="Times New Roma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
    <w:name w:val="Unresolved Mention"/>
    <w:basedOn w:val="Domylnaczcionkaakapitu"/>
    <w:uiPriority w:val="99"/>
    <w:semiHidden/>
    <w:unhideWhenUsed/>
    <w:rsid w:val="003F2001"/>
    <w:rPr>
      <w:color w:val="605E5C"/>
      <w:shd w:val="clear" w:color="auto" w:fill="E1DFDD"/>
    </w:rPr>
  </w:style>
  <w:style w:type="paragraph" w:styleId="Cytatintensywny">
    <w:name w:val="Intense Quote"/>
    <w:basedOn w:val="Normalny"/>
    <w:next w:val="Normalny"/>
    <w:link w:val="CytatintensywnyZnak"/>
    <w:uiPriority w:val="30"/>
    <w:qFormat/>
    <w:rsid w:val="003F2001"/>
    <w:pPr>
      <w:pBdr>
        <w:top w:val="single" w:sz="4" w:space="10" w:color="4472C4" w:themeColor="accent1"/>
        <w:bottom w:val="single" w:sz="4" w:space="10" w:color="4472C4" w:themeColor="accent1"/>
      </w:pBdr>
      <w:spacing w:before="360" w:after="360"/>
      <w:ind w:left="864" w:right="864"/>
      <w:jc w:val="center"/>
    </w:pPr>
    <w:rPr>
      <w:rFonts w:asciiTheme="minorHAnsi" w:hAnsiTheme="minorHAnsi"/>
      <w:i/>
      <w:iCs/>
      <w:color w:val="D34817"/>
      <w:szCs w:val="20"/>
      <w:lang w:bidi="en-US"/>
    </w:rPr>
  </w:style>
  <w:style w:type="character" w:customStyle="1" w:styleId="CytatintensywnyZnak2">
    <w:name w:val="Cytat intensywny Znak2"/>
    <w:basedOn w:val="Domylnaczcionkaakapitu"/>
    <w:uiPriority w:val="30"/>
    <w:rsid w:val="003F2001"/>
    <w:rPr>
      <w:rFonts w:ascii="Century Gothic" w:hAnsi="Century Gothic"/>
      <w:i/>
      <w:iCs/>
      <w:color w:val="4472C4" w:themeColor="accent1"/>
      <w:sz w:val="20"/>
    </w:rPr>
  </w:style>
  <w:style w:type="table" w:styleId="Tabelasiatki1jasnaakcent1">
    <w:name w:val="Grid Table 1 Light Accent 1"/>
    <w:basedOn w:val="Standardowy"/>
    <w:uiPriority w:val="46"/>
    <w:rsid w:val="003F200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1jasna">
    <w:name w:val="Grid Table 1 Light"/>
    <w:basedOn w:val="Standardowy"/>
    <w:uiPriority w:val="46"/>
    <w:rsid w:val="003F20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Wyrnieniedelikatne">
    <w:name w:val="Subtle Emphasis"/>
    <w:basedOn w:val="Domylnaczcionkaakapitu"/>
    <w:uiPriority w:val="19"/>
    <w:qFormat/>
    <w:rsid w:val="003F2001"/>
    <w:rPr>
      <w:i/>
      <w:iCs/>
      <w:color w:val="404040" w:themeColor="text1" w:themeTint="BF"/>
    </w:rPr>
  </w:style>
  <w:style w:type="character" w:styleId="Wyrnienieintensywne">
    <w:name w:val="Intense Emphasis"/>
    <w:basedOn w:val="Domylnaczcionkaakapitu"/>
    <w:uiPriority w:val="21"/>
    <w:qFormat/>
    <w:rsid w:val="003F2001"/>
    <w:rPr>
      <w:i/>
      <w:iCs/>
      <w:color w:val="4472C4" w:themeColor="accent1"/>
    </w:rPr>
  </w:style>
  <w:style w:type="character" w:styleId="Odwoaniedelikatne">
    <w:name w:val="Subtle Reference"/>
    <w:basedOn w:val="Domylnaczcionkaakapitu"/>
    <w:uiPriority w:val="31"/>
    <w:qFormat/>
    <w:rsid w:val="003F2001"/>
    <w:rPr>
      <w:smallCaps/>
      <w:color w:val="5A5A5A" w:themeColor="text1" w:themeTint="A5"/>
    </w:rPr>
  </w:style>
  <w:style w:type="character" w:styleId="Odwoanieintensywne">
    <w:name w:val="Intense Reference"/>
    <w:basedOn w:val="Domylnaczcionkaakapitu"/>
    <w:uiPriority w:val="32"/>
    <w:qFormat/>
    <w:rsid w:val="003F2001"/>
    <w:rPr>
      <w:b/>
      <w:bCs/>
      <w:smallCaps/>
      <w:color w:val="4472C4" w:themeColor="accent1"/>
      <w:spacing w:val="5"/>
    </w:rPr>
  </w:style>
  <w:style w:type="character" w:styleId="UyteHipercze">
    <w:name w:val="FollowedHyperlink"/>
    <w:basedOn w:val="Domylnaczcionkaakapitu"/>
    <w:uiPriority w:val="99"/>
    <w:semiHidden/>
    <w:unhideWhenUsed/>
    <w:rsid w:val="003F2001"/>
    <w:rPr>
      <w:color w:val="954F72" w:themeColor="followedHyperlink"/>
      <w:u w:val="single"/>
    </w:rPr>
  </w:style>
  <w:style w:type="numbering" w:customStyle="1" w:styleId="Bezlisty7">
    <w:name w:val="Bez listy7"/>
    <w:next w:val="Bezlisty"/>
    <w:uiPriority w:val="99"/>
    <w:semiHidden/>
    <w:unhideWhenUsed/>
    <w:rsid w:val="000A3C96"/>
  </w:style>
  <w:style w:type="character" w:customStyle="1" w:styleId="AkapitzlistZnak">
    <w:name w:val="Akapit z listą Znak"/>
    <w:aliases w:val="Resume Title Znak,Citation List Znak,Ha Znak,List Paragraph1 Znak,Body Znak,List Paragraph_Table bullets Znak,Bullet List Paragraph Znak,Listes Znak,Paragraphe de liste 2 Znak,Reference list Znak,Lettre d'introduction Znak"/>
    <w:basedOn w:val="Domylnaczcionkaakapitu"/>
    <w:link w:val="Akapitzlist"/>
    <w:uiPriority w:val="34"/>
    <w:qFormat/>
    <w:locked/>
    <w:rsid w:val="000A3C96"/>
    <w:rPr>
      <w:rFonts w:ascii="Century Gothic" w:hAnsi="Century Gothic"/>
      <w:sz w:val="20"/>
    </w:rPr>
  </w:style>
  <w:style w:type="table" w:customStyle="1" w:styleId="Tabela-Siatka7">
    <w:name w:val="Tabela - Siatka7"/>
    <w:basedOn w:val="Standardowy"/>
    <w:next w:val="Tabela-Siatka"/>
    <w:uiPriority w:val="59"/>
    <w:rsid w:val="000A3C96"/>
    <w:pPr>
      <w:spacing w:after="0" w:line="240" w:lineRule="auto"/>
    </w:pPr>
    <w:rPr>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0A3C96"/>
    <w:pPr>
      <w:spacing w:before="200" w:after="200" w:line="276" w:lineRule="auto"/>
      <w:jc w:val="left"/>
    </w:pPr>
    <w:rPr>
      <w:rFonts w:ascii="Times New Roman" w:hAnsi="Times New Roman" w:cs="Times New Roman"/>
      <w:kern w:val="0"/>
      <w:sz w:val="24"/>
      <w:szCs w:val="24"/>
      <w:lang w:bidi="en-US"/>
      <w14:ligatures w14:val="none"/>
    </w:rPr>
  </w:style>
  <w:style w:type="paragraph" w:customStyle="1" w:styleId="Tabelabold">
    <w:name w:val="Tabela_bold"/>
    <w:basedOn w:val="Normalny"/>
    <w:link w:val="TabelaboldZnak"/>
    <w:qFormat/>
    <w:rsid w:val="000A3C96"/>
    <w:pPr>
      <w:spacing w:before="60" w:after="60" w:line="240" w:lineRule="auto"/>
      <w:jc w:val="left"/>
    </w:pPr>
    <w:rPr>
      <w:rFonts w:ascii="Arial" w:eastAsia="Times New Roman" w:hAnsi="Arial" w:cs="Times New Roman"/>
      <w:b/>
      <w:kern w:val="0"/>
      <w:sz w:val="18"/>
      <w:szCs w:val="18"/>
      <w14:ligatures w14:val="none"/>
    </w:rPr>
  </w:style>
  <w:style w:type="character" w:customStyle="1" w:styleId="TabelaboldZnak">
    <w:name w:val="Tabela_bold Znak"/>
    <w:link w:val="Tabelabold"/>
    <w:rsid w:val="000A3C96"/>
    <w:rPr>
      <w:rFonts w:ascii="Arial" w:eastAsia="Times New Roman" w:hAnsi="Arial" w:cs="Times New Roman"/>
      <w:b/>
      <w:kern w:val="0"/>
      <w:sz w:val="18"/>
      <w:szCs w:val="18"/>
      <w14:ligatures w14:val="none"/>
    </w:rPr>
  </w:style>
  <w:style w:type="paragraph" w:styleId="Tekstpodstawowywcity3">
    <w:name w:val="Body Text Indent 3"/>
    <w:basedOn w:val="Normalny"/>
    <w:link w:val="Tekstpodstawowywcity3Znak"/>
    <w:rsid w:val="000A3C96"/>
    <w:pPr>
      <w:spacing w:before="200" w:line="240" w:lineRule="auto"/>
      <w:ind w:left="283"/>
    </w:pPr>
    <w:rPr>
      <w:rFonts w:ascii="Times New Roman" w:eastAsia="Times New Roman" w:hAnsi="Times New Roman" w:cs="Times New Roman"/>
      <w:kern w:val="0"/>
      <w:sz w:val="16"/>
      <w:szCs w:val="16"/>
      <w:lang w:eastAsia="pl-PL"/>
      <w14:ligatures w14:val="none"/>
    </w:rPr>
  </w:style>
  <w:style w:type="character" w:customStyle="1" w:styleId="Tekstpodstawowywcity3Znak">
    <w:name w:val="Tekst podstawowy wcięty 3 Znak"/>
    <w:basedOn w:val="Domylnaczcionkaakapitu"/>
    <w:link w:val="Tekstpodstawowywcity3"/>
    <w:rsid w:val="000A3C96"/>
    <w:rPr>
      <w:rFonts w:ascii="Times New Roman" w:eastAsia="Times New Roman" w:hAnsi="Times New Roman" w:cs="Times New Roman"/>
      <w:kern w:val="0"/>
      <w:sz w:val="16"/>
      <w:szCs w:val="16"/>
      <w:lang w:eastAsia="pl-PL"/>
      <w14:ligatures w14:val="none"/>
    </w:rPr>
  </w:style>
  <w:style w:type="paragraph" w:styleId="Tekstpodstawowywcity">
    <w:name w:val="Body Text Indent"/>
    <w:basedOn w:val="Normalny"/>
    <w:link w:val="TekstpodstawowywcityZnak"/>
    <w:rsid w:val="000A3C96"/>
    <w:pPr>
      <w:spacing w:before="200" w:line="240" w:lineRule="auto"/>
      <w:ind w:left="283"/>
    </w:pPr>
    <w:rPr>
      <w:rFonts w:ascii="Arial" w:eastAsia="Times New Roman" w:hAnsi="Arial" w:cs="Times New Roman"/>
      <w:kern w:val="0"/>
      <w:szCs w:val="20"/>
      <w:lang w:eastAsia="pl-PL"/>
      <w14:ligatures w14:val="none"/>
    </w:rPr>
  </w:style>
  <w:style w:type="character" w:customStyle="1" w:styleId="TekstpodstawowywcityZnak">
    <w:name w:val="Tekst podstawowy wcięty Znak"/>
    <w:basedOn w:val="Domylnaczcionkaakapitu"/>
    <w:link w:val="Tekstpodstawowywcity"/>
    <w:rsid w:val="000A3C96"/>
    <w:rPr>
      <w:rFonts w:ascii="Arial" w:eastAsia="Times New Roman" w:hAnsi="Arial" w:cs="Times New Roman"/>
      <w:kern w:val="0"/>
      <w:sz w:val="20"/>
      <w:szCs w:val="20"/>
      <w:lang w:eastAsia="pl-PL"/>
      <w14:ligatures w14:val="none"/>
    </w:rPr>
  </w:style>
  <w:style w:type="paragraph" w:customStyle="1" w:styleId="Pa0">
    <w:name w:val="Pa0"/>
    <w:basedOn w:val="Default"/>
    <w:next w:val="Default"/>
    <w:uiPriority w:val="99"/>
    <w:rsid w:val="000A3C96"/>
    <w:pPr>
      <w:spacing w:line="201" w:lineRule="atLeast"/>
    </w:pPr>
    <w:rPr>
      <w:rFonts w:ascii="Myriad Pro" w:hAnsi="Myriad Pro" w:cs="Times New Roman"/>
      <w:color w:val="auto"/>
      <w14:ligatures w14:val="none"/>
    </w:rPr>
  </w:style>
  <w:style w:type="paragraph" w:customStyle="1" w:styleId="Przypis">
    <w:name w:val="Przypis"/>
    <w:basedOn w:val="Tekstprzypisudolnego"/>
    <w:link w:val="PrzypisZnak"/>
    <w:qFormat/>
    <w:rsid w:val="000A3C96"/>
    <w:pPr>
      <w:contextualSpacing/>
    </w:pPr>
    <w:rPr>
      <w:rFonts w:ascii="Arial" w:eastAsia="Times New Roman" w:hAnsi="Arial" w:cs="Times New Roman"/>
      <w:bCs/>
      <w:color w:val="000000"/>
      <w:kern w:val="0"/>
      <w:sz w:val="16"/>
      <w:szCs w:val="15"/>
      <w:shd w:val="clear" w:color="auto" w:fill="FFFFFF"/>
      <w:lang w:val="x-none" w:eastAsia="x-none"/>
      <w14:ligatures w14:val="none"/>
    </w:rPr>
  </w:style>
  <w:style w:type="character" w:customStyle="1" w:styleId="PrzypisZnak">
    <w:name w:val="Przypis Znak"/>
    <w:link w:val="Przypis"/>
    <w:rsid w:val="000A3C96"/>
    <w:rPr>
      <w:rFonts w:ascii="Arial" w:eastAsia="Times New Roman" w:hAnsi="Arial" w:cs="Times New Roman"/>
      <w:bCs/>
      <w:color w:val="000000"/>
      <w:kern w:val="0"/>
      <w:sz w:val="16"/>
      <w:szCs w:val="15"/>
      <w:lang w:val="x-none" w:eastAsia="x-none"/>
      <w14:ligatures w14:val="none"/>
    </w:rPr>
  </w:style>
  <w:style w:type="paragraph" w:customStyle="1" w:styleId="ZLITLITwPKTzmlitwpktliter">
    <w:name w:val="Z_LIT/LIT_w_PKT – zm. lit. w pkt literą"/>
    <w:basedOn w:val="Normalny"/>
    <w:uiPriority w:val="48"/>
    <w:qFormat/>
    <w:rsid w:val="000A3C96"/>
    <w:pPr>
      <w:spacing w:after="0" w:line="360" w:lineRule="auto"/>
      <w:ind w:left="1973" w:hanging="476"/>
    </w:pPr>
    <w:rPr>
      <w:rFonts w:ascii="Times" w:eastAsia="Times New Roman" w:hAnsi="Times" w:cs="Arial"/>
      <w:bCs/>
      <w:kern w:val="0"/>
      <w:sz w:val="24"/>
      <w:szCs w:val="20"/>
      <w:lang w:eastAsia="pl-PL"/>
      <w14:ligatures w14:val="none"/>
    </w:rPr>
  </w:style>
  <w:style w:type="paragraph" w:customStyle="1" w:styleId="TYTU10">
    <w:name w:val="TYTUŁ 1"/>
    <w:basedOn w:val="Tytu1"/>
    <w:link w:val="TYTU1Znak0"/>
    <w:qFormat/>
    <w:rsid w:val="00A22A70"/>
  </w:style>
  <w:style w:type="character" w:customStyle="1" w:styleId="Tytu1Znak">
    <w:name w:val="Tytuł1 Znak"/>
    <w:basedOn w:val="Domylnaczcionkaakapitu"/>
    <w:link w:val="Tytu1"/>
    <w:uiPriority w:val="10"/>
    <w:rsid w:val="00A22A70"/>
    <w:rPr>
      <w:rFonts w:ascii="Century Gothic" w:eastAsia="Times New Roman" w:hAnsi="Century Gothic"/>
      <w:caps/>
      <w:color w:val="D34817"/>
      <w:spacing w:val="10"/>
      <w:kern w:val="28"/>
      <w:sz w:val="52"/>
      <w:szCs w:val="52"/>
      <w:lang w:bidi="en-US"/>
      <w14:ligatures w14:val="none"/>
    </w:rPr>
  </w:style>
  <w:style w:type="character" w:customStyle="1" w:styleId="TYTU1Znak0">
    <w:name w:val="TYTUŁ 1 Znak"/>
    <w:basedOn w:val="Tytu1Znak"/>
    <w:link w:val="TYTU10"/>
    <w:rsid w:val="00A22A70"/>
    <w:rPr>
      <w:rFonts w:ascii="Century Gothic" w:eastAsia="Times New Roman" w:hAnsi="Century Gothic"/>
      <w:caps/>
      <w:color w:val="D34817"/>
      <w:spacing w:val="10"/>
      <w:kern w:val="28"/>
      <w:sz w:val="52"/>
      <w:szCs w:val="52"/>
      <w:lang w:bidi="en-US"/>
      <w14:ligatures w14:val="none"/>
    </w:rPr>
  </w:style>
  <w:style w:type="paragraph" w:customStyle="1" w:styleId="TYtu2">
    <w:name w:val="TYtuł 2"/>
    <w:basedOn w:val="Nagwek1"/>
    <w:link w:val="TYtu2Znak"/>
    <w:qFormat/>
    <w:rsid w:val="00A22A70"/>
    <w:pPr>
      <w:framePr w:wrap="notBeside" w:vAnchor="text" w:hAnchor="text" w:y="1"/>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pPr>
    <w:rPr>
      <w:color w:val="FFFFFF" w:themeColor="background1"/>
      <w:sz w:val="32"/>
    </w:rPr>
  </w:style>
  <w:style w:type="character" w:customStyle="1" w:styleId="TYtu2Znak">
    <w:name w:val="TYtuł 2 Znak"/>
    <w:basedOn w:val="Nagwek1Znak"/>
    <w:link w:val="TYtu2"/>
    <w:rsid w:val="00A22A70"/>
    <w:rPr>
      <w:rFonts w:ascii="Century Gothic" w:hAnsi="Century Gothic"/>
      <w:caps/>
      <w:color w:val="FFFFFF" w:themeColor="background1"/>
      <w:spacing w:val="15"/>
      <w:sz w:val="32"/>
      <w:shd w:val="clear" w:color="auto" w:fill="C45911" w:themeFill="accent2" w:themeFillShade="BF"/>
    </w:rPr>
  </w:style>
  <w:style w:type="paragraph" w:customStyle="1" w:styleId="Styl2">
    <w:name w:val="Styl2"/>
    <w:basedOn w:val="Nagwek1"/>
    <w:link w:val="Styl2Znak"/>
    <w:qFormat/>
    <w:rsid w:val="00EA4E0B"/>
    <w:pPr>
      <w:pBdr>
        <w:top w:val="none" w:sz="0" w:space="0" w:color="auto"/>
        <w:left w:val="none" w:sz="0" w:space="0" w:color="auto"/>
        <w:bottom w:val="none" w:sz="0" w:space="0" w:color="auto"/>
        <w:right w:val="none" w:sz="0" w:space="0" w:color="auto"/>
      </w:pBdr>
      <w:shd w:val="clear" w:color="auto" w:fill="auto"/>
    </w:pPr>
    <w:rPr>
      <w:b/>
      <w:color w:val="C45911" w:themeColor="accent2" w:themeShade="BF"/>
      <w:sz w:val="32"/>
    </w:rPr>
  </w:style>
  <w:style w:type="character" w:customStyle="1" w:styleId="Styl2Znak">
    <w:name w:val="Styl2 Znak"/>
    <w:basedOn w:val="Domylnaczcionkaakapitu"/>
    <w:link w:val="Styl2"/>
    <w:rsid w:val="00EA4E0B"/>
    <w:rPr>
      <w:rFonts w:ascii="Century Gothic" w:hAnsi="Century Gothic"/>
      <w:b/>
      <w:caps/>
      <w:color w:val="C45911" w:themeColor="accent2" w:themeShade="BF"/>
      <w:spacing w:val="15"/>
      <w:sz w:val="32"/>
    </w:rPr>
  </w:style>
  <w:style w:type="table" w:customStyle="1" w:styleId="Tabela-Siatka61">
    <w:name w:val="Tabela - Siatka61"/>
    <w:basedOn w:val="Standardowy"/>
    <w:next w:val="Tabela-Siatka"/>
    <w:uiPriority w:val="39"/>
    <w:rsid w:val="00B838F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16801">
      <w:bodyDiv w:val="1"/>
      <w:marLeft w:val="0"/>
      <w:marRight w:val="0"/>
      <w:marTop w:val="0"/>
      <w:marBottom w:val="0"/>
      <w:divBdr>
        <w:top w:val="none" w:sz="0" w:space="0" w:color="auto"/>
        <w:left w:val="none" w:sz="0" w:space="0" w:color="auto"/>
        <w:bottom w:val="none" w:sz="0" w:space="0" w:color="auto"/>
        <w:right w:val="none" w:sz="0" w:space="0" w:color="auto"/>
      </w:divBdr>
      <w:divsChild>
        <w:div w:id="652371218">
          <w:marLeft w:val="547"/>
          <w:marRight w:val="0"/>
          <w:marTop w:val="0"/>
          <w:marBottom w:val="0"/>
          <w:divBdr>
            <w:top w:val="none" w:sz="0" w:space="0" w:color="auto"/>
            <w:left w:val="none" w:sz="0" w:space="0" w:color="auto"/>
            <w:bottom w:val="none" w:sz="0" w:space="0" w:color="auto"/>
            <w:right w:val="none" w:sz="0" w:space="0" w:color="auto"/>
          </w:divBdr>
        </w:div>
      </w:divsChild>
    </w:div>
    <w:div w:id="229730445">
      <w:bodyDiv w:val="1"/>
      <w:marLeft w:val="0"/>
      <w:marRight w:val="0"/>
      <w:marTop w:val="0"/>
      <w:marBottom w:val="0"/>
      <w:divBdr>
        <w:top w:val="none" w:sz="0" w:space="0" w:color="auto"/>
        <w:left w:val="none" w:sz="0" w:space="0" w:color="auto"/>
        <w:bottom w:val="none" w:sz="0" w:space="0" w:color="auto"/>
        <w:right w:val="none" w:sz="0" w:space="0" w:color="auto"/>
      </w:divBdr>
      <w:divsChild>
        <w:div w:id="128938079">
          <w:marLeft w:val="547"/>
          <w:marRight w:val="0"/>
          <w:marTop w:val="0"/>
          <w:marBottom w:val="0"/>
          <w:divBdr>
            <w:top w:val="none" w:sz="0" w:space="0" w:color="auto"/>
            <w:left w:val="none" w:sz="0" w:space="0" w:color="auto"/>
            <w:bottom w:val="none" w:sz="0" w:space="0" w:color="auto"/>
            <w:right w:val="none" w:sz="0" w:space="0" w:color="auto"/>
          </w:divBdr>
        </w:div>
      </w:divsChild>
    </w:div>
    <w:div w:id="257759332">
      <w:bodyDiv w:val="1"/>
      <w:marLeft w:val="0"/>
      <w:marRight w:val="0"/>
      <w:marTop w:val="0"/>
      <w:marBottom w:val="0"/>
      <w:divBdr>
        <w:top w:val="none" w:sz="0" w:space="0" w:color="auto"/>
        <w:left w:val="none" w:sz="0" w:space="0" w:color="auto"/>
        <w:bottom w:val="none" w:sz="0" w:space="0" w:color="auto"/>
        <w:right w:val="none" w:sz="0" w:space="0" w:color="auto"/>
      </w:divBdr>
      <w:divsChild>
        <w:div w:id="1191601450">
          <w:marLeft w:val="547"/>
          <w:marRight w:val="0"/>
          <w:marTop w:val="0"/>
          <w:marBottom w:val="0"/>
          <w:divBdr>
            <w:top w:val="none" w:sz="0" w:space="0" w:color="auto"/>
            <w:left w:val="none" w:sz="0" w:space="0" w:color="auto"/>
            <w:bottom w:val="none" w:sz="0" w:space="0" w:color="auto"/>
            <w:right w:val="none" w:sz="0" w:space="0" w:color="auto"/>
          </w:divBdr>
        </w:div>
      </w:divsChild>
    </w:div>
    <w:div w:id="277494036">
      <w:bodyDiv w:val="1"/>
      <w:marLeft w:val="0"/>
      <w:marRight w:val="0"/>
      <w:marTop w:val="0"/>
      <w:marBottom w:val="0"/>
      <w:divBdr>
        <w:top w:val="none" w:sz="0" w:space="0" w:color="auto"/>
        <w:left w:val="none" w:sz="0" w:space="0" w:color="auto"/>
        <w:bottom w:val="none" w:sz="0" w:space="0" w:color="auto"/>
        <w:right w:val="none" w:sz="0" w:space="0" w:color="auto"/>
      </w:divBdr>
      <w:divsChild>
        <w:div w:id="1557932499">
          <w:marLeft w:val="547"/>
          <w:marRight w:val="0"/>
          <w:marTop w:val="0"/>
          <w:marBottom w:val="0"/>
          <w:divBdr>
            <w:top w:val="none" w:sz="0" w:space="0" w:color="auto"/>
            <w:left w:val="none" w:sz="0" w:space="0" w:color="auto"/>
            <w:bottom w:val="none" w:sz="0" w:space="0" w:color="auto"/>
            <w:right w:val="none" w:sz="0" w:space="0" w:color="auto"/>
          </w:divBdr>
        </w:div>
      </w:divsChild>
    </w:div>
    <w:div w:id="468207990">
      <w:bodyDiv w:val="1"/>
      <w:marLeft w:val="0"/>
      <w:marRight w:val="0"/>
      <w:marTop w:val="0"/>
      <w:marBottom w:val="0"/>
      <w:divBdr>
        <w:top w:val="none" w:sz="0" w:space="0" w:color="auto"/>
        <w:left w:val="none" w:sz="0" w:space="0" w:color="auto"/>
        <w:bottom w:val="none" w:sz="0" w:space="0" w:color="auto"/>
        <w:right w:val="none" w:sz="0" w:space="0" w:color="auto"/>
      </w:divBdr>
      <w:divsChild>
        <w:div w:id="1533764602">
          <w:marLeft w:val="547"/>
          <w:marRight w:val="0"/>
          <w:marTop w:val="0"/>
          <w:marBottom w:val="0"/>
          <w:divBdr>
            <w:top w:val="none" w:sz="0" w:space="0" w:color="auto"/>
            <w:left w:val="none" w:sz="0" w:space="0" w:color="auto"/>
            <w:bottom w:val="none" w:sz="0" w:space="0" w:color="auto"/>
            <w:right w:val="none" w:sz="0" w:space="0" w:color="auto"/>
          </w:divBdr>
        </w:div>
      </w:divsChild>
    </w:div>
    <w:div w:id="555629604">
      <w:bodyDiv w:val="1"/>
      <w:marLeft w:val="0"/>
      <w:marRight w:val="0"/>
      <w:marTop w:val="0"/>
      <w:marBottom w:val="0"/>
      <w:divBdr>
        <w:top w:val="none" w:sz="0" w:space="0" w:color="auto"/>
        <w:left w:val="none" w:sz="0" w:space="0" w:color="auto"/>
        <w:bottom w:val="none" w:sz="0" w:space="0" w:color="auto"/>
        <w:right w:val="none" w:sz="0" w:space="0" w:color="auto"/>
      </w:divBdr>
      <w:divsChild>
        <w:div w:id="320353487">
          <w:marLeft w:val="547"/>
          <w:marRight w:val="0"/>
          <w:marTop w:val="0"/>
          <w:marBottom w:val="0"/>
          <w:divBdr>
            <w:top w:val="none" w:sz="0" w:space="0" w:color="auto"/>
            <w:left w:val="none" w:sz="0" w:space="0" w:color="auto"/>
            <w:bottom w:val="none" w:sz="0" w:space="0" w:color="auto"/>
            <w:right w:val="none" w:sz="0" w:space="0" w:color="auto"/>
          </w:divBdr>
        </w:div>
        <w:div w:id="699163792">
          <w:marLeft w:val="547"/>
          <w:marRight w:val="0"/>
          <w:marTop w:val="0"/>
          <w:marBottom w:val="0"/>
          <w:divBdr>
            <w:top w:val="none" w:sz="0" w:space="0" w:color="auto"/>
            <w:left w:val="none" w:sz="0" w:space="0" w:color="auto"/>
            <w:bottom w:val="none" w:sz="0" w:space="0" w:color="auto"/>
            <w:right w:val="none" w:sz="0" w:space="0" w:color="auto"/>
          </w:divBdr>
        </w:div>
        <w:div w:id="1692755735">
          <w:marLeft w:val="547"/>
          <w:marRight w:val="0"/>
          <w:marTop w:val="0"/>
          <w:marBottom w:val="0"/>
          <w:divBdr>
            <w:top w:val="none" w:sz="0" w:space="0" w:color="auto"/>
            <w:left w:val="none" w:sz="0" w:space="0" w:color="auto"/>
            <w:bottom w:val="none" w:sz="0" w:space="0" w:color="auto"/>
            <w:right w:val="none" w:sz="0" w:space="0" w:color="auto"/>
          </w:divBdr>
        </w:div>
        <w:div w:id="1115296850">
          <w:marLeft w:val="547"/>
          <w:marRight w:val="0"/>
          <w:marTop w:val="0"/>
          <w:marBottom w:val="0"/>
          <w:divBdr>
            <w:top w:val="none" w:sz="0" w:space="0" w:color="auto"/>
            <w:left w:val="none" w:sz="0" w:space="0" w:color="auto"/>
            <w:bottom w:val="none" w:sz="0" w:space="0" w:color="auto"/>
            <w:right w:val="none" w:sz="0" w:space="0" w:color="auto"/>
          </w:divBdr>
        </w:div>
        <w:div w:id="175468014">
          <w:marLeft w:val="547"/>
          <w:marRight w:val="0"/>
          <w:marTop w:val="0"/>
          <w:marBottom w:val="0"/>
          <w:divBdr>
            <w:top w:val="none" w:sz="0" w:space="0" w:color="auto"/>
            <w:left w:val="none" w:sz="0" w:space="0" w:color="auto"/>
            <w:bottom w:val="none" w:sz="0" w:space="0" w:color="auto"/>
            <w:right w:val="none" w:sz="0" w:space="0" w:color="auto"/>
          </w:divBdr>
        </w:div>
        <w:div w:id="259993137">
          <w:marLeft w:val="547"/>
          <w:marRight w:val="0"/>
          <w:marTop w:val="0"/>
          <w:marBottom w:val="0"/>
          <w:divBdr>
            <w:top w:val="none" w:sz="0" w:space="0" w:color="auto"/>
            <w:left w:val="none" w:sz="0" w:space="0" w:color="auto"/>
            <w:bottom w:val="none" w:sz="0" w:space="0" w:color="auto"/>
            <w:right w:val="none" w:sz="0" w:space="0" w:color="auto"/>
          </w:divBdr>
        </w:div>
      </w:divsChild>
    </w:div>
    <w:div w:id="583954574">
      <w:bodyDiv w:val="1"/>
      <w:marLeft w:val="0"/>
      <w:marRight w:val="0"/>
      <w:marTop w:val="0"/>
      <w:marBottom w:val="0"/>
      <w:divBdr>
        <w:top w:val="none" w:sz="0" w:space="0" w:color="auto"/>
        <w:left w:val="none" w:sz="0" w:space="0" w:color="auto"/>
        <w:bottom w:val="none" w:sz="0" w:space="0" w:color="auto"/>
        <w:right w:val="none" w:sz="0" w:space="0" w:color="auto"/>
      </w:divBdr>
      <w:divsChild>
        <w:div w:id="1828860799">
          <w:marLeft w:val="547"/>
          <w:marRight w:val="0"/>
          <w:marTop w:val="0"/>
          <w:marBottom w:val="0"/>
          <w:divBdr>
            <w:top w:val="none" w:sz="0" w:space="0" w:color="auto"/>
            <w:left w:val="none" w:sz="0" w:space="0" w:color="auto"/>
            <w:bottom w:val="none" w:sz="0" w:space="0" w:color="auto"/>
            <w:right w:val="none" w:sz="0" w:space="0" w:color="auto"/>
          </w:divBdr>
        </w:div>
      </w:divsChild>
    </w:div>
    <w:div w:id="604193426">
      <w:bodyDiv w:val="1"/>
      <w:marLeft w:val="0"/>
      <w:marRight w:val="0"/>
      <w:marTop w:val="0"/>
      <w:marBottom w:val="0"/>
      <w:divBdr>
        <w:top w:val="none" w:sz="0" w:space="0" w:color="auto"/>
        <w:left w:val="none" w:sz="0" w:space="0" w:color="auto"/>
        <w:bottom w:val="none" w:sz="0" w:space="0" w:color="auto"/>
        <w:right w:val="none" w:sz="0" w:space="0" w:color="auto"/>
      </w:divBdr>
      <w:divsChild>
        <w:div w:id="188227750">
          <w:marLeft w:val="547"/>
          <w:marRight w:val="0"/>
          <w:marTop w:val="0"/>
          <w:marBottom w:val="0"/>
          <w:divBdr>
            <w:top w:val="none" w:sz="0" w:space="0" w:color="auto"/>
            <w:left w:val="none" w:sz="0" w:space="0" w:color="auto"/>
            <w:bottom w:val="none" w:sz="0" w:space="0" w:color="auto"/>
            <w:right w:val="none" w:sz="0" w:space="0" w:color="auto"/>
          </w:divBdr>
        </w:div>
      </w:divsChild>
    </w:div>
    <w:div w:id="659389605">
      <w:bodyDiv w:val="1"/>
      <w:marLeft w:val="0"/>
      <w:marRight w:val="0"/>
      <w:marTop w:val="0"/>
      <w:marBottom w:val="0"/>
      <w:divBdr>
        <w:top w:val="none" w:sz="0" w:space="0" w:color="auto"/>
        <w:left w:val="none" w:sz="0" w:space="0" w:color="auto"/>
        <w:bottom w:val="none" w:sz="0" w:space="0" w:color="auto"/>
        <w:right w:val="none" w:sz="0" w:space="0" w:color="auto"/>
      </w:divBdr>
      <w:divsChild>
        <w:div w:id="975405006">
          <w:marLeft w:val="547"/>
          <w:marRight w:val="0"/>
          <w:marTop w:val="0"/>
          <w:marBottom w:val="0"/>
          <w:divBdr>
            <w:top w:val="none" w:sz="0" w:space="0" w:color="auto"/>
            <w:left w:val="none" w:sz="0" w:space="0" w:color="auto"/>
            <w:bottom w:val="none" w:sz="0" w:space="0" w:color="auto"/>
            <w:right w:val="none" w:sz="0" w:space="0" w:color="auto"/>
          </w:divBdr>
        </w:div>
      </w:divsChild>
    </w:div>
    <w:div w:id="680543632">
      <w:bodyDiv w:val="1"/>
      <w:marLeft w:val="0"/>
      <w:marRight w:val="0"/>
      <w:marTop w:val="0"/>
      <w:marBottom w:val="0"/>
      <w:divBdr>
        <w:top w:val="none" w:sz="0" w:space="0" w:color="auto"/>
        <w:left w:val="none" w:sz="0" w:space="0" w:color="auto"/>
        <w:bottom w:val="none" w:sz="0" w:space="0" w:color="auto"/>
        <w:right w:val="none" w:sz="0" w:space="0" w:color="auto"/>
      </w:divBdr>
      <w:divsChild>
        <w:div w:id="1857191736">
          <w:marLeft w:val="547"/>
          <w:marRight w:val="0"/>
          <w:marTop w:val="0"/>
          <w:marBottom w:val="0"/>
          <w:divBdr>
            <w:top w:val="none" w:sz="0" w:space="0" w:color="auto"/>
            <w:left w:val="none" w:sz="0" w:space="0" w:color="auto"/>
            <w:bottom w:val="none" w:sz="0" w:space="0" w:color="auto"/>
            <w:right w:val="none" w:sz="0" w:space="0" w:color="auto"/>
          </w:divBdr>
        </w:div>
      </w:divsChild>
    </w:div>
    <w:div w:id="739595855">
      <w:bodyDiv w:val="1"/>
      <w:marLeft w:val="0"/>
      <w:marRight w:val="0"/>
      <w:marTop w:val="0"/>
      <w:marBottom w:val="0"/>
      <w:divBdr>
        <w:top w:val="none" w:sz="0" w:space="0" w:color="auto"/>
        <w:left w:val="none" w:sz="0" w:space="0" w:color="auto"/>
        <w:bottom w:val="none" w:sz="0" w:space="0" w:color="auto"/>
        <w:right w:val="none" w:sz="0" w:space="0" w:color="auto"/>
      </w:divBdr>
      <w:divsChild>
        <w:div w:id="883952799">
          <w:marLeft w:val="547"/>
          <w:marRight w:val="0"/>
          <w:marTop w:val="0"/>
          <w:marBottom w:val="0"/>
          <w:divBdr>
            <w:top w:val="none" w:sz="0" w:space="0" w:color="auto"/>
            <w:left w:val="none" w:sz="0" w:space="0" w:color="auto"/>
            <w:bottom w:val="none" w:sz="0" w:space="0" w:color="auto"/>
            <w:right w:val="none" w:sz="0" w:space="0" w:color="auto"/>
          </w:divBdr>
        </w:div>
      </w:divsChild>
    </w:div>
    <w:div w:id="787355268">
      <w:bodyDiv w:val="1"/>
      <w:marLeft w:val="0"/>
      <w:marRight w:val="0"/>
      <w:marTop w:val="0"/>
      <w:marBottom w:val="0"/>
      <w:divBdr>
        <w:top w:val="none" w:sz="0" w:space="0" w:color="auto"/>
        <w:left w:val="none" w:sz="0" w:space="0" w:color="auto"/>
        <w:bottom w:val="none" w:sz="0" w:space="0" w:color="auto"/>
        <w:right w:val="none" w:sz="0" w:space="0" w:color="auto"/>
      </w:divBdr>
      <w:divsChild>
        <w:div w:id="801776670">
          <w:marLeft w:val="547"/>
          <w:marRight w:val="0"/>
          <w:marTop w:val="0"/>
          <w:marBottom w:val="0"/>
          <w:divBdr>
            <w:top w:val="none" w:sz="0" w:space="0" w:color="auto"/>
            <w:left w:val="none" w:sz="0" w:space="0" w:color="auto"/>
            <w:bottom w:val="none" w:sz="0" w:space="0" w:color="auto"/>
            <w:right w:val="none" w:sz="0" w:space="0" w:color="auto"/>
          </w:divBdr>
        </w:div>
      </w:divsChild>
    </w:div>
    <w:div w:id="795367401">
      <w:bodyDiv w:val="1"/>
      <w:marLeft w:val="0"/>
      <w:marRight w:val="0"/>
      <w:marTop w:val="0"/>
      <w:marBottom w:val="0"/>
      <w:divBdr>
        <w:top w:val="none" w:sz="0" w:space="0" w:color="auto"/>
        <w:left w:val="none" w:sz="0" w:space="0" w:color="auto"/>
        <w:bottom w:val="none" w:sz="0" w:space="0" w:color="auto"/>
        <w:right w:val="none" w:sz="0" w:space="0" w:color="auto"/>
      </w:divBdr>
      <w:divsChild>
        <w:div w:id="798694126">
          <w:marLeft w:val="547"/>
          <w:marRight w:val="0"/>
          <w:marTop w:val="0"/>
          <w:marBottom w:val="0"/>
          <w:divBdr>
            <w:top w:val="none" w:sz="0" w:space="0" w:color="auto"/>
            <w:left w:val="none" w:sz="0" w:space="0" w:color="auto"/>
            <w:bottom w:val="none" w:sz="0" w:space="0" w:color="auto"/>
            <w:right w:val="none" w:sz="0" w:space="0" w:color="auto"/>
          </w:divBdr>
        </w:div>
      </w:divsChild>
    </w:div>
    <w:div w:id="809638912">
      <w:bodyDiv w:val="1"/>
      <w:marLeft w:val="0"/>
      <w:marRight w:val="0"/>
      <w:marTop w:val="0"/>
      <w:marBottom w:val="0"/>
      <w:divBdr>
        <w:top w:val="none" w:sz="0" w:space="0" w:color="auto"/>
        <w:left w:val="none" w:sz="0" w:space="0" w:color="auto"/>
        <w:bottom w:val="none" w:sz="0" w:space="0" w:color="auto"/>
        <w:right w:val="none" w:sz="0" w:space="0" w:color="auto"/>
      </w:divBdr>
      <w:divsChild>
        <w:div w:id="1247347320">
          <w:marLeft w:val="547"/>
          <w:marRight w:val="0"/>
          <w:marTop w:val="0"/>
          <w:marBottom w:val="0"/>
          <w:divBdr>
            <w:top w:val="none" w:sz="0" w:space="0" w:color="auto"/>
            <w:left w:val="none" w:sz="0" w:space="0" w:color="auto"/>
            <w:bottom w:val="none" w:sz="0" w:space="0" w:color="auto"/>
            <w:right w:val="none" w:sz="0" w:space="0" w:color="auto"/>
          </w:divBdr>
        </w:div>
      </w:divsChild>
    </w:div>
    <w:div w:id="857701377">
      <w:bodyDiv w:val="1"/>
      <w:marLeft w:val="0"/>
      <w:marRight w:val="0"/>
      <w:marTop w:val="0"/>
      <w:marBottom w:val="0"/>
      <w:divBdr>
        <w:top w:val="none" w:sz="0" w:space="0" w:color="auto"/>
        <w:left w:val="none" w:sz="0" w:space="0" w:color="auto"/>
        <w:bottom w:val="none" w:sz="0" w:space="0" w:color="auto"/>
        <w:right w:val="none" w:sz="0" w:space="0" w:color="auto"/>
      </w:divBdr>
      <w:divsChild>
        <w:div w:id="1252081226">
          <w:marLeft w:val="547"/>
          <w:marRight w:val="0"/>
          <w:marTop w:val="0"/>
          <w:marBottom w:val="0"/>
          <w:divBdr>
            <w:top w:val="none" w:sz="0" w:space="0" w:color="auto"/>
            <w:left w:val="none" w:sz="0" w:space="0" w:color="auto"/>
            <w:bottom w:val="none" w:sz="0" w:space="0" w:color="auto"/>
            <w:right w:val="none" w:sz="0" w:space="0" w:color="auto"/>
          </w:divBdr>
        </w:div>
        <w:div w:id="1024673095">
          <w:marLeft w:val="547"/>
          <w:marRight w:val="0"/>
          <w:marTop w:val="0"/>
          <w:marBottom w:val="0"/>
          <w:divBdr>
            <w:top w:val="none" w:sz="0" w:space="0" w:color="auto"/>
            <w:left w:val="none" w:sz="0" w:space="0" w:color="auto"/>
            <w:bottom w:val="none" w:sz="0" w:space="0" w:color="auto"/>
            <w:right w:val="none" w:sz="0" w:space="0" w:color="auto"/>
          </w:divBdr>
        </w:div>
        <w:div w:id="1870410874">
          <w:marLeft w:val="547"/>
          <w:marRight w:val="0"/>
          <w:marTop w:val="0"/>
          <w:marBottom w:val="0"/>
          <w:divBdr>
            <w:top w:val="none" w:sz="0" w:space="0" w:color="auto"/>
            <w:left w:val="none" w:sz="0" w:space="0" w:color="auto"/>
            <w:bottom w:val="none" w:sz="0" w:space="0" w:color="auto"/>
            <w:right w:val="none" w:sz="0" w:space="0" w:color="auto"/>
          </w:divBdr>
        </w:div>
        <w:div w:id="250899434">
          <w:marLeft w:val="547"/>
          <w:marRight w:val="0"/>
          <w:marTop w:val="0"/>
          <w:marBottom w:val="0"/>
          <w:divBdr>
            <w:top w:val="none" w:sz="0" w:space="0" w:color="auto"/>
            <w:left w:val="none" w:sz="0" w:space="0" w:color="auto"/>
            <w:bottom w:val="none" w:sz="0" w:space="0" w:color="auto"/>
            <w:right w:val="none" w:sz="0" w:space="0" w:color="auto"/>
          </w:divBdr>
        </w:div>
        <w:div w:id="1474639004">
          <w:marLeft w:val="547"/>
          <w:marRight w:val="0"/>
          <w:marTop w:val="0"/>
          <w:marBottom w:val="0"/>
          <w:divBdr>
            <w:top w:val="none" w:sz="0" w:space="0" w:color="auto"/>
            <w:left w:val="none" w:sz="0" w:space="0" w:color="auto"/>
            <w:bottom w:val="none" w:sz="0" w:space="0" w:color="auto"/>
            <w:right w:val="none" w:sz="0" w:space="0" w:color="auto"/>
          </w:divBdr>
        </w:div>
        <w:div w:id="259148178">
          <w:marLeft w:val="547"/>
          <w:marRight w:val="0"/>
          <w:marTop w:val="0"/>
          <w:marBottom w:val="0"/>
          <w:divBdr>
            <w:top w:val="none" w:sz="0" w:space="0" w:color="auto"/>
            <w:left w:val="none" w:sz="0" w:space="0" w:color="auto"/>
            <w:bottom w:val="none" w:sz="0" w:space="0" w:color="auto"/>
            <w:right w:val="none" w:sz="0" w:space="0" w:color="auto"/>
          </w:divBdr>
        </w:div>
        <w:div w:id="42876870">
          <w:marLeft w:val="547"/>
          <w:marRight w:val="0"/>
          <w:marTop w:val="0"/>
          <w:marBottom w:val="0"/>
          <w:divBdr>
            <w:top w:val="none" w:sz="0" w:space="0" w:color="auto"/>
            <w:left w:val="none" w:sz="0" w:space="0" w:color="auto"/>
            <w:bottom w:val="none" w:sz="0" w:space="0" w:color="auto"/>
            <w:right w:val="none" w:sz="0" w:space="0" w:color="auto"/>
          </w:divBdr>
        </w:div>
      </w:divsChild>
    </w:div>
    <w:div w:id="884490958">
      <w:bodyDiv w:val="1"/>
      <w:marLeft w:val="0"/>
      <w:marRight w:val="0"/>
      <w:marTop w:val="0"/>
      <w:marBottom w:val="0"/>
      <w:divBdr>
        <w:top w:val="none" w:sz="0" w:space="0" w:color="auto"/>
        <w:left w:val="none" w:sz="0" w:space="0" w:color="auto"/>
        <w:bottom w:val="none" w:sz="0" w:space="0" w:color="auto"/>
        <w:right w:val="none" w:sz="0" w:space="0" w:color="auto"/>
      </w:divBdr>
      <w:divsChild>
        <w:div w:id="802890879">
          <w:marLeft w:val="547"/>
          <w:marRight w:val="0"/>
          <w:marTop w:val="0"/>
          <w:marBottom w:val="0"/>
          <w:divBdr>
            <w:top w:val="none" w:sz="0" w:space="0" w:color="auto"/>
            <w:left w:val="none" w:sz="0" w:space="0" w:color="auto"/>
            <w:bottom w:val="none" w:sz="0" w:space="0" w:color="auto"/>
            <w:right w:val="none" w:sz="0" w:space="0" w:color="auto"/>
          </w:divBdr>
        </w:div>
      </w:divsChild>
    </w:div>
    <w:div w:id="1130322189">
      <w:bodyDiv w:val="1"/>
      <w:marLeft w:val="0"/>
      <w:marRight w:val="0"/>
      <w:marTop w:val="0"/>
      <w:marBottom w:val="0"/>
      <w:divBdr>
        <w:top w:val="none" w:sz="0" w:space="0" w:color="auto"/>
        <w:left w:val="none" w:sz="0" w:space="0" w:color="auto"/>
        <w:bottom w:val="none" w:sz="0" w:space="0" w:color="auto"/>
        <w:right w:val="none" w:sz="0" w:space="0" w:color="auto"/>
      </w:divBdr>
      <w:divsChild>
        <w:div w:id="342825667">
          <w:marLeft w:val="547"/>
          <w:marRight w:val="0"/>
          <w:marTop w:val="0"/>
          <w:marBottom w:val="0"/>
          <w:divBdr>
            <w:top w:val="none" w:sz="0" w:space="0" w:color="auto"/>
            <w:left w:val="none" w:sz="0" w:space="0" w:color="auto"/>
            <w:bottom w:val="none" w:sz="0" w:space="0" w:color="auto"/>
            <w:right w:val="none" w:sz="0" w:space="0" w:color="auto"/>
          </w:divBdr>
        </w:div>
      </w:divsChild>
    </w:div>
    <w:div w:id="1212302301">
      <w:bodyDiv w:val="1"/>
      <w:marLeft w:val="0"/>
      <w:marRight w:val="0"/>
      <w:marTop w:val="0"/>
      <w:marBottom w:val="0"/>
      <w:divBdr>
        <w:top w:val="none" w:sz="0" w:space="0" w:color="auto"/>
        <w:left w:val="none" w:sz="0" w:space="0" w:color="auto"/>
        <w:bottom w:val="none" w:sz="0" w:space="0" w:color="auto"/>
        <w:right w:val="none" w:sz="0" w:space="0" w:color="auto"/>
      </w:divBdr>
    </w:div>
    <w:div w:id="1294289677">
      <w:bodyDiv w:val="1"/>
      <w:marLeft w:val="0"/>
      <w:marRight w:val="0"/>
      <w:marTop w:val="0"/>
      <w:marBottom w:val="0"/>
      <w:divBdr>
        <w:top w:val="none" w:sz="0" w:space="0" w:color="auto"/>
        <w:left w:val="none" w:sz="0" w:space="0" w:color="auto"/>
        <w:bottom w:val="none" w:sz="0" w:space="0" w:color="auto"/>
        <w:right w:val="none" w:sz="0" w:space="0" w:color="auto"/>
      </w:divBdr>
    </w:div>
    <w:div w:id="1363437965">
      <w:bodyDiv w:val="1"/>
      <w:marLeft w:val="0"/>
      <w:marRight w:val="0"/>
      <w:marTop w:val="0"/>
      <w:marBottom w:val="0"/>
      <w:divBdr>
        <w:top w:val="none" w:sz="0" w:space="0" w:color="auto"/>
        <w:left w:val="none" w:sz="0" w:space="0" w:color="auto"/>
        <w:bottom w:val="none" w:sz="0" w:space="0" w:color="auto"/>
        <w:right w:val="none" w:sz="0" w:space="0" w:color="auto"/>
      </w:divBdr>
      <w:divsChild>
        <w:div w:id="1034158976">
          <w:marLeft w:val="547"/>
          <w:marRight w:val="0"/>
          <w:marTop w:val="0"/>
          <w:marBottom w:val="0"/>
          <w:divBdr>
            <w:top w:val="none" w:sz="0" w:space="0" w:color="auto"/>
            <w:left w:val="none" w:sz="0" w:space="0" w:color="auto"/>
            <w:bottom w:val="none" w:sz="0" w:space="0" w:color="auto"/>
            <w:right w:val="none" w:sz="0" w:space="0" w:color="auto"/>
          </w:divBdr>
        </w:div>
      </w:divsChild>
    </w:div>
    <w:div w:id="1386182551">
      <w:bodyDiv w:val="1"/>
      <w:marLeft w:val="0"/>
      <w:marRight w:val="0"/>
      <w:marTop w:val="0"/>
      <w:marBottom w:val="0"/>
      <w:divBdr>
        <w:top w:val="none" w:sz="0" w:space="0" w:color="auto"/>
        <w:left w:val="none" w:sz="0" w:space="0" w:color="auto"/>
        <w:bottom w:val="none" w:sz="0" w:space="0" w:color="auto"/>
        <w:right w:val="none" w:sz="0" w:space="0" w:color="auto"/>
      </w:divBdr>
      <w:divsChild>
        <w:div w:id="1623269494">
          <w:marLeft w:val="547"/>
          <w:marRight w:val="0"/>
          <w:marTop w:val="0"/>
          <w:marBottom w:val="0"/>
          <w:divBdr>
            <w:top w:val="none" w:sz="0" w:space="0" w:color="auto"/>
            <w:left w:val="none" w:sz="0" w:space="0" w:color="auto"/>
            <w:bottom w:val="none" w:sz="0" w:space="0" w:color="auto"/>
            <w:right w:val="none" w:sz="0" w:space="0" w:color="auto"/>
          </w:divBdr>
        </w:div>
      </w:divsChild>
    </w:div>
    <w:div w:id="1446148207">
      <w:bodyDiv w:val="1"/>
      <w:marLeft w:val="0"/>
      <w:marRight w:val="0"/>
      <w:marTop w:val="0"/>
      <w:marBottom w:val="0"/>
      <w:divBdr>
        <w:top w:val="none" w:sz="0" w:space="0" w:color="auto"/>
        <w:left w:val="none" w:sz="0" w:space="0" w:color="auto"/>
        <w:bottom w:val="none" w:sz="0" w:space="0" w:color="auto"/>
        <w:right w:val="none" w:sz="0" w:space="0" w:color="auto"/>
      </w:divBdr>
      <w:divsChild>
        <w:div w:id="1369647616">
          <w:marLeft w:val="547"/>
          <w:marRight w:val="0"/>
          <w:marTop w:val="0"/>
          <w:marBottom w:val="0"/>
          <w:divBdr>
            <w:top w:val="none" w:sz="0" w:space="0" w:color="auto"/>
            <w:left w:val="none" w:sz="0" w:space="0" w:color="auto"/>
            <w:bottom w:val="none" w:sz="0" w:space="0" w:color="auto"/>
            <w:right w:val="none" w:sz="0" w:space="0" w:color="auto"/>
          </w:divBdr>
        </w:div>
        <w:div w:id="1159537825">
          <w:marLeft w:val="547"/>
          <w:marRight w:val="0"/>
          <w:marTop w:val="0"/>
          <w:marBottom w:val="0"/>
          <w:divBdr>
            <w:top w:val="none" w:sz="0" w:space="0" w:color="auto"/>
            <w:left w:val="none" w:sz="0" w:space="0" w:color="auto"/>
            <w:bottom w:val="none" w:sz="0" w:space="0" w:color="auto"/>
            <w:right w:val="none" w:sz="0" w:space="0" w:color="auto"/>
          </w:divBdr>
        </w:div>
        <w:div w:id="1125924225">
          <w:marLeft w:val="547"/>
          <w:marRight w:val="0"/>
          <w:marTop w:val="0"/>
          <w:marBottom w:val="0"/>
          <w:divBdr>
            <w:top w:val="none" w:sz="0" w:space="0" w:color="auto"/>
            <w:left w:val="none" w:sz="0" w:space="0" w:color="auto"/>
            <w:bottom w:val="none" w:sz="0" w:space="0" w:color="auto"/>
            <w:right w:val="none" w:sz="0" w:space="0" w:color="auto"/>
          </w:divBdr>
        </w:div>
        <w:div w:id="1274171067">
          <w:marLeft w:val="547"/>
          <w:marRight w:val="0"/>
          <w:marTop w:val="0"/>
          <w:marBottom w:val="0"/>
          <w:divBdr>
            <w:top w:val="none" w:sz="0" w:space="0" w:color="auto"/>
            <w:left w:val="none" w:sz="0" w:space="0" w:color="auto"/>
            <w:bottom w:val="none" w:sz="0" w:space="0" w:color="auto"/>
            <w:right w:val="none" w:sz="0" w:space="0" w:color="auto"/>
          </w:divBdr>
        </w:div>
        <w:div w:id="1609461536">
          <w:marLeft w:val="547"/>
          <w:marRight w:val="0"/>
          <w:marTop w:val="0"/>
          <w:marBottom w:val="0"/>
          <w:divBdr>
            <w:top w:val="none" w:sz="0" w:space="0" w:color="auto"/>
            <w:left w:val="none" w:sz="0" w:space="0" w:color="auto"/>
            <w:bottom w:val="none" w:sz="0" w:space="0" w:color="auto"/>
            <w:right w:val="none" w:sz="0" w:space="0" w:color="auto"/>
          </w:divBdr>
        </w:div>
      </w:divsChild>
    </w:div>
    <w:div w:id="1503425119">
      <w:bodyDiv w:val="1"/>
      <w:marLeft w:val="0"/>
      <w:marRight w:val="0"/>
      <w:marTop w:val="0"/>
      <w:marBottom w:val="0"/>
      <w:divBdr>
        <w:top w:val="none" w:sz="0" w:space="0" w:color="auto"/>
        <w:left w:val="none" w:sz="0" w:space="0" w:color="auto"/>
        <w:bottom w:val="none" w:sz="0" w:space="0" w:color="auto"/>
        <w:right w:val="none" w:sz="0" w:space="0" w:color="auto"/>
      </w:divBdr>
      <w:divsChild>
        <w:div w:id="503477599">
          <w:marLeft w:val="547"/>
          <w:marRight w:val="0"/>
          <w:marTop w:val="0"/>
          <w:marBottom w:val="0"/>
          <w:divBdr>
            <w:top w:val="none" w:sz="0" w:space="0" w:color="auto"/>
            <w:left w:val="none" w:sz="0" w:space="0" w:color="auto"/>
            <w:bottom w:val="none" w:sz="0" w:space="0" w:color="auto"/>
            <w:right w:val="none" w:sz="0" w:space="0" w:color="auto"/>
          </w:divBdr>
        </w:div>
      </w:divsChild>
    </w:div>
    <w:div w:id="1827163194">
      <w:bodyDiv w:val="1"/>
      <w:marLeft w:val="0"/>
      <w:marRight w:val="0"/>
      <w:marTop w:val="0"/>
      <w:marBottom w:val="0"/>
      <w:divBdr>
        <w:top w:val="none" w:sz="0" w:space="0" w:color="auto"/>
        <w:left w:val="none" w:sz="0" w:space="0" w:color="auto"/>
        <w:bottom w:val="none" w:sz="0" w:space="0" w:color="auto"/>
        <w:right w:val="none" w:sz="0" w:space="0" w:color="auto"/>
      </w:divBdr>
      <w:divsChild>
        <w:div w:id="1298994167">
          <w:marLeft w:val="547"/>
          <w:marRight w:val="0"/>
          <w:marTop w:val="0"/>
          <w:marBottom w:val="0"/>
          <w:divBdr>
            <w:top w:val="none" w:sz="0" w:space="0" w:color="auto"/>
            <w:left w:val="none" w:sz="0" w:space="0" w:color="auto"/>
            <w:bottom w:val="none" w:sz="0" w:space="0" w:color="auto"/>
            <w:right w:val="none" w:sz="0" w:space="0" w:color="auto"/>
          </w:divBdr>
        </w:div>
      </w:divsChild>
    </w:div>
    <w:div w:id="1853255224">
      <w:bodyDiv w:val="1"/>
      <w:marLeft w:val="0"/>
      <w:marRight w:val="0"/>
      <w:marTop w:val="0"/>
      <w:marBottom w:val="0"/>
      <w:divBdr>
        <w:top w:val="none" w:sz="0" w:space="0" w:color="auto"/>
        <w:left w:val="none" w:sz="0" w:space="0" w:color="auto"/>
        <w:bottom w:val="none" w:sz="0" w:space="0" w:color="auto"/>
        <w:right w:val="none" w:sz="0" w:space="0" w:color="auto"/>
      </w:divBdr>
      <w:divsChild>
        <w:div w:id="10154220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39.xml"/><Relationship Id="rId63" Type="http://schemas.openxmlformats.org/officeDocument/2006/relationships/chart" Target="charts/chart47.xml"/><Relationship Id="rId68" Type="http://schemas.openxmlformats.org/officeDocument/2006/relationships/image" Target="media/image9.emf"/><Relationship Id="rId76" Type="http://schemas.openxmlformats.org/officeDocument/2006/relationships/diagramQuickStyle" Target="diagrams/quickStyle2.xml"/><Relationship Id="rId84" Type="http://schemas.openxmlformats.org/officeDocument/2006/relationships/image" Target="media/image18.png"/><Relationship Id="rId89" Type="http://schemas.openxmlformats.org/officeDocument/2006/relationships/footer" Target="footer2.xm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diagramQuickStyle" Target="diagrams/quickStyle1.xml"/><Relationship Id="rId92" Type="http://schemas.openxmlformats.org/officeDocument/2006/relationships/hyperlink" Target="https://opolelubelskie.pl/aktualnosc/konsultacje-spo%C5%82eczne-projektu-strategii-rozwoju-gminy"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2.xml"/><Relationship Id="rId66" Type="http://schemas.openxmlformats.org/officeDocument/2006/relationships/hyperlink" Target="http://www.funduszeeuropejskie.gov.pl" TargetMode="External"/><Relationship Id="rId74" Type="http://schemas.openxmlformats.org/officeDocument/2006/relationships/diagramData" Target="diagrams/data2.xml"/><Relationship Id="rId79" Type="http://schemas.openxmlformats.org/officeDocument/2006/relationships/image" Target="media/image15.png"/><Relationship Id="rId87"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chart" Target="charts/chart45.xml"/><Relationship Id="rId82" Type="http://schemas.openxmlformats.org/officeDocument/2006/relationships/image" Target="media/image16.jpeg"/><Relationship Id="rId90" Type="http://schemas.openxmlformats.org/officeDocument/2006/relationships/header" Target="header3.xml"/><Relationship Id="rId95" Type="http://schemas.openxmlformats.org/officeDocument/2006/relationships/header" Target="header4.xml"/><Relationship Id="rId19" Type="http://schemas.openxmlformats.org/officeDocument/2006/relationships/chart" Target="charts/chart5.xml"/><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diagramData" Target="diagrams/data1.xml"/><Relationship Id="rId77" Type="http://schemas.openxmlformats.org/officeDocument/2006/relationships/diagramColors" Target="diagrams/colors2.xml"/><Relationship Id="rId8" Type="http://schemas.openxmlformats.org/officeDocument/2006/relationships/image" Target="media/image1.png"/><Relationship Id="rId51" Type="http://schemas.openxmlformats.org/officeDocument/2006/relationships/chart" Target="charts/chart36.xml"/><Relationship Id="rId72" Type="http://schemas.openxmlformats.org/officeDocument/2006/relationships/diagramColors" Target="diagrams/colors1.xml"/><Relationship Id="rId80" Type="http://schemas.openxmlformats.org/officeDocument/2006/relationships/header" Target="header1.xml"/><Relationship Id="rId85" Type="http://schemas.openxmlformats.org/officeDocument/2006/relationships/image" Target="media/image19.png"/><Relationship Id="rId93" Type="http://schemas.openxmlformats.org/officeDocument/2006/relationships/hyperlink" Target="mailto:sekretariat@opolelubelskie.pl"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3.xml"/><Relationship Id="rId67" Type="http://schemas.openxmlformats.org/officeDocument/2006/relationships/hyperlink" Target="https://www.opolelubelskie.pl/" TargetMode="External"/><Relationship Id="rId20" Type="http://schemas.openxmlformats.org/officeDocument/2006/relationships/chart" Target="charts/chart6.xml"/><Relationship Id="rId41" Type="http://schemas.openxmlformats.org/officeDocument/2006/relationships/chart" Target="charts/chart26.xml"/><Relationship Id="rId54" Type="http://schemas.openxmlformats.org/officeDocument/2006/relationships/hyperlink" Target="https://www.opole.lublin.pl/aktualnosc-193-oferta_edukacyjna_szkol_i_placowek.html" TargetMode="External"/><Relationship Id="rId62" Type="http://schemas.openxmlformats.org/officeDocument/2006/relationships/chart" Target="charts/chart46.xml"/><Relationship Id="rId70" Type="http://schemas.openxmlformats.org/officeDocument/2006/relationships/diagramLayout" Target="diagrams/layout1.xml"/><Relationship Id="rId75" Type="http://schemas.openxmlformats.org/officeDocument/2006/relationships/diagramLayout" Target="diagrams/layout2.xml"/><Relationship Id="rId83" Type="http://schemas.openxmlformats.org/officeDocument/2006/relationships/image" Target="media/image17.jpg"/><Relationship Id="rId88" Type="http://schemas.openxmlformats.org/officeDocument/2006/relationships/header" Target="header2.xml"/><Relationship Id="rId91" Type="http://schemas.openxmlformats.org/officeDocument/2006/relationships/footer" Target="footer3.xm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8.jpeg"/><Relationship Id="rId49" Type="http://schemas.openxmlformats.org/officeDocument/2006/relationships/chart" Target="charts/chart34.xml"/><Relationship Id="rId57" Type="http://schemas.openxmlformats.org/officeDocument/2006/relationships/chart" Target="charts/chart41.xml"/><Relationship Id="rId10" Type="http://schemas.openxmlformats.org/officeDocument/2006/relationships/image" Target="media/image3.jpeg"/><Relationship Id="rId31" Type="http://schemas.openxmlformats.org/officeDocument/2006/relationships/chart" Target="charts/chart17.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4.xml"/><Relationship Id="rId65" Type="http://schemas.openxmlformats.org/officeDocument/2006/relationships/chart" Target="charts/chart49.xml"/><Relationship Id="rId73" Type="http://schemas.microsoft.com/office/2007/relationships/diagramDrawing" Target="diagrams/drawing1.xml"/><Relationship Id="rId78" Type="http://schemas.microsoft.com/office/2007/relationships/diagramDrawing" Target="diagrams/drawing2.xml"/><Relationship Id="rId81" Type="http://schemas.openxmlformats.org/officeDocument/2006/relationships/footer" Target="footer1.xml"/><Relationship Id="rId86" Type="http://schemas.openxmlformats.org/officeDocument/2006/relationships/image" Target="media/image20.png"/><Relationship Id="rId94" Type="http://schemas.openxmlformats.org/officeDocument/2006/relationships/hyperlink" Target="https://opolelubelskie.pl/aktualnosc/konsultacje-spo%C5%82eczne-prognozy-oddzia%C5%82ywania-na-%C5%9Brodowisko"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4.xml"/><Relationship Id="rId39" Type="http://schemas.openxmlformats.org/officeDocument/2006/relationships/chart" Target="charts/chart2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0.10299125285750571"/>
          <c:w val="0.90190827863822176"/>
          <c:h val="0.72742791413599761"/>
        </c:manualLayout>
      </c:layout>
      <c:barChart>
        <c:barDir val="col"/>
        <c:grouping val="clustered"/>
        <c:varyColors val="0"/>
        <c:ser>
          <c:idx val="0"/>
          <c:order val="0"/>
          <c:tx>
            <c:strRef>
              <c:f>TABLICA!$B$2</c:f>
              <c:strCache>
                <c:ptCount val="1"/>
                <c:pt idx="0">
                  <c:v>Opole Lubelskie</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TABLICA!$C$1:$L$1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TABLICA!$C$2:$L$2</c:f>
              <c:numCache>
                <c:formatCode>#,##0</c:formatCode>
                <c:ptCount val="10"/>
                <c:pt idx="0">
                  <c:v>17719</c:v>
                </c:pt>
                <c:pt idx="1">
                  <c:v>17633</c:v>
                </c:pt>
                <c:pt idx="2">
                  <c:v>17507</c:v>
                </c:pt>
                <c:pt idx="3">
                  <c:v>17413</c:v>
                </c:pt>
                <c:pt idx="4">
                  <c:v>17234</c:v>
                </c:pt>
                <c:pt idx="5">
                  <c:v>17108</c:v>
                </c:pt>
                <c:pt idx="6">
                  <c:v>16692</c:v>
                </c:pt>
                <c:pt idx="7">
                  <c:v>16537</c:v>
                </c:pt>
                <c:pt idx="8">
                  <c:v>16337</c:v>
                </c:pt>
                <c:pt idx="9">
                  <c:v>16189</c:v>
                </c:pt>
              </c:numCache>
            </c:numRef>
          </c:val>
          <c:extLst xmlns:c16r2="http://schemas.microsoft.com/office/drawing/2015/06/chart">
            <c:ext xmlns:c16="http://schemas.microsoft.com/office/drawing/2014/chart" uri="{C3380CC4-5D6E-409C-BE32-E72D297353CC}">
              <c16:uniqueId val="{00000000-D331-4586-B29B-D7E284B903B5}"/>
            </c:ext>
          </c:extLst>
        </c:ser>
        <c:ser>
          <c:idx val="1"/>
          <c:order val="1"/>
          <c:tx>
            <c:strRef>
              <c:f>TABLICA!$B$3</c:f>
              <c:strCache>
                <c:ptCount val="1"/>
                <c:pt idx="0">
                  <c:v>Opole Lubelskie - miasto</c:v>
                </c:pt>
              </c:strCache>
            </c:strRef>
          </c:tx>
          <c:spPr>
            <a:solidFill>
              <a:srgbClr val="ED7D31">
                <a:lumMod val="60000"/>
                <a:lumOff val="40000"/>
              </a:srgb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TABLICA!$C$3:$L$3</c:f>
              <c:numCache>
                <c:formatCode>#,##0</c:formatCode>
                <c:ptCount val="10"/>
                <c:pt idx="0">
                  <c:v>8792</c:v>
                </c:pt>
                <c:pt idx="1">
                  <c:v>8734</c:v>
                </c:pt>
                <c:pt idx="2">
                  <c:v>8673</c:v>
                </c:pt>
                <c:pt idx="3">
                  <c:v>8605</c:v>
                </c:pt>
                <c:pt idx="4">
                  <c:v>8470</c:v>
                </c:pt>
                <c:pt idx="5">
                  <c:v>8388</c:v>
                </c:pt>
                <c:pt idx="6">
                  <c:v>8178</c:v>
                </c:pt>
                <c:pt idx="7">
                  <c:v>8103</c:v>
                </c:pt>
                <c:pt idx="8">
                  <c:v>7954</c:v>
                </c:pt>
                <c:pt idx="9">
                  <c:v>7864</c:v>
                </c:pt>
              </c:numCache>
            </c:numRef>
          </c:val>
          <c:extLst xmlns:c16r2="http://schemas.microsoft.com/office/drawing/2015/06/chart">
            <c:ext xmlns:c16="http://schemas.microsoft.com/office/drawing/2014/chart" uri="{C3380CC4-5D6E-409C-BE32-E72D297353CC}">
              <c16:uniqueId val="{00000001-D331-4586-B29B-D7E284B903B5}"/>
            </c:ext>
          </c:extLst>
        </c:ser>
        <c:ser>
          <c:idx val="2"/>
          <c:order val="2"/>
          <c:tx>
            <c:strRef>
              <c:f>TABLICA!$B$4</c:f>
              <c:strCache>
                <c:ptCount val="1"/>
                <c:pt idx="0">
                  <c:v>Opole Lubelskie - obszar wiejski</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TABLICA!$C$4:$L$4</c:f>
              <c:numCache>
                <c:formatCode>#,##0</c:formatCode>
                <c:ptCount val="10"/>
                <c:pt idx="0">
                  <c:v>8927</c:v>
                </c:pt>
                <c:pt idx="1">
                  <c:v>8899</c:v>
                </c:pt>
                <c:pt idx="2">
                  <c:v>8834</c:v>
                </c:pt>
                <c:pt idx="3">
                  <c:v>8808</c:v>
                </c:pt>
                <c:pt idx="4">
                  <c:v>8764</c:v>
                </c:pt>
                <c:pt idx="5">
                  <c:v>8720</c:v>
                </c:pt>
                <c:pt idx="6">
                  <c:v>8514</c:v>
                </c:pt>
                <c:pt idx="7">
                  <c:v>8434</c:v>
                </c:pt>
                <c:pt idx="8">
                  <c:v>8383</c:v>
                </c:pt>
                <c:pt idx="9">
                  <c:v>8325</c:v>
                </c:pt>
              </c:numCache>
            </c:numRef>
          </c:val>
          <c:extLst xmlns:c16r2="http://schemas.microsoft.com/office/drawing/2015/06/chart">
            <c:ext xmlns:c16="http://schemas.microsoft.com/office/drawing/2014/chart" uri="{C3380CC4-5D6E-409C-BE32-E72D297353CC}">
              <c16:uniqueId val="{00000002-D331-4586-B29B-D7E284B903B5}"/>
            </c:ext>
          </c:extLst>
        </c:ser>
        <c:dLbls>
          <c:dLblPos val="outEnd"/>
          <c:showLegendKey val="0"/>
          <c:showVal val="1"/>
          <c:showCatName val="0"/>
          <c:showSerName val="0"/>
          <c:showPercent val="0"/>
          <c:showBubbleSize val="0"/>
        </c:dLbls>
        <c:gapWidth val="100"/>
        <c:overlap val="-24"/>
        <c:axId val="349944960"/>
        <c:axId val="349961744"/>
      </c:barChart>
      <c:catAx>
        <c:axId val="349944960"/>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49961744"/>
        <c:crosses val="autoZero"/>
        <c:auto val="1"/>
        <c:lblAlgn val="ctr"/>
        <c:lblOffset val="100"/>
        <c:noMultiLvlLbl val="0"/>
      </c:catAx>
      <c:valAx>
        <c:axId val="34996174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49944960"/>
        <c:crosses val="autoZero"/>
        <c:crossBetween val="between"/>
      </c:valAx>
      <c:spPr>
        <a:noFill/>
        <a:ln>
          <a:noFill/>
        </a:ln>
        <a:effectLst/>
      </c:spPr>
    </c:plotArea>
    <c:legend>
      <c:legendPos val="b"/>
      <c:layout>
        <c:manualLayout>
          <c:xMode val="edge"/>
          <c:yMode val="edge"/>
          <c:x val="7.714868974711496E-2"/>
          <c:y val="0.92060636033763243"/>
          <c:w val="0.90037929286616947"/>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9088975509832E-2"/>
          <c:y val="7.8125546806649182E-2"/>
          <c:w val="0.8848535884502855"/>
          <c:h val="0.70283786862563147"/>
        </c:manualLayout>
      </c:layout>
      <c:barChart>
        <c:barDir val="bar"/>
        <c:grouping val="stacked"/>
        <c:varyColors val="0"/>
        <c:ser>
          <c:idx val="0"/>
          <c:order val="0"/>
          <c:tx>
            <c:strRef>
              <c:f>'TABLICA (2)'!$B$3</c:f>
              <c:strCache>
                <c:ptCount val="1"/>
                <c:pt idx="0">
                  <c:v>mężczyźni</c:v>
                </c:pt>
              </c:strCache>
            </c:strRef>
          </c:tx>
          <c:spPr>
            <a:solidFill>
              <a:sysClr val="window" lastClr="FFFFFF">
                <a:lumMod val="85000"/>
              </a:sysClr>
            </a:solidFill>
            <a:ln>
              <a:noFill/>
            </a:ln>
            <a:effectLst/>
          </c:spPr>
          <c:invertIfNegative val="0"/>
          <c:cat>
            <c:strRef>
              <c:f>'TABLICA (2)'!$A$4:$A$21</c:f>
              <c:strCache>
                <c:ptCount val="18"/>
                <c:pt idx="0">
                  <c:v>  &lt; 4</c:v>
                </c:pt>
                <c:pt idx="1">
                  <c:v> 5-9  </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&gt; 85</c:v>
                </c:pt>
              </c:strCache>
            </c:strRef>
          </c:cat>
          <c:val>
            <c:numRef>
              <c:f>'TABLICA (2)'!$B$4:$B$21</c:f>
              <c:numCache>
                <c:formatCode>#,##0</c:formatCode>
                <c:ptCount val="18"/>
                <c:pt idx="0">
                  <c:v>-316</c:v>
                </c:pt>
                <c:pt idx="1">
                  <c:v>-386</c:v>
                </c:pt>
                <c:pt idx="2">
                  <c:v>-405</c:v>
                </c:pt>
                <c:pt idx="3">
                  <c:v>-411</c:v>
                </c:pt>
                <c:pt idx="4">
                  <c:v>-431</c:v>
                </c:pt>
                <c:pt idx="5">
                  <c:v>-411</c:v>
                </c:pt>
                <c:pt idx="6">
                  <c:v>-485</c:v>
                </c:pt>
                <c:pt idx="7">
                  <c:v>-557</c:v>
                </c:pt>
                <c:pt idx="8">
                  <c:v>-652</c:v>
                </c:pt>
                <c:pt idx="9">
                  <c:v>-623</c:v>
                </c:pt>
                <c:pt idx="10">
                  <c:v>-543</c:v>
                </c:pt>
                <c:pt idx="11">
                  <c:v>-539</c:v>
                </c:pt>
                <c:pt idx="12">
                  <c:v>-500</c:v>
                </c:pt>
                <c:pt idx="13">
                  <c:v>-499</c:v>
                </c:pt>
                <c:pt idx="14">
                  <c:v>-433</c:v>
                </c:pt>
                <c:pt idx="15">
                  <c:v>-222</c:v>
                </c:pt>
                <c:pt idx="16">
                  <c:v>-133</c:v>
                </c:pt>
                <c:pt idx="17">
                  <c:v>-83</c:v>
                </c:pt>
              </c:numCache>
            </c:numRef>
          </c:val>
          <c:extLst xmlns:c16r2="http://schemas.microsoft.com/office/drawing/2015/06/chart">
            <c:ext xmlns:c16="http://schemas.microsoft.com/office/drawing/2014/chart" uri="{C3380CC4-5D6E-409C-BE32-E72D297353CC}">
              <c16:uniqueId val="{00000000-89FA-4BB4-BC0D-044DF3C42525}"/>
            </c:ext>
          </c:extLst>
        </c:ser>
        <c:ser>
          <c:idx val="1"/>
          <c:order val="1"/>
          <c:tx>
            <c:strRef>
              <c:f>'TABLICA (2)'!$C$3</c:f>
              <c:strCache>
                <c:ptCount val="1"/>
                <c:pt idx="0">
                  <c:v>nadwyżka mężczyzn</c:v>
                </c:pt>
              </c:strCache>
            </c:strRef>
          </c:tx>
          <c:spPr>
            <a:solidFill>
              <a:sysClr val="window" lastClr="FFFFFF">
                <a:lumMod val="50000"/>
              </a:sysClr>
            </a:solidFill>
            <a:ln>
              <a:noFill/>
            </a:ln>
            <a:effectLst/>
          </c:spPr>
          <c:invertIfNegative val="0"/>
          <c:cat>
            <c:strRef>
              <c:f>'TABLICA (2)'!$A$4:$A$21</c:f>
              <c:strCache>
                <c:ptCount val="18"/>
                <c:pt idx="0">
                  <c:v>  &lt; 4</c:v>
                </c:pt>
                <c:pt idx="1">
                  <c:v> 5-9  </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&gt; 85</c:v>
                </c:pt>
              </c:strCache>
            </c:strRef>
          </c:cat>
          <c:val>
            <c:numRef>
              <c:f>'TABLICA (2)'!$C$4:$C$21</c:f>
              <c:numCache>
                <c:formatCode>#,##0</c:formatCode>
                <c:ptCount val="18"/>
                <c:pt idx="0">
                  <c:v>-16</c:v>
                </c:pt>
                <c:pt idx="1">
                  <c:v>-8</c:v>
                </c:pt>
                <c:pt idx="2">
                  <c:v>-53</c:v>
                </c:pt>
                <c:pt idx="3">
                  <c:v>-27</c:v>
                </c:pt>
                <c:pt idx="4">
                  <c:v>-20</c:v>
                </c:pt>
                <c:pt idx="5">
                  <c:v>-58</c:v>
                </c:pt>
                <c:pt idx="6">
                  <c:v>-87</c:v>
                </c:pt>
                <c:pt idx="7">
                  <c:v>-37</c:v>
                </c:pt>
                <c:pt idx="8">
                  <c:v>0</c:v>
                </c:pt>
                <c:pt idx="9">
                  <c:v>-5</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1-89FA-4BB4-BC0D-044DF3C42525}"/>
            </c:ext>
          </c:extLst>
        </c:ser>
        <c:ser>
          <c:idx val="2"/>
          <c:order val="2"/>
          <c:tx>
            <c:strRef>
              <c:f>'TABLICA (2)'!$D$3</c:f>
              <c:strCache>
                <c:ptCount val="1"/>
                <c:pt idx="0">
                  <c:v>kobiety</c:v>
                </c:pt>
              </c:strCache>
            </c:strRef>
          </c:tx>
          <c:spPr>
            <a:solidFill>
              <a:srgbClr val="ED7D31">
                <a:lumMod val="40000"/>
                <a:lumOff val="60000"/>
              </a:srgbClr>
            </a:solidFill>
            <a:ln>
              <a:noFill/>
            </a:ln>
            <a:effectLst/>
          </c:spPr>
          <c:invertIfNegative val="0"/>
          <c:cat>
            <c:strRef>
              <c:f>'TABLICA (2)'!$A$4:$A$21</c:f>
              <c:strCache>
                <c:ptCount val="18"/>
                <c:pt idx="0">
                  <c:v>  &lt; 4</c:v>
                </c:pt>
                <c:pt idx="1">
                  <c:v> 5-9  </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&gt; 85</c:v>
                </c:pt>
              </c:strCache>
            </c:strRef>
          </c:cat>
          <c:val>
            <c:numRef>
              <c:f>'TABLICA (2)'!$D$4:$D$21</c:f>
              <c:numCache>
                <c:formatCode>#,##0</c:formatCode>
                <c:ptCount val="18"/>
                <c:pt idx="0">
                  <c:v>316</c:v>
                </c:pt>
                <c:pt idx="1">
                  <c:v>386</c:v>
                </c:pt>
                <c:pt idx="2">
                  <c:v>405</c:v>
                </c:pt>
                <c:pt idx="3">
                  <c:v>411</c:v>
                </c:pt>
                <c:pt idx="4">
                  <c:v>431</c:v>
                </c:pt>
                <c:pt idx="5">
                  <c:v>411</c:v>
                </c:pt>
                <c:pt idx="6">
                  <c:v>485</c:v>
                </c:pt>
                <c:pt idx="7">
                  <c:v>557</c:v>
                </c:pt>
                <c:pt idx="8">
                  <c:v>652</c:v>
                </c:pt>
                <c:pt idx="9">
                  <c:v>623</c:v>
                </c:pt>
                <c:pt idx="10">
                  <c:v>543</c:v>
                </c:pt>
                <c:pt idx="11">
                  <c:v>539</c:v>
                </c:pt>
                <c:pt idx="12">
                  <c:v>500</c:v>
                </c:pt>
                <c:pt idx="13">
                  <c:v>499</c:v>
                </c:pt>
                <c:pt idx="14">
                  <c:v>433</c:v>
                </c:pt>
                <c:pt idx="15">
                  <c:v>222</c:v>
                </c:pt>
                <c:pt idx="16">
                  <c:v>133</c:v>
                </c:pt>
                <c:pt idx="17">
                  <c:v>83</c:v>
                </c:pt>
              </c:numCache>
            </c:numRef>
          </c:val>
          <c:extLst xmlns:c16r2="http://schemas.microsoft.com/office/drawing/2015/06/chart">
            <c:ext xmlns:c16="http://schemas.microsoft.com/office/drawing/2014/chart" uri="{C3380CC4-5D6E-409C-BE32-E72D297353CC}">
              <c16:uniqueId val="{00000002-89FA-4BB4-BC0D-044DF3C42525}"/>
            </c:ext>
          </c:extLst>
        </c:ser>
        <c:ser>
          <c:idx val="3"/>
          <c:order val="3"/>
          <c:tx>
            <c:strRef>
              <c:f>'TABLICA (2)'!$E$3</c:f>
              <c:strCache>
                <c:ptCount val="1"/>
                <c:pt idx="0">
                  <c:v>nadwyżka kobiet</c:v>
                </c:pt>
              </c:strCache>
            </c:strRef>
          </c:tx>
          <c:spPr>
            <a:solidFill>
              <a:srgbClr val="ED7D31">
                <a:lumMod val="75000"/>
              </a:srgbClr>
            </a:solidFill>
            <a:ln>
              <a:noFill/>
            </a:ln>
            <a:effectLst/>
          </c:spPr>
          <c:invertIfNegative val="0"/>
          <c:cat>
            <c:strRef>
              <c:f>'TABLICA (2)'!$A$4:$A$21</c:f>
              <c:strCache>
                <c:ptCount val="18"/>
                <c:pt idx="0">
                  <c:v>  &lt; 4</c:v>
                </c:pt>
                <c:pt idx="1">
                  <c:v> 5-9  </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&gt; 85</c:v>
                </c:pt>
              </c:strCache>
            </c:strRef>
          </c:cat>
          <c:val>
            <c:numRef>
              <c:f>'TABLICA (2)'!$E$4:$E$21</c:f>
              <c:numCache>
                <c:formatCode>#,##0</c:formatCode>
                <c:ptCount val="18"/>
                <c:pt idx="0">
                  <c:v>0</c:v>
                </c:pt>
                <c:pt idx="1">
                  <c:v>0</c:v>
                </c:pt>
                <c:pt idx="2">
                  <c:v>0</c:v>
                </c:pt>
                <c:pt idx="3">
                  <c:v>0</c:v>
                </c:pt>
                <c:pt idx="4">
                  <c:v>0</c:v>
                </c:pt>
                <c:pt idx="5">
                  <c:v>0</c:v>
                </c:pt>
                <c:pt idx="6">
                  <c:v>0</c:v>
                </c:pt>
                <c:pt idx="7">
                  <c:v>0</c:v>
                </c:pt>
                <c:pt idx="8">
                  <c:v>50</c:v>
                </c:pt>
                <c:pt idx="9">
                  <c:v>0</c:v>
                </c:pt>
                <c:pt idx="10">
                  <c:v>14</c:v>
                </c:pt>
                <c:pt idx="11">
                  <c:v>36</c:v>
                </c:pt>
                <c:pt idx="12">
                  <c:v>56</c:v>
                </c:pt>
                <c:pt idx="13">
                  <c:v>96</c:v>
                </c:pt>
                <c:pt idx="14">
                  <c:v>94</c:v>
                </c:pt>
                <c:pt idx="15">
                  <c:v>162</c:v>
                </c:pt>
                <c:pt idx="16">
                  <c:v>103</c:v>
                </c:pt>
                <c:pt idx="17">
                  <c:v>199</c:v>
                </c:pt>
              </c:numCache>
            </c:numRef>
          </c:val>
          <c:extLst xmlns:c16r2="http://schemas.microsoft.com/office/drawing/2015/06/chart">
            <c:ext xmlns:c16="http://schemas.microsoft.com/office/drawing/2014/chart" uri="{C3380CC4-5D6E-409C-BE32-E72D297353CC}">
              <c16:uniqueId val="{00000003-89FA-4BB4-BC0D-044DF3C42525}"/>
            </c:ext>
          </c:extLst>
        </c:ser>
        <c:dLbls>
          <c:showLegendKey val="0"/>
          <c:showVal val="0"/>
          <c:showCatName val="0"/>
          <c:showSerName val="0"/>
          <c:showPercent val="0"/>
          <c:showBubbleSize val="0"/>
        </c:dLbls>
        <c:gapWidth val="10"/>
        <c:overlap val="100"/>
        <c:axId val="350955944"/>
        <c:axId val="350956336"/>
      </c:barChart>
      <c:catAx>
        <c:axId val="350955944"/>
        <c:scaling>
          <c:orientation val="minMax"/>
        </c:scaling>
        <c:delete val="0"/>
        <c:axPos val="l"/>
        <c:numFmt formatCode="General" sourceLinked="1"/>
        <c:majorTickMark val="none"/>
        <c:minorTickMark val="none"/>
        <c:tickLblPos val="low"/>
        <c:spPr>
          <a:noFill/>
          <a:ln w="15875" cap="flat" cmpd="sng" algn="ctr">
            <a:solidFill>
              <a:sysClr val="window" lastClr="FFFFFF">
                <a:lumMod val="65000"/>
              </a:sysClr>
            </a:solidFill>
            <a:prstDash val="solid"/>
            <a:round/>
          </a:ln>
          <a:effectLst/>
        </c:spPr>
        <c:txPr>
          <a:bodyPr rot="-60000000" spcFirstLastPara="1" vertOverflow="ellipsis" vert="horz" wrap="square" anchor="ctr" anchorCtr="1"/>
          <a:lstStyle/>
          <a:p>
            <a:pPr>
              <a:defRPr sz="6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956336"/>
        <c:crosses val="autoZero"/>
        <c:auto val="1"/>
        <c:lblAlgn val="ctr"/>
        <c:lblOffset val="100"/>
        <c:noMultiLvlLbl val="0"/>
      </c:catAx>
      <c:valAx>
        <c:axId val="350956336"/>
        <c:scaling>
          <c:orientation val="minMax"/>
        </c:scaling>
        <c:delete val="0"/>
        <c:axPos val="b"/>
        <c:majorGridlines>
          <c:spPr>
            <a:ln w="6350" cap="flat" cmpd="sng" algn="ctr">
              <a:solidFill>
                <a:schemeClr val="tx1">
                  <a:lumMod val="15000"/>
                  <a:lumOff val="85000"/>
                </a:schemeClr>
              </a:solidFill>
              <a:prstDash val="solid"/>
              <a:round/>
            </a:ln>
            <a:effectLst/>
          </c:spPr>
        </c:majorGridlines>
        <c:numFmt formatCode="#\ ##0;#\ ##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955944"/>
        <c:crosses val="autoZero"/>
        <c:crossBetween val="between"/>
      </c:valAx>
      <c:spPr>
        <a:noFill/>
        <a:ln>
          <a:noFill/>
        </a:ln>
        <a:effectLst/>
      </c:spPr>
    </c:plotArea>
    <c:legend>
      <c:legendPos val="b"/>
      <c:layout>
        <c:manualLayout>
          <c:xMode val="edge"/>
          <c:yMode val="edge"/>
          <c:x val="7.9359580052493425E-2"/>
          <c:y val="0.89101228642904262"/>
          <c:w val="0.88968803899512539"/>
          <c:h val="5.276776439000319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0.10299125285750571"/>
          <c:w val="0.90190827863822176"/>
          <c:h val="0.49923938529103434"/>
        </c:manualLayout>
      </c:layout>
      <c:barChart>
        <c:barDir val="col"/>
        <c:grouping val="clustered"/>
        <c:varyColors val="0"/>
        <c:ser>
          <c:idx val="0"/>
          <c:order val="0"/>
          <c:tx>
            <c:strRef>
              <c:f>TABLICA!$B$14</c:f>
              <c:strCache>
                <c:ptCount val="1"/>
                <c:pt idx="0">
                  <c:v>Województwo lubelskie</c:v>
                </c:pt>
              </c:strCache>
            </c:strRef>
          </c:tx>
          <c:spPr>
            <a:gradFill rotWithShape="1">
              <a:gsLst>
                <a:gs pos="0">
                  <a:schemeClr val="accent2">
                    <a:shade val="53000"/>
                    <a:satMod val="103000"/>
                    <a:lumMod val="102000"/>
                    <a:tint val="94000"/>
                  </a:schemeClr>
                </a:gs>
                <a:gs pos="50000">
                  <a:schemeClr val="accent2">
                    <a:shade val="53000"/>
                    <a:satMod val="110000"/>
                    <a:lumMod val="100000"/>
                    <a:shade val="100000"/>
                  </a:schemeClr>
                </a:gs>
                <a:gs pos="100000">
                  <a:schemeClr val="accent2">
                    <a:shade val="53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TABLICA!$C$13:$K$13</c:f>
              <c:strCache>
                <c:ptCount val="9"/>
                <c:pt idx="0">
                  <c:v>wyższe</c:v>
                </c:pt>
                <c:pt idx="1">
                  <c:v>policealne</c:v>
                </c:pt>
                <c:pt idx="2">
                  <c:v>średnie
ogólnokształcące</c:v>
                </c:pt>
                <c:pt idx="3">
                  <c:v>średnie
zawodowe</c:v>
                </c:pt>
                <c:pt idx="4">
                  <c:v>zasadnicze
zawodowe/branżowe</c:v>
                </c:pt>
                <c:pt idx="5">
                  <c:v>gimnazjalne</c:v>
                </c:pt>
                <c:pt idx="6">
                  <c:v>podstawowe
ukończone</c:v>
                </c:pt>
                <c:pt idx="7">
                  <c:v>bez wykształcenia
szkolnego</c:v>
                </c:pt>
                <c:pt idx="8">
                  <c:v>nieustalony</c:v>
                </c:pt>
              </c:strCache>
            </c:strRef>
          </c:cat>
          <c:val>
            <c:numRef>
              <c:f>TABLICA!$C$14:$K$14</c:f>
              <c:numCache>
                <c:formatCode>0.0%</c:formatCode>
                <c:ptCount val="9"/>
                <c:pt idx="0">
                  <c:v>0.23416270308795509</c:v>
                </c:pt>
                <c:pt idx="1">
                  <c:v>3.6615031054093757E-2</c:v>
                </c:pt>
                <c:pt idx="2">
                  <c:v>0.10826082529708658</c:v>
                </c:pt>
                <c:pt idx="3">
                  <c:v>0.20689502698142573</c:v>
                </c:pt>
                <c:pt idx="4">
                  <c:v>0.19830286104929382</c:v>
                </c:pt>
                <c:pt idx="5">
                  <c:v>2.8197989847420401E-2</c:v>
                </c:pt>
                <c:pt idx="6">
                  <c:v>0.13834911492196478</c:v>
                </c:pt>
                <c:pt idx="7">
                  <c:v>3.0167415746680047E-2</c:v>
                </c:pt>
                <c:pt idx="8">
                  <c:v>1.9049032014079797E-2</c:v>
                </c:pt>
              </c:numCache>
            </c:numRef>
          </c:val>
          <c:extLst xmlns:c16r2="http://schemas.microsoft.com/office/drawing/2015/06/chart">
            <c:ext xmlns:c16="http://schemas.microsoft.com/office/drawing/2014/chart" uri="{C3380CC4-5D6E-409C-BE32-E72D297353CC}">
              <c16:uniqueId val="{00000000-9067-4ED1-B782-15805705C836}"/>
            </c:ext>
          </c:extLst>
        </c:ser>
        <c:ser>
          <c:idx val="1"/>
          <c:order val="1"/>
          <c:tx>
            <c:strRef>
              <c:f>TABLICA!$B$15</c:f>
              <c:strCache>
                <c:ptCount val="1"/>
                <c:pt idx="0">
                  <c:v>Powiat opolski</c:v>
                </c:pt>
              </c:strCache>
            </c:strRef>
          </c:tx>
          <c:spPr>
            <a:solidFill>
              <a:srgbClr val="ED7D3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TABLICA!$C$13:$K$13</c:f>
              <c:strCache>
                <c:ptCount val="9"/>
                <c:pt idx="0">
                  <c:v>wyższe</c:v>
                </c:pt>
                <c:pt idx="1">
                  <c:v>policealne</c:v>
                </c:pt>
                <c:pt idx="2">
                  <c:v>średnie
ogólnokształcące</c:v>
                </c:pt>
                <c:pt idx="3">
                  <c:v>średnie
zawodowe</c:v>
                </c:pt>
                <c:pt idx="4">
                  <c:v>zasadnicze
zawodowe/branżowe</c:v>
                </c:pt>
                <c:pt idx="5">
                  <c:v>gimnazjalne</c:v>
                </c:pt>
                <c:pt idx="6">
                  <c:v>podstawowe
ukończone</c:v>
                </c:pt>
                <c:pt idx="7">
                  <c:v>bez wykształcenia
szkolnego</c:v>
                </c:pt>
                <c:pt idx="8">
                  <c:v>nieustalony</c:v>
                </c:pt>
              </c:strCache>
            </c:strRef>
          </c:cat>
          <c:val>
            <c:numRef>
              <c:f>TABLICA!$C$15:$K$15</c:f>
              <c:numCache>
                <c:formatCode>0.0%</c:formatCode>
                <c:ptCount val="9"/>
                <c:pt idx="0">
                  <c:v>0.16158447924888869</c:v>
                </c:pt>
                <c:pt idx="1">
                  <c:v>3.4751360558348217E-2</c:v>
                </c:pt>
                <c:pt idx="2">
                  <c:v>9.8749532632628478E-2</c:v>
                </c:pt>
                <c:pt idx="3">
                  <c:v>0.22792987412238794</c:v>
                </c:pt>
                <c:pt idx="4">
                  <c:v>0.23264509160400482</c:v>
                </c:pt>
                <c:pt idx="5">
                  <c:v>2.9703792945868474E-2</c:v>
                </c:pt>
                <c:pt idx="6">
                  <c:v>0.16571808400149557</c:v>
                </c:pt>
                <c:pt idx="7">
                  <c:v>3.1116281002035645E-2</c:v>
                </c:pt>
                <c:pt idx="8">
                  <c:v>1.7801503884342155E-2</c:v>
                </c:pt>
              </c:numCache>
            </c:numRef>
          </c:val>
          <c:extLst xmlns:c16r2="http://schemas.microsoft.com/office/drawing/2015/06/chart">
            <c:ext xmlns:c16="http://schemas.microsoft.com/office/drawing/2014/chart" uri="{C3380CC4-5D6E-409C-BE32-E72D297353CC}">
              <c16:uniqueId val="{00000001-9067-4ED1-B782-15805705C836}"/>
            </c:ext>
          </c:extLst>
        </c:ser>
        <c:ser>
          <c:idx val="2"/>
          <c:order val="2"/>
          <c:tx>
            <c:strRef>
              <c:f>TABLICA!$B$16</c:f>
              <c:strCache>
                <c:ptCount val="1"/>
                <c:pt idx="0">
                  <c:v>Opole Lubelskie</c:v>
                </c:pt>
              </c:strCache>
            </c:strRef>
          </c:tx>
          <c:spPr>
            <a:solidFill>
              <a:srgbClr val="ED7D31">
                <a:lumMod val="60000"/>
                <a:lumOff val="40000"/>
              </a:srgb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TABLICA!$C$13:$K$13</c:f>
              <c:strCache>
                <c:ptCount val="9"/>
                <c:pt idx="0">
                  <c:v>wyższe</c:v>
                </c:pt>
                <c:pt idx="1">
                  <c:v>policealne</c:v>
                </c:pt>
                <c:pt idx="2">
                  <c:v>średnie
ogólnokształcące</c:v>
                </c:pt>
                <c:pt idx="3">
                  <c:v>średnie
zawodowe</c:v>
                </c:pt>
                <c:pt idx="4">
                  <c:v>zasadnicze
zawodowe/branżowe</c:v>
                </c:pt>
                <c:pt idx="5">
                  <c:v>gimnazjalne</c:v>
                </c:pt>
                <c:pt idx="6">
                  <c:v>podstawowe
ukończone</c:v>
                </c:pt>
                <c:pt idx="7">
                  <c:v>bez wykształcenia
szkolnego</c:v>
                </c:pt>
                <c:pt idx="8">
                  <c:v>nieustalony</c:v>
                </c:pt>
              </c:strCache>
            </c:strRef>
          </c:cat>
          <c:val>
            <c:numRef>
              <c:f>TABLICA!$C$16:$K$16</c:f>
              <c:numCache>
                <c:formatCode>0.0%</c:formatCode>
                <c:ptCount val="9"/>
                <c:pt idx="0">
                  <c:v>0.18531418822860393</c:v>
                </c:pt>
                <c:pt idx="1">
                  <c:v>3.8384987205004266E-2</c:v>
                </c:pt>
                <c:pt idx="2">
                  <c:v>0.10065396644867786</c:v>
                </c:pt>
                <c:pt idx="3">
                  <c:v>0.23109183963605345</c:v>
                </c:pt>
                <c:pt idx="4">
                  <c:v>0.20891384702871765</c:v>
                </c:pt>
                <c:pt idx="5">
                  <c:v>2.8291157236280923E-2</c:v>
                </c:pt>
                <c:pt idx="6">
                  <c:v>0.15524594825135057</c:v>
                </c:pt>
                <c:pt idx="7">
                  <c:v>3.3124822291725906E-2</c:v>
                </c:pt>
                <c:pt idx="8">
                  <c:v>1.8979243673585441E-2</c:v>
                </c:pt>
              </c:numCache>
            </c:numRef>
          </c:val>
          <c:extLst xmlns:c16r2="http://schemas.microsoft.com/office/drawing/2015/06/chart">
            <c:ext xmlns:c16="http://schemas.microsoft.com/office/drawing/2014/chart" uri="{C3380CC4-5D6E-409C-BE32-E72D297353CC}">
              <c16:uniqueId val="{00000002-9067-4ED1-B782-15805705C836}"/>
            </c:ext>
          </c:extLst>
        </c:ser>
        <c:ser>
          <c:idx val="3"/>
          <c:order val="3"/>
          <c:tx>
            <c:strRef>
              <c:f>TABLICA!$B$17</c:f>
              <c:strCache>
                <c:ptCount val="1"/>
                <c:pt idx="0">
                  <c:v>Opole Lubelskie - miasto</c:v>
                </c:pt>
              </c:strCache>
            </c:strRef>
          </c:tx>
          <c:spPr>
            <a:solidFill>
              <a:srgbClr val="ED7D31">
                <a:lumMod val="20000"/>
                <a:lumOff val="80000"/>
              </a:srgb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TABLICA!$C$13:$K$13</c:f>
              <c:strCache>
                <c:ptCount val="9"/>
                <c:pt idx="0">
                  <c:v>wyższe</c:v>
                </c:pt>
                <c:pt idx="1">
                  <c:v>policealne</c:v>
                </c:pt>
                <c:pt idx="2">
                  <c:v>średnie
ogólnokształcące</c:v>
                </c:pt>
                <c:pt idx="3">
                  <c:v>średnie
zawodowe</c:v>
                </c:pt>
                <c:pt idx="4">
                  <c:v>zasadnicze
zawodowe/branżowe</c:v>
                </c:pt>
                <c:pt idx="5">
                  <c:v>gimnazjalne</c:v>
                </c:pt>
                <c:pt idx="6">
                  <c:v>podstawowe
ukończone</c:v>
                </c:pt>
                <c:pt idx="7">
                  <c:v>bez wykształcenia
szkolnego</c:v>
                </c:pt>
                <c:pt idx="8">
                  <c:v>nieustalony</c:v>
                </c:pt>
              </c:strCache>
            </c:strRef>
          </c:cat>
          <c:val>
            <c:numRef>
              <c:f>TABLICA!$C$17:$K$17</c:f>
              <c:numCache>
                <c:formatCode>0.0%</c:formatCode>
                <c:ptCount val="9"/>
                <c:pt idx="0">
                  <c:v>0.23720458170218936</c:v>
                </c:pt>
                <c:pt idx="1">
                  <c:v>5.1181673191242567E-2</c:v>
                </c:pt>
                <c:pt idx="2">
                  <c:v>0.12367696099753515</c:v>
                </c:pt>
                <c:pt idx="3">
                  <c:v>0.22444541104828186</c:v>
                </c:pt>
                <c:pt idx="4">
                  <c:v>0.18065825721328113</c:v>
                </c:pt>
                <c:pt idx="5">
                  <c:v>2.2763520371175874E-2</c:v>
                </c:pt>
                <c:pt idx="6">
                  <c:v>0.10627809192402494</c:v>
                </c:pt>
                <c:pt idx="7">
                  <c:v>3.073800202986806E-2</c:v>
                </c:pt>
                <c:pt idx="8">
                  <c:v>2.3053501522401043E-2</c:v>
                </c:pt>
              </c:numCache>
            </c:numRef>
          </c:val>
          <c:extLst xmlns:c16r2="http://schemas.microsoft.com/office/drawing/2015/06/chart">
            <c:ext xmlns:c16="http://schemas.microsoft.com/office/drawing/2014/chart" uri="{C3380CC4-5D6E-409C-BE32-E72D297353CC}">
              <c16:uniqueId val="{00000003-9067-4ED1-B782-15805705C836}"/>
            </c:ext>
          </c:extLst>
        </c:ser>
        <c:ser>
          <c:idx val="4"/>
          <c:order val="4"/>
          <c:tx>
            <c:strRef>
              <c:f>TABLICA!$B$18</c:f>
              <c:strCache>
                <c:ptCount val="1"/>
                <c:pt idx="0">
                  <c:v>Opole Lubelskie - obszar wiejski</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TABLICA!$C$13:$K$13</c:f>
              <c:strCache>
                <c:ptCount val="9"/>
                <c:pt idx="0">
                  <c:v>wyższe</c:v>
                </c:pt>
                <c:pt idx="1">
                  <c:v>policealne</c:v>
                </c:pt>
                <c:pt idx="2">
                  <c:v>średnie
ogólnokształcące</c:v>
                </c:pt>
                <c:pt idx="3">
                  <c:v>średnie
zawodowe</c:v>
                </c:pt>
                <c:pt idx="4">
                  <c:v>zasadnicze
zawodowe/branżowe</c:v>
                </c:pt>
                <c:pt idx="5">
                  <c:v>gimnazjalne</c:v>
                </c:pt>
                <c:pt idx="6">
                  <c:v>podstawowe
ukończone</c:v>
                </c:pt>
                <c:pt idx="7">
                  <c:v>bez wykształcenia
szkolnego</c:v>
                </c:pt>
                <c:pt idx="8">
                  <c:v>nieustalony</c:v>
                </c:pt>
              </c:strCache>
            </c:strRef>
          </c:cat>
          <c:val>
            <c:numRef>
              <c:f>TABLICA!$C$18:$K$18</c:f>
              <c:numCache>
                <c:formatCode>0.0%</c:formatCode>
                <c:ptCount val="9"/>
                <c:pt idx="0">
                  <c:v>0.13540649839631849</c:v>
                </c:pt>
                <c:pt idx="1">
                  <c:v>2.6077255612885233E-2</c:v>
                </c:pt>
                <c:pt idx="2">
                  <c:v>7.8510667968205272E-2</c:v>
                </c:pt>
                <c:pt idx="3">
                  <c:v>0.23748431181146284</c:v>
                </c:pt>
                <c:pt idx="4">
                  <c:v>0.23608980616371497</c:v>
                </c:pt>
                <c:pt idx="5">
                  <c:v>3.3607586110723751E-2</c:v>
                </c:pt>
                <c:pt idx="6">
                  <c:v>0.20234276948821642</c:v>
                </c:pt>
                <c:pt idx="7">
                  <c:v>3.5420443452795984E-2</c:v>
                </c:pt>
                <c:pt idx="8">
                  <c:v>1.5060660995677032E-2</c:v>
                </c:pt>
              </c:numCache>
            </c:numRef>
          </c:val>
          <c:extLst xmlns:c16r2="http://schemas.microsoft.com/office/drawing/2015/06/chart">
            <c:ext xmlns:c16="http://schemas.microsoft.com/office/drawing/2014/chart" uri="{C3380CC4-5D6E-409C-BE32-E72D297353CC}">
              <c16:uniqueId val="{00000004-9067-4ED1-B782-15805705C836}"/>
            </c:ext>
          </c:extLst>
        </c:ser>
        <c:dLbls>
          <c:dLblPos val="outEnd"/>
          <c:showLegendKey val="0"/>
          <c:showVal val="1"/>
          <c:showCatName val="0"/>
          <c:showSerName val="0"/>
          <c:showPercent val="0"/>
          <c:showBubbleSize val="0"/>
        </c:dLbls>
        <c:gapWidth val="100"/>
        <c:overlap val="-24"/>
        <c:axId val="350959864"/>
        <c:axId val="350959080"/>
      </c:barChart>
      <c:catAx>
        <c:axId val="350959864"/>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5400000" spcFirstLastPara="1" vertOverflow="ellipsis"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959080"/>
        <c:crosses val="autoZero"/>
        <c:auto val="1"/>
        <c:lblAlgn val="ctr"/>
        <c:lblOffset val="100"/>
        <c:noMultiLvlLbl val="0"/>
      </c:catAx>
      <c:valAx>
        <c:axId val="350959080"/>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959864"/>
        <c:crosses val="autoZero"/>
        <c:crossBetween val="between"/>
      </c:valAx>
      <c:spPr>
        <a:noFill/>
        <a:ln>
          <a:noFill/>
        </a:ln>
        <a:effectLst/>
      </c:spPr>
    </c:plotArea>
    <c:legend>
      <c:legendPos val="b"/>
      <c:layout>
        <c:manualLayout>
          <c:xMode val="edge"/>
          <c:yMode val="edge"/>
          <c:x val="3.0852393450818649E-2"/>
          <c:y val="0.95130147790744968"/>
          <c:w val="0.96914760654918131"/>
          <c:h val="4.8698522092550274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3.0146231721034877E-2"/>
          <c:w val="0.89701808107319914"/>
          <c:h val="0.79207230204686874"/>
        </c:manualLayout>
      </c:layout>
      <c:barChart>
        <c:barDir val="col"/>
        <c:grouping val="clustered"/>
        <c:varyColors val="0"/>
        <c:ser>
          <c:idx val="0"/>
          <c:order val="0"/>
          <c:tx>
            <c:strRef>
              <c:f>Arkusz1!$B$1</c:f>
              <c:strCache>
                <c:ptCount val="1"/>
                <c:pt idx="0">
                  <c:v>język polski</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Arkusz1!$A$2:$A$6</c:f>
              <c:strCache>
                <c:ptCount val="5"/>
                <c:pt idx="0">
                  <c:v>Województwo
lubelskie</c:v>
                </c:pt>
                <c:pt idx="1">
                  <c:v>Powiat opolski</c:v>
                </c:pt>
                <c:pt idx="2">
                  <c:v>Opole Lubelskie</c:v>
                </c:pt>
                <c:pt idx="3">
                  <c:v>Opole Lubelskie - miasto</c:v>
                </c:pt>
                <c:pt idx="4">
                  <c:v>Opole Lubelskie - obszar wiejski</c:v>
                </c:pt>
              </c:strCache>
            </c:strRef>
          </c:cat>
          <c:val>
            <c:numRef>
              <c:f>Arkusz1!$B$2:$B$6</c:f>
              <c:numCache>
                <c:formatCode>0.0%</c:formatCode>
                <c:ptCount val="5"/>
                <c:pt idx="0">
                  <c:v>0.63100000000000001</c:v>
                </c:pt>
                <c:pt idx="1">
                  <c:v>0.60399999999999998</c:v>
                </c:pt>
                <c:pt idx="2">
                  <c:v>0.66500000000000004</c:v>
                </c:pt>
                <c:pt idx="3">
                  <c:v>0.67</c:v>
                </c:pt>
                <c:pt idx="4">
                  <c:v>0.65</c:v>
                </c:pt>
              </c:numCache>
            </c:numRef>
          </c:val>
          <c:extLst xmlns:c16r2="http://schemas.microsoft.com/office/drawing/2015/06/chart">
            <c:ext xmlns:c16="http://schemas.microsoft.com/office/drawing/2014/chart" uri="{C3380CC4-5D6E-409C-BE32-E72D297353CC}">
              <c16:uniqueId val="{00000000-BAD6-4203-9AD8-29BA9B205B7B}"/>
            </c:ext>
          </c:extLst>
        </c:ser>
        <c:ser>
          <c:idx val="1"/>
          <c:order val="1"/>
          <c:tx>
            <c:strRef>
              <c:f>Arkusz1!$C$1</c:f>
              <c:strCache>
                <c:ptCount val="1"/>
                <c:pt idx="0">
                  <c:v>matematyka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Województwo
lubelskie</c:v>
                </c:pt>
                <c:pt idx="1">
                  <c:v>Powiat opolski</c:v>
                </c:pt>
                <c:pt idx="2">
                  <c:v>Opole Lubelskie</c:v>
                </c:pt>
                <c:pt idx="3">
                  <c:v>Opole Lubelskie - miasto</c:v>
                </c:pt>
                <c:pt idx="4">
                  <c:v>Opole Lubelskie - obszar wiejski</c:v>
                </c:pt>
              </c:strCache>
            </c:strRef>
          </c:cat>
          <c:val>
            <c:numRef>
              <c:f>Arkusz1!$C$2:$C$6</c:f>
              <c:numCache>
                <c:formatCode>0.0%</c:formatCode>
                <c:ptCount val="5"/>
                <c:pt idx="0">
                  <c:v>0.50700000000000001</c:v>
                </c:pt>
                <c:pt idx="1">
                  <c:v>0.498</c:v>
                </c:pt>
                <c:pt idx="2">
                  <c:v>0.52300000000000002</c:v>
                </c:pt>
                <c:pt idx="3">
                  <c:v>0.59</c:v>
                </c:pt>
                <c:pt idx="4">
                  <c:v>0.41</c:v>
                </c:pt>
              </c:numCache>
            </c:numRef>
          </c:val>
          <c:extLst xmlns:c16r2="http://schemas.microsoft.com/office/drawing/2015/06/chart">
            <c:ext xmlns:c16="http://schemas.microsoft.com/office/drawing/2014/chart" uri="{C3380CC4-5D6E-409C-BE32-E72D297353CC}">
              <c16:uniqueId val="{00000001-BAD6-4203-9AD8-29BA9B205B7B}"/>
            </c:ext>
          </c:extLst>
        </c:ser>
        <c:ser>
          <c:idx val="2"/>
          <c:order val="2"/>
          <c:tx>
            <c:strRef>
              <c:f>Arkusz1!$D$1</c:f>
              <c:strCache>
                <c:ptCount val="1"/>
                <c:pt idx="0">
                  <c:v>język angielski</c:v>
                </c:pt>
              </c:strCache>
            </c:strRef>
          </c:tx>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Województwo
lubelskie</c:v>
                </c:pt>
                <c:pt idx="1">
                  <c:v>Powiat opolski</c:v>
                </c:pt>
                <c:pt idx="2">
                  <c:v>Opole Lubelskie</c:v>
                </c:pt>
                <c:pt idx="3">
                  <c:v>Opole Lubelskie - miasto</c:v>
                </c:pt>
                <c:pt idx="4">
                  <c:v>Opole Lubelskie - obszar wiejski</c:v>
                </c:pt>
              </c:strCache>
            </c:strRef>
          </c:cat>
          <c:val>
            <c:numRef>
              <c:f>Arkusz1!$D$2:$D$6</c:f>
              <c:numCache>
                <c:formatCode>0.0%</c:formatCode>
                <c:ptCount val="5"/>
                <c:pt idx="0">
                  <c:v>0.63700000000000001</c:v>
                </c:pt>
                <c:pt idx="1">
                  <c:v>0.57599999999999996</c:v>
                </c:pt>
                <c:pt idx="2">
                  <c:v>0.63700000000000001</c:v>
                </c:pt>
                <c:pt idx="3">
                  <c:v>0.69</c:v>
                </c:pt>
                <c:pt idx="4">
                  <c:v>0.54</c:v>
                </c:pt>
              </c:numCache>
            </c:numRef>
          </c:val>
          <c:extLst xmlns:c16r2="http://schemas.microsoft.com/office/drawing/2015/06/chart">
            <c:ext xmlns:c16="http://schemas.microsoft.com/office/drawing/2014/chart" uri="{C3380CC4-5D6E-409C-BE32-E72D297353CC}">
              <c16:uniqueId val="{00000002-BAD6-4203-9AD8-29BA9B205B7B}"/>
            </c:ext>
          </c:extLst>
        </c:ser>
        <c:dLbls>
          <c:dLblPos val="outEnd"/>
          <c:showLegendKey val="0"/>
          <c:showVal val="1"/>
          <c:showCatName val="0"/>
          <c:showSerName val="0"/>
          <c:showPercent val="0"/>
          <c:showBubbleSize val="0"/>
        </c:dLbls>
        <c:gapWidth val="100"/>
        <c:axId val="351629680"/>
        <c:axId val="351633208"/>
      </c:barChart>
      <c:catAx>
        <c:axId val="351629680"/>
        <c:scaling>
          <c:orientation val="minMax"/>
        </c:scaling>
        <c:delete val="0"/>
        <c:axPos val="b"/>
        <c:numFmt formatCode="General" sourceLinked="0"/>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1633208"/>
        <c:crosses val="autoZero"/>
        <c:auto val="1"/>
        <c:lblAlgn val="ctr"/>
        <c:lblOffset val="100"/>
        <c:noMultiLvlLbl val="0"/>
      </c:catAx>
      <c:valAx>
        <c:axId val="35163320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1629680"/>
        <c:crosses val="autoZero"/>
        <c:crossBetween val="between"/>
      </c:valAx>
      <c:spPr>
        <a:noFill/>
        <a:ln>
          <a:noFill/>
        </a:ln>
        <a:effectLst/>
      </c:spPr>
    </c:plotArea>
    <c:legend>
      <c:legendPos val="b"/>
      <c:layout>
        <c:manualLayout>
          <c:xMode val="edge"/>
          <c:yMode val="edge"/>
          <c:x val="0.27320855290001655"/>
          <c:y val="0.92879092535578378"/>
          <c:w val="0.453582894199967"/>
          <c:h val="7.120907464421619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3.0146231721034877E-2"/>
          <c:w val="0.89701808107319914"/>
          <c:h val="0.76844549771084436"/>
        </c:manualLayout>
      </c:layout>
      <c:barChart>
        <c:barDir val="col"/>
        <c:grouping val="clustered"/>
        <c:varyColors val="0"/>
        <c:ser>
          <c:idx val="0"/>
          <c:order val="0"/>
          <c:tx>
            <c:strRef>
              <c:f>'[Egzamin ósmoklasisty.xlsx]Arkusz1 (2)'!$C$1</c:f>
              <c:strCache>
                <c:ptCount val="1"/>
                <c:pt idx="0">
                  <c:v>Język polski</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'[Egzamin ósmoklasisty.xlsx]Arkusz1 (2)'!$B$2:$B$4</c:f>
              <c:strCache>
                <c:ptCount val="3"/>
                <c:pt idx="0">
                  <c:v>Województwo
lubelskie</c:v>
                </c:pt>
                <c:pt idx="1">
                  <c:v>Powiat opolski</c:v>
                </c:pt>
                <c:pt idx="2">
                  <c:v>Gmina Opole Lubelskie</c:v>
                </c:pt>
              </c:strCache>
            </c:strRef>
          </c:cat>
          <c:val>
            <c:numRef>
              <c:f>'[Egzamin ósmoklasisty.xlsx]Arkusz1 (2)'!$C$2:$C$4</c:f>
              <c:numCache>
                <c:formatCode>0.0%</c:formatCode>
                <c:ptCount val="3"/>
                <c:pt idx="0">
                  <c:v>0.60299999999999998</c:v>
                </c:pt>
                <c:pt idx="1">
                  <c:v>0.55800000000000005</c:v>
                </c:pt>
                <c:pt idx="2">
                  <c:v>0.55700000000000005</c:v>
                </c:pt>
              </c:numCache>
            </c:numRef>
          </c:val>
          <c:extLst xmlns:c16r2="http://schemas.microsoft.com/office/drawing/2015/06/chart">
            <c:ext xmlns:c16="http://schemas.microsoft.com/office/drawing/2014/chart" uri="{C3380CC4-5D6E-409C-BE32-E72D297353CC}">
              <c16:uniqueId val="{00000000-23F8-4416-9A4A-A1FF639A0617}"/>
            </c:ext>
          </c:extLst>
        </c:ser>
        <c:ser>
          <c:idx val="1"/>
          <c:order val="1"/>
          <c:tx>
            <c:strRef>
              <c:f>'[Egzamin ósmoklasisty.xlsx]Arkusz1 (2)'!$D$1</c:f>
              <c:strCache>
                <c:ptCount val="1"/>
                <c:pt idx="0">
                  <c:v>Matematyka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'[Egzamin ósmoklasisty.xlsx]Arkusz1 (2)'!$B$2:$B$4</c:f>
              <c:strCache>
                <c:ptCount val="3"/>
                <c:pt idx="0">
                  <c:v>Województwo
lubelskie</c:v>
                </c:pt>
                <c:pt idx="1">
                  <c:v>Powiat opolski</c:v>
                </c:pt>
                <c:pt idx="2">
                  <c:v>Gmina Opole Lubelskie</c:v>
                </c:pt>
              </c:strCache>
            </c:strRef>
          </c:cat>
          <c:val>
            <c:numRef>
              <c:f>'[Egzamin ósmoklasisty.xlsx]Arkusz1 (2)'!$D$2:$D$4</c:f>
              <c:numCache>
                <c:formatCode>0.0%</c:formatCode>
                <c:ptCount val="3"/>
                <c:pt idx="0">
                  <c:v>0.63400000000000001</c:v>
                </c:pt>
                <c:pt idx="1">
                  <c:v>0.56499999999999995</c:v>
                </c:pt>
                <c:pt idx="2">
                  <c:v>0.498</c:v>
                </c:pt>
              </c:numCache>
            </c:numRef>
          </c:val>
          <c:extLst xmlns:c16r2="http://schemas.microsoft.com/office/drawing/2015/06/chart">
            <c:ext xmlns:c16="http://schemas.microsoft.com/office/drawing/2014/chart" uri="{C3380CC4-5D6E-409C-BE32-E72D297353CC}">
              <c16:uniqueId val="{00000001-23F8-4416-9A4A-A1FF639A0617}"/>
            </c:ext>
          </c:extLst>
        </c:ser>
        <c:ser>
          <c:idx val="2"/>
          <c:order val="2"/>
          <c:tx>
            <c:strRef>
              <c:f>'[Egzamin ósmoklasisty.xlsx]Arkusz1 (2)'!$E$1</c:f>
              <c:strCache>
                <c:ptCount val="1"/>
                <c:pt idx="0">
                  <c:v>Język angielski</c:v>
                </c:pt>
              </c:strCache>
            </c:strRef>
          </c:tx>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'[Egzamin ósmoklasisty.xlsx]Arkusz1 (2)'!$B$2:$B$4</c:f>
              <c:strCache>
                <c:ptCount val="3"/>
                <c:pt idx="0">
                  <c:v>Województwo
lubelskie</c:v>
                </c:pt>
                <c:pt idx="1">
                  <c:v>Powiat opolski</c:v>
                </c:pt>
                <c:pt idx="2">
                  <c:v>Gmina Opole Lubelskie</c:v>
                </c:pt>
              </c:strCache>
            </c:strRef>
          </c:cat>
          <c:val>
            <c:numRef>
              <c:f>'[Egzamin ósmoklasisty.xlsx]Arkusz1 (2)'!$E$2:$E$4</c:f>
              <c:numCache>
                <c:formatCode>0.0%</c:formatCode>
                <c:ptCount val="3"/>
                <c:pt idx="0">
                  <c:v>0.753</c:v>
                </c:pt>
                <c:pt idx="1">
                  <c:v>0.69899999999999995</c:v>
                </c:pt>
                <c:pt idx="2">
                  <c:v>0.64300000000000002</c:v>
                </c:pt>
              </c:numCache>
            </c:numRef>
          </c:val>
          <c:extLst xmlns:c16r2="http://schemas.microsoft.com/office/drawing/2015/06/chart">
            <c:ext xmlns:c16="http://schemas.microsoft.com/office/drawing/2014/chart" uri="{C3380CC4-5D6E-409C-BE32-E72D297353CC}">
              <c16:uniqueId val="{00000002-23F8-4416-9A4A-A1FF639A0617}"/>
            </c:ext>
          </c:extLst>
        </c:ser>
        <c:dLbls>
          <c:dLblPos val="outEnd"/>
          <c:showLegendKey val="0"/>
          <c:showVal val="1"/>
          <c:showCatName val="0"/>
          <c:showSerName val="0"/>
          <c:showPercent val="0"/>
          <c:showBubbleSize val="0"/>
        </c:dLbls>
        <c:gapWidth val="100"/>
        <c:axId val="351630072"/>
        <c:axId val="351630856"/>
      </c:barChart>
      <c:catAx>
        <c:axId val="351630072"/>
        <c:scaling>
          <c:orientation val="minMax"/>
        </c:scaling>
        <c:delete val="0"/>
        <c:axPos val="b"/>
        <c:numFmt formatCode="General" sourceLinked="0"/>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1630856"/>
        <c:crosses val="autoZero"/>
        <c:auto val="1"/>
        <c:lblAlgn val="ctr"/>
        <c:lblOffset val="100"/>
        <c:noMultiLvlLbl val="0"/>
      </c:catAx>
      <c:valAx>
        <c:axId val="35163085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1630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3.0146231721034877E-2"/>
          <c:w val="0.89701808107319914"/>
          <c:h val="0.73426782048283568"/>
        </c:manualLayout>
      </c:layout>
      <c:barChart>
        <c:barDir val="col"/>
        <c:grouping val="clustered"/>
        <c:varyColors val="0"/>
        <c:ser>
          <c:idx val="0"/>
          <c:order val="0"/>
          <c:tx>
            <c:strRef>
              <c:f>TABLICA!$C$1</c:f>
              <c:strCache>
                <c:ptCount val="1"/>
                <c:pt idx="0">
                  <c:v>wybory do Sejmu i Senatu (2023 r.)</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TABLICA!$B$2:$B$6</c:f>
              <c:strCache>
                <c:ptCount val="5"/>
                <c:pt idx="0">
                  <c:v>Województwo
lubelskie</c:v>
                </c:pt>
                <c:pt idx="1">
                  <c:v>Powiat opolski</c:v>
                </c:pt>
                <c:pt idx="2">
                  <c:v>Opole Lubelskie</c:v>
                </c:pt>
                <c:pt idx="3">
                  <c:v>Opole Lubelskie - miasto</c:v>
                </c:pt>
                <c:pt idx="4">
                  <c:v>Opole Lubelskie - obszar wiejski</c:v>
                </c:pt>
              </c:strCache>
            </c:strRef>
          </c:cat>
          <c:val>
            <c:numRef>
              <c:f>TABLICA!$C$2:$C$6</c:f>
              <c:numCache>
                <c:formatCode>0.0%</c:formatCode>
                <c:ptCount val="5"/>
                <c:pt idx="0">
                  <c:v>0.70509999999999995</c:v>
                </c:pt>
                <c:pt idx="1">
                  <c:v>0.66349999999999998</c:v>
                </c:pt>
                <c:pt idx="2">
                  <c:v>0.66849999999999998</c:v>
                </c:pt>
                <c:pt idx="3">
                  <c:v>0.68459999999999999</c:v>
                </c:pt>
                <c:pt idx="4">
                  <c:v>0.64500000000000002</c:v>
                </c:pt>
              </c:numCache>
            </c:numRef>
          </c:val>
          <c:extLst xmlns:c16r2="http://schemas.microsoft.com/office/drawing/2015/06/chart">
            <c:ext xmlns:c16="http://schemas.microsoft.com/office/drawing/2014/chart" uri="{C3380CC4-5D6E-409C-BE32-E72D297353CC}">
              <c16:uniqueId val="{00000000-C6D3-420F-AB82-A891315C3DE4}"/>
            </c:ext>
          </c:extLst>
        </c:ser>
        <c:ser>
          <c:idx val="1"/>
          <c:order val="1"/>
          <c:tx>
            <c:strRef>
              <c:f>TABLICA!$D$1</c:f>
              <c:strCache>
                <c:ptCount val="1"/>
                <c:pt idx="0">
                  <c:v>wybory samorządowe (2024 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TABLICA!$B$2:$B$6</c:f>
              <c:strCache>
                <c:ptCount val="5"/>
                <c:pt idx="0">
                  <c:v>Województwo
lubelskie</c:v>
                </c:pt>
                <c:pt idx="1">
                  <c:v>Powiat opolski</c:v>
                </c:pt>
                <c:pt idx="2">
                  <c:v>Opole Lubelskie</c:v>
                </c:pt>
                <c:pt idx="3">
                  <c:v>Opole Lubelskie - miasto</c:v>
                </c:pt>
                <c:pt idx="4">
                  <c:v>Opole Lubelskie - obszar wiejski</c:v>
                </c:pt>
              </c:strCache>
            </c:strRef>
          </c:cat>
          <c:val>
            <c:numRef>
              <c:f>TABLICA!$D$2:$D$6</c:f>
              <c:numCache>
                <c:formatCode>0.0%</c:formatCode>
                <c:ptCount val="5"/>
                <c:pt idx="0">
                  <c:v>0.5292</c:v>
                </c:pt>
                <c:pt idx="1">
                  <c:v>0.52700000000000002</c:v>
                </c:pt>
                <c:pt idx="2">
                  <c:v>0.49009999999999998</c:v>
                </c:pt>
                <c:pt idx="3">
                  <c:v>0.4929</c:v>
                </c:pt>
                <c:pt idx="4">
                  <c:v>0.48609999999999998</c:v>
                </c:pt>
              </c:numCache>
            </c:numRef>
          </c:val>
          <c:extLst xmlns:c16r2="http://schemas.microsoft.com/office/drawing/2015/06/chart">
            <c:ext xmlns:c16="http://schemas.microsoft.com/office/drawing/2014/chart" uri="{C3380CC4-5D6E-409C-BE32-E72D297353CC}">
              <c16:uniqueId val="{00000001-C6D3-420F-AB82-A891315C3DE4}"/>
            </c:ext>
          </c:extLst>
        </c:ser>
        <c:ser>
          <c:idx val="2"/>
          <c:order val="2"/>
          <c:tx>
            <c:strRef>
              <c:f>TABLICA!$E$1</c:f>
              <c:strCache>
                <c:ptCount val="1"/>
                <c:pt idx="0">
                  <c:v>wybory do Parlamentu Europejskiego (2024 r.)</c:v>
                </c:pt>
              </c:strCache>
            </c:strRef>
          </c:tx>
          <c:spPr>
            <a:solidFill>
              <a:srgbClr val="ED7D31">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TABLICA!$B$2:$B$6</c:f>
              <c:strCache>
                <c:ptCount val="5"/>
                <c:pt idx="0">
                  <c:v>Województwo
lubelskie</c:v>
                </c:pt>
                <c:pt idx="1">
                  <c:v>Powiat opolski</c:v>
                </c:pt>
                <c:pt idx="2">
                  <c:v>Opole Lubelskie</c:v>
                </c:pt>
                <c:pt idx="3">
                  <c:v>Opole Lubelskie - miasto</c:v>
                </c:pt>
                <c:pt idx="4">
                  <c:v>Opole Lubelskie - obszar wiejski</c:v>
                </c:pt>
              </c:strCache>
            </c:strRef>
          </c:cat>
          <c:val>
            <c:numRef>
              <c:f>TABLICA!$E$2:$E$6</c:f>
              <c:numCache>
                <c:formatCode>0.0%</c:formatCode>
                <c:ptCount val="5"/>
                <c:pt idx="0">
                  <c:v>0.38350000000000001</c:v>
                </c:pt>
                <c:pt idx="1">
                  <c:v>0.33789999999999998</c:v>
                </c:pt>
                <c:pt idx="2">
                  <c:v>0.33839999999999998</c:v>
                </c:pt>
                <c:pt idx="3">
                  <c:v>0.35820000000000002</c:v>
                </c:pt>
                <c:pt idx="4">
                  <c:v>0.30940000000000001</c:v>
                </c:pt>
              </c:numCache>
            </c:numRef>
          </c:val>
          <c:extLst xmlns:c16r2="http://schemas.microsoft.com/office/drawing/2015/06/chart">
            <c:ext xmlns:c16="http://schemas.microsoft.com/office/drawing/2014/chart" uri="{C3380CC4-5D6E-409C-BE32-E72D297353CC}">
              <c16:uniqueId val="{00000002-C6D3-420F-AB82-A891315C3DE4}"/>
            </c:ext>
          </c:extLst>
        </c:ser>
        <c:dLbls>
          <c:dLblPos val="outEnd"/>
          <c:showLegendKey val="0"/>
          <c:showVal val="1"/>
          <c:showCatName val="0"/>
          <c:showSerName val="0"/>
          <c:showPercent val="0"/>
          <c:showBubbleSize val="0"/>
        </c:dLbls>
        <c:gapWidth val="100"/>
        <c:overlap val="-20"/>
        <c:axId val="351632424"/>
        <c:axId val="351628896"/>
      </c:barChart>
      <c:catAx>
        <c:axId val="351632424"/>
        <c:scaling>
          <c:orientation val="minMax"/>
        </c:scaling>
        <c:delete val="0"/>
        <c:axPos val="b"/>
        <c:numFmt formatCode="General" sourceLinked="0"/>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lgn="ctr">
              <a:defRPr lang="en-US"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1628896"/>
        <c:crosses val="autoZero"/>
        <c:auto val="1"/>
        <c:lblAlgn val="ctr"/>
        <c:lblOffset val="100"/>
        <c:noMultiLvlLbl val="0"/>
      </c:catAx>
      <c:valAx>
        <c:axId val="351628896"/>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1632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lgn="ctr">
            <a:defRPr lang="en-US"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84832000166645838"/>
          <c:h val="0.79696560512857562"/>
        </c:manualLayout>
      </c:layout>
      <c:barChart>
        <c:barDir val="col"/>
        <c:grouping val="stack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E37D-4435-912B-8D5CE3220788}"/>
              </c:ext>
            </c:extLst>
          </c:dPt>
          <c:dLbls>
            <c:dLbl>
              <c:idx val="0"/>
              <c:layout>
                <c:manualLayout>
                  <c:x val="0"/>
                  <c:y val="-0.3392435684424415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7D-4435-912B-8D5CE3220788}"/>
                </c:ext>
                <c:ext xmlns:c15="http://schemas.microsoft.com/office/drawing/2012/chart" uri="{CE6537A1-D6FC-4f65-9D91-7224C49458BB}"/>
              </c:extLst>
            </c:dLbl>
            <c:dLbl>
              <c:idx val="1"/>
              <c:layout>
                <c:manualLayout>
                  <c:x val="0"/>
                  <c:y val="-0.3385797135273405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7D-4435-912B-8D5CE3220788}"/>
                </c:ext>
                <c:ext xmlns:c15="http://schemas.microsoft.com/office/drawing/2012/chart" uri="{CE6537A1-D6FC-4f65-9D91-7224C49458BB}"/>
              </c:extLst>
            </c:dLbl>
            <c:dLbl>
              <c:idx val="2"/>
              <c:layout>
                <c:manualLayout>
                  <c:x val="-2.205071664829107E-3"/>
                  <c:y val="-0.3312739753684635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7D-4435-912B-8D5CE3220788}"/>
                </c:ext>
                <c:ext xmlns:c15="http://schemas.microsoft.com/office/drawing/2012/chart" uri="{CE6537A1-D6FC-4f65-9D91-7224C49458BB}"/>
              </c:extLst>
            </c:dLbl>
            <c:dLbl>
              <c:idx val="3"/>
              <c:layout>
                <c:manualLayout>
                  <c:x val="0"/>
                  <c:y val="-0.3471016546361486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7D-4435-912B-8D5CE3220788}"/>
                </c:ext>
                <c:ext xmlns:c15="http://schemas.microsoft.com/office/drawing/2012/chart" uri="{CE6537A1-D6FC-4f65-9D91-7224C49458BB}"/>
              </c:extLst>
            </c:dLbl>
            <c:dLbl>
              <c:idx val="4"/>
              <c:layout>
                <c:manualLayout>
                  <c:x val="0"/>
                  <c:y val="-0.3067009707766769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7D-4435-912B-8D5CE322078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TABLICA!$B$15:$B$19</c:f>
              <c:strCache>
                <c:ptCount val="5"/>
                <c:pt idx="0">
                  <c:v>Województwo lubelskie</c:v>
                </c:pt>
                <c:pt idx="1">
                  <c:v>Powiat opolski</c:v>
                </c:pt>
                <c:pt idx="2">
                  <c:v>Opole Lubelskie</c:v>
                </c:pt>
                <c:pt idx="3">
                  <c:v>Opole Lubelskie - miasto</c:v>
                </c:pt>
                <c:pt idx="4">
                  <c:v>Opole Lubelskie - obszar wiejski</c:v>
                </c:pt>
              </c:strCache>
            </c:strRef>
          </c:cat>
          <c:val>
            <c:numRef>
              <c:f>TABLICA!$C$15:$C$19</c:f>
              <c:numCache>
                <c:formatCode>General</c:formatCode>
                <c:ptCount val="5"/>
                <c:pt idx="0">
                  <c:v>4.57</c:v>
                </c:pt>
                <c:pt idx="1">
                  <c:v>4.5599999999999996</c:v>
                </c:pt>
                <c:pt idx="2">
                  <c:v>4.45</c:v>
                </c:pt>
                <c:pt idx="3">
                  <c:v>4.83</c:v>
                </c:pt>
                <c:pt idx="4">
                  <c:v>4.08</c:v>
                </c:pt>
              </c:numCache>
            </c:numRef>
          </c:val>
          <c:extLst xmlns:c16r2="http://schemas.microsoft.com/office/drawing/2015/06/chart">
            <c:ext xmlns:c16="http://schemas.microsoft.com/office/drawing/2014/chart" uri="{C3380CC4-5D6E-409C-BE32-E72D297353CC}">
              <c16:uniqueId val="{00000005-E37D-4435-912B-8D5CE3220788}"/>
            </c:ext>
          </c:extLst>
        </c:ser>
        <c:dLbls>
          <c:showLegendKey val="0"/>
          <c:showVal val="0"/>
          <c:showCatName val="0"/>
          <c:showSerName val="0"/>
          <c:showPercent val="0"/>
          <c:showBubbleSize val="0"/>
        </c:dLbls>
        <c:gapWidth val="150"/>
        <c:overlap val="100"/>
        <c:axId val="352011424"/>
        <c:axId val="352012600"/>
      </c:barChart>
      <c:catAx>
        <c:axId val="352011424"/>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012600"/>
        <c:crosses val="autoZero"/>
        <c:auto val="1"/>
        <c:lblAlgn val="ctr"/>
        <c:lblOffset val="100"/>
        <c:noMultiLvlLbl val="0"/>
      </c:catAx>
      <c:valAx>
        <c:axId val="3520126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011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7.7193879346591915E-2"/>
          <c:w val="0.89701808107319914"/>
          <c:h val="0.67434989821755686"/>
        </c:manualLayout>
      </c:layout>
      <c:barChart>
        <c:barDir val="col"/>
        <c:grouping val="clustered"/>
        <c:varyColors val="0"/>
        <c:ser>
          <c:idx val="0"/>
          <c:order val="0"/>
          <c:tx>
            <c:strRef>
              <c:f>TABLICA!$C$14</c:f>
              <c:strCache>
                <c:ptCount val="1"/>
                <c:pt idx="0">
                  <c:v>osoby fizyczne prowadzące działalność gospodarczą na 1000 ludności</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TABLICA!$B$15:$B$19</c:f>
              <c:strCache>
                <c:ptCount val="5"/>
                <c:pt idx="0">
                  <c:v>Województwo lubelskie</c:v>
                </c:pt>
                <c:pt idx="1">
                  <c:v>Powiat opolski</c:v>
                </c:pt>
                <c:pt idx="2">
                  <c:v>Opole Lubelskie</c:v>
                </c:pt>
                <c:pt idx="3">
                  <c:v>Opole Lubelskie - miasto</c:v>
                </c:pt>
                <c:pt idx="4">
                  <c:v>Opole Lubelskie - obszar wiejski</c:v>
                </c:pt>
              </c:strCache>
            </c:strRef>
          </c:cat>
          <c:val>
            <c:numRef>
              <c:f>TABLICA!$C$15:$C$19</c:f>
              <c:numCache>
                <c:formatCode>General</c:formatCode>
                <c:ptCount val="5"/>
                <c:pt idx="0">
                  <c:v>79</c:v>
                </c:pt>
                <c:pt idx="1">
                  <c:v>65</c:v>
                </c:pt>
                <c:pt idx="2">
                  <c:v>77</c:v>
                </c:pt>
                <c:pt idx="3">
                  <c:v>98</c:v>
                </c:pt>
                <c:pt idx="4">
                  <c:v>57</c:v>
                </c:pt>
              </c:numCache>
            </c:numRef>
          </c:val>
          <c:extLst xmlns:c16r2="http://schemas.microsoft.com/office/drawing/2015/06/chart">
            <c:ext xmlns:c16="http://schemas.microsoft.com/office/drawing/2014/chart" uri="{C3380CC4-5D6E-409C-BE32-E72D297353CC}">
              <c16:uniqueId val="{00000000-6F79-4F96-9A7F-AB46562A0D44}"/>
            </c:ext>
          </c:extLst>
        </c:ser>
        <c:ser>
          <c:idx val="1"/>
          <c:order val="1"/>
          <c:tx>
            <c:strRef>
              <c:f>TABLICA!$D$14</c:f>
              <c:strCache>
                <c:ptCount val="1"/>
                <c:pt idx="0">
                  <c:v>osoby fizyczne prowadzące działalność gospodarczą na 100 osób w wieku produkcyjnym</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TABLICA!$B$15:$B$19</c:f>
              <c:strCache>
                <c:ptCount val="5"/>
                <c:pt idx="0">
                  <c:v>Województwo lubelskie</c:v>
                </c:pt>
                <c:pt idx="1">
                  <c:v>Powiat opolski</c:v>
                </c:pt>
                <c:pt idx="2">
                  <c:v>Opole Lubelskie</c:v>
                </c:pt>
                <c:pt idx="3">
                  <c:v>Opole Lubelskie - miasto</c:v>
                </c:pt>
                <c:pt idx="4">
                  <c:v>Opole Lubelskie - obszar wiejski</c:v>
                </c:pt>
              </c:strCache>
            </c:strRef>
          </c:cat>
          <c:val>
            <c:numRef>
              <c:f>TABLICA!$D$15:$D$19</c:f>
              <c:numCache>
                <c:formatCode>0</c:formatCode>
                <c:ptCount val="5"/>
                <c:pt idx="0">
                  <c:v>13.66</c:v>
                </c:pt>
                <c:pt idx="1">
                  <c:v>11.31</c:v>
                </c:pt>
                <c:pt idx="2">
                  <c:v>13.16</c:v>
                </c:pt>
                <c:pt idx="3">
                  <c:v>17.329999999999998</c:v>
                </c:pt>
                <c:pt idx="4">
                  <c:v>9.4600000000000009</c:v>
                </c:pt>
              </c:numCache>
            </c:numRef>
          </c:val>
          <c:extLst xmlns:c16r2="http://schemas.microsoft.com/office/drawing/2015/06/chart">
            <c:ext xmlns:c16="http://schemas.microsoft.com/office/drawing/2014/chart" uri="{C3380CC4-5D6E-409C-BE32-E72D297353CC}">
              <c16:uniqueId val="{00000001-6F79-4F96-9A7F-AB46562A0D44}"/>
            </c:ext>
          </c:extLst>
        </c:ser>
        <c:dLbls>
          <c:dLblPos val="outEnd"/>
          <c:showLegendKey val="0"/>
          <c:showVal val="1"/>
          <c:showCatName val="0"/>
          <c:showSerName val="0"/>
          <c:showPercent val="0"/>
          <c:showBubbleSize val="0"/>
        </c:dLbls>
        <c:gapWidth val="100"/>
        <c:overlap val="-20"/>
        <c:axId val="352008288"/>
        <c:axId val="352009856"/>
      </c:barChart>
      <c:catAx>
        <c:axId val="352008288"/>
        <c:scaling>
          <c:orientation val="minMax"/>
        </c:scaling>
        <c:delete val="0"/>
        <c:axPos val="b"/>
        <c:numFmt formatCode="General" sourceLinked="0"/>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009856"/>
        <c:crosses val="autoZero"/>
        <c:auto val="1"/>
        <c:lblAlgn val="ctr"/>
        <c:lblOffset val="100"/>
        <c:noMultiLvlLbl val="0"/>
      </c:catAx>
      <c:valAx>
        <c:axId val="352009856"/>
        <c:scaling>
          <c:orientation val="minMax"/>
          <c:max val="1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008288"/>
        <c:crosses val="autoZero"/>
        <c:crossBetween val="between"/>
      </c:valAx>
      <c:spPr>
        <a:noFill/>
        <a:ln>
          <a:noFill/>
        </a:ln>
        <a:effectLst/>
      </c:spPr>
    </c:plotArea>
    <c:legend>
      <c:legendPos val="b"/>
      <c:layout>
        <c:manualLayout>
          <c:xMode val="edge"/>
          <c:yMode val="edge"/>
          <c:x val="0"/>
          <c:y val="0.88504085189774706"/>
          <c:w val="0.99838735435848291"/>
          <c:h val="0.1149591481022529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88580628358610647"/>
          <c:h val="0.79696560512857562"/>
        </c:manualLayout>
      </c:layout>
      <c:barChart>
        <c:barDir val="col"/>
        <c:grouping val="clustered"/>
        <c:varyColors val="0"/>
        <c:ser>
          <c:idx val="0"/>
          <c:order val="0"/>
          <c:tx>
            <c:strRef>
              <c:f>TABLICA!$C$16</c:f>
              <c:strCache>
                <c:ptCount val="1"/>
                <c:pt idx="0">
                  <c:v>liczba pracujących na 1 000 mieszkańców </c:v>
                </c:pt>
              </c:strCache>
            </c:strRef>
          </c:tx>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D75-40B9-A42D-592C0284D083}"/>
              </c:ext>
            </c:extLst>
          </c:dPt>
          <c:dLbls>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TABLICA!$B$17:$B$21</c:f>
              <c:strCache>
                <c:ptCount val="5"/>
                <c:pt idx="0">
                  <c:v>Województwo lubelskie</c:v>
                </c:pt>
                <c:pt idx="1">
                  <c:v>Powiat opolski</c:v>
                </c:pt>
                <c:pt idx="2">
                  <c:v>Opole Lubelskie</c:v>
                </c:pt>
                <c:pt idx="3">
                  <c:v>Opole Lubelskie - miasto</c:v>
                </c:pt>
                <c:pt idx="4">
                  <c:v>Opole Lubelskie - obszar wiejski</c:v>
                </c:pt>
              </c:strCache>
            </c:strRef>
          </c:cat>
          <c:val>
            <c:numRef>
              <c:f>TABLICA!$C$17:$C$21</c:f>
              <c:numCache>
                <c:formatCode>0</c:formatCode>
                <c:ptCount val="5"/>
                <c:pt idx="0">
                  <c:v>378.71019424210374</c:v>
                </c:pt>
                <c:pt idx="1">
                  <c:v>374.95058400718779</c:v>
                </c:pt>
                <c:pt idx="2">
                  <c:v>373.03107047995553</c:v>
                </c:pt>
                <c:pt idx="3">
                  <c:v>362.79247202441508</c:v>
                </c:pt>
                <c:pt idx="4">
                  <c:v>382.70270270270265</c:v>
                </c:pt>
              </c:numCache>
            </c:numRef>
          </c:val>
          <c:extLst xmlns:c16r2="http://schemas.microsoft.com/office/drawing/2015/06/chart">
            <c:ext xmlns:c16="http://schemas.microsoft.com/office/drawing/2014/chart" uri="{C3380CC4-5D6E-409C-BE32-E72D297353CC}">
              <c16:uniqueId val="{00000001-DD75-40B9-A42D-592C0284D083}"/>
            </c:ext>
          </c:extLst>
        </c:ser>
        <c:ser>
          <c:idx val="1"/>
          <c:order val="1"/>
          <c:tx>
            <c:strRef>
              <c:f>TABLICA!$D$16</c:f>
              <c:strCache>
                <c:ptCount val="1"/>
                <c:pt idx="0">
                  <c:v>liczba pracujących na 1 000 mieszkańców w wieku produkcyjnym</c:v>
                </c:pt>
              </c:strCache>
            </c:strRef>
          </c:tx>
          <c:spPr>
            <a:solidFill>
              <a:sysClr val="window" lastClr="FFFFFF">
                <a:lumMod val="75000"/>
              </a:sysClr>
            </a:solidFill>
          </c:spPr>
          <c:invertIfNegative val="0"/>
          <c:dLbls>
            <c:spPr>
              <a:noFill/>
              <a:ln>
                <a:noFill/>
              </a:ln>
              <a:effectLst/>
            </c:spPr>
            <c:txPr>
              <a:bodyPr wrap="square" lIns="38100" tIns="19050" rIns="38100" bIns="19050" anchor="ctr" anchorCtr="0">
                <a:spAutoFit/>
              </a:bodyPr>
              <a:lstStyle/>
              <a:p>
                <a:pPr algn="ctr">
                  <a:defRPr lang="en-US" sz="700" b="1" i="0" u="none" strike="noStrike" kern="1200" baseline="0">
                    <a:solidFill>
                      <a:schemeClr val="tx1"/>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TABLICA!$B$17:$B$21</c:f>
              <c:strCache>
                <c:ptCount val="5"/>
                <c:pt idx="0">
                  <c:v>Województwo lubelskie</c:v>
                </c:pt>
                <c:pt idx="1">
                  <c:v>Powiat opolski</c:v>
                </c:pt>
                <c:pt idx="2">
                  <c:v>Opole Lubelskie</c:v>
                </c:pt>
                <c:pt idx="3">
                  <c:v>Opole Lubelskie - miasto</c:v>
                </c:pt>
                <c:pt idx="4">
                  <c:v>Opole Lubelskie - obszar wiejski</c:v>
                </c:pt>
              </c:strCache>
            </c:strRef>
          </c:cat>
          <c:val>
            <c:numRef>
              <c:f>TABLICA!$D$17:$D$21</c:f>
              <c:numCache>
                <c:formatCode>0</c:formatCode>
                <c:ptCount val="5"/>
                <c:pt idx="0">
                  <c:v>654.90717754203001</c:v>
                </c:pt>
                <c:pt idx="1">
                  <c:v>647.97217564126447</c:v>
                </c:pt>
                <c:pt idx="2">
                  <c:v>637.69799366420273</c:v>
                </c:pt>
                <c:pt idx="3">
                  <c:v>641.12359550561791</c:v>
                </c:pt>
                <c:pt idx="4">
                  <c:v>634.66135458167332</c:v>
                </c:pt>
              </c:numCache>
            </c:numRef>
          </c:val>
          <c:extLst xmlns:c16r2="http://schemas.microsoft.com/office/drawing/2015/06/chart">
            <c:ext xmlns:c16="http://schemas.microsoft.com/office/drawing/2014/chart" uri="{C3380CC4-5D6E-409C-BE32-E72D297353CC}">
              <c16:uniqueId val="{00000002-DD75-40B9-A42D-592C0284D083}"/>
            </c:ext>
          </c:extLst>
        </c:ser>
        <c:dLbls>
          <c:showLegendKey val="0"/>
          <c:showVal val="0"/>
          <c:showCatName val="0"/>
          <c:showSerName val="0"/>
          <c:showPercent val="0"/>
          <c:showBubbleSize val="0"/>
        </c:dLbls>
        <c:gapWidth val="150"/>
        <c:axId val="352013384"/>
        <c:axId val="352009072"/>
      </c:barChart>
      <c:catAx>
        <c:axId val="352013384"/>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009072"/>
        <c:crosses val="autoZero"/>
        <c:auto val="1"/>
        <c:lblAlgn val="ctr"/>
        <c:lblOffset val="100"/>
        <c:noMultiLvlLbl val="0"/>
      </c:catAx>
      <c:valAx>
        <c:axId val="35200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013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0.12181033828075652"/>
          <c:w val="0.90190827863822176"/>
          <c:h val="0.70860881274808896"/>
        </c:manualLayout>
      </c:layout>
      <c:barChart>
        <c:barDir val="col"/>
        <c:grouping val="clustered"/>
        <c:varyColors val="0"/>
        <c:ser>
          <c:idx val="0"/>
          <c:order val="0"/>
          <c:tx>
            <c:strRef>
              <c:f>TABLICA!$B$3</c:f>
              <c:strCache>
                <c:ptCount val="1"/>
                <c:pt idx="0">
                  <c:v>Opole Lubelskie</c:v>
                </c:pt>
              </c:strCache>
            </c:strRef>
          </c:tx>
          <c:spPr>
            <a:solidFill>
              <a:srgbClr val="ED7D3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TABLICA!$C$1:$L$2</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TABLICA!$C$3:$L$3</c:f>
              <c:numCache>
                <c:formatCode>#,##0</c:formatCode>
                <c:ptCount val="10"/>
                <c:pt idx="0">
                  <c:v>1026</c:v>
                </c:pt>
                <c:pt idx="1">
                  <c:v>987</c:v>
                </c:pt>
                <c:pt idx="2">
                  <c:v>855</c:v>
                </c:pt>
                <c:pt idx="3">
                  <c:v>703</c:v>
                </c:pt>
                <c:pt idx="4">
                  <c:v>676</c:v>
                </c:pt>
                <c:pt idx="5">
                  <c:v>633</c:v>
                </c:pt>
                <c:pt idx="6">
                  <c:v>686</c:v>
                </c:pt>
                <c:pt idx="7">
                  <c:v>537</c:v>
                </c:pt>
                <c:pt idx="8">
                  <c:v>517</c:v>
                </c:pt>
                <c:pt idx="9">
                  <c:v>541</c:v>
                </c:pt>
              </c:numCache>
            </c:numRef>
          </c:val>
          <c:extLst xmlns:c16r2="http://schemas.microsoft.com/office/drawing/2015/06/chart">
            <c:ext xmlns:c16="http://schemas.microsoft.com/office/drawing/2014/chart" uri="{C3380CC4-5D6E-409C-BE32-E72D297353CC}">
              <c16:uniqueId val="{00000000-098A-4D28-A632-95A1DC167364}"/>
            </c:ext>
          </c:extLst>
        </c:ser>
        <c:ser>
          <c:idx val="1"/>
          <c:order val="1"/>
          <c:tx>
            <c:strRef>
              <c:f>TABLICA!$B$4</c:f>
              <c:strCache>
                <c:ptCount val="1"/>
                <c:pt idx="0">
                  <c:v>Opole Lubelskie - miasto</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TABLICA!$C$1:$L$2</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TABLICA!$C$4:$L$4</c:f>
              <c:numCache>
                <c:formatCode>General</c:formatCode>
                <c:ptCount val="10"/>
                <c:pt idx="5" formatCode="#,##0">
                  <c:v>299</c:v>
                </c:pt>
                <c:pt idx="6" formatCode="#,##0">
                  <c:v>335</c:v>
                </c:pt>
                <c:pt idx="7" formatCode="#,##0">
                  <c:v>257</c:v>
                </c:pt>
                <c:pt idx="8" formatCode="#,##0">
                  <c:v>254</c:v>
                </c:pt>
                <c:pt idx="9" formatCode="#,##0">
                  <c:v>261</c:v>
                </c:pt>
              </c:numCache>
            </c:numRef>
          </c:val>
          <c:extLst xmlns:c16r2="http://schemas.microsoft.com/office/drawing/2015/06/chart">
            <c:ext xmlns:c16="http://schemas.microsoft.com/office/drawing/2014/chart" uri="{C3380CC4-5D6E-409C-BE32-E72D297353CC}">
              <c16:uniqueId val="{00000001-098A-4D28-A632-95A1DC167364}"/>
            </c:ext>
          </c:extLst>
        </c:ser>
        <c:ser>
          <c:idx val="2"/>
          <c:order val="2"/>
          <c:tx>
            <c:strRef>
              <c:f>TABLICA!$B$5</c:f>
              <c:strCache>
                <c:ptCount val="1"/>
                <c:pt idx="0">
                  <c:v>Opole Lubelskie - obszar wiejski</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TABLICA!$C$1:$L$2</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TABLICA!$C$5:$L$5</c:f>
              <c:numCache>
                <c:formatCode>General</c:formatCode>
                <c:ptCount val="10"/>
                <c:pt idx="5" formatCode="#,##0">
                  <c:v>334</c:v>
                </c:pt>
                <c:pt idx="6" formatCode="#,##0">
                  <c:v>351</c:v>
                </c:pt>
                <c:pt idx="7" formatCode="#,##0">
                  <c:v>280</c:v>
                </c:pt>
                <c:pt idx="8" formatCode="#,##0">
                  <c:v>263</c:v>
                </c:pt>
                <c:pt idx="9" formatCode="#,##0">
                  <c:v>280</c:v>
                </c:pt>
              </c:numCache>
            </c:numRef>
          </c:val>
          <c:extLst xmlns:c16r2="http://schemas.microsoft.com/office/drawing/2015/06/chart">
            <c:ext xmlns:c16="http://schemas.microsoft.com/office/drawing/2014/chart" uri="{C3380CC4-5D6E-409C-BE32-E72D297353CC}">
              <c16:uniqueId val="{00000002-098A-4D28-A632-95A1DC167364}"/>
            </c:ext>
          </c:extLst>
        </c:ser>
        <c:dLbls>
          <c:dLblPos val="outEnd"/>
          <c:showLegendKey val="0"/>
          <c:showVal val="1"/>
          <c:showCatName val="0"/>
          <c:showSerName val="0"/>
          <c:showPercent val="0"/>
          <c:showBubbleSize val="0"/>
        </c:dLbls>
        <c:gapWidth val="100"/>
        <c:overlap val="-24"/>
        <c:axId val="352181528"/>
        <c:axId val="352185840"/>
      </c:barChart>
      <c:catAx>
        <c:axId val="352181528"/>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185840"/>
        <c:crosses val="autoZero"/>
        <c:auto val="1"/>
        <c:lblAlgn val="ctr"/>
        <c:lblOffset val="100"/>
        <c:noMultiLvlLbl val="0"/>
      </c:catAx>
      <c:valAx>
        <c:axId val="3521858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181528"/>
        <c:crosses val="autoZero"/>
        <c:crossBetween val="between"/>
      </c:valAx>
      <c:spPr>
        <a:noFill/>
        <a:ln>
          <a:noFill/>
        </a:ln>
        <a:effectLst/>
      </c:spPr>
    </c:plotArea>
    <c:legend>
      <c:legendPos val="b"/>
      <c:layout>
        <c:manualLayout>
          <c:xMode val="edge"/>
          <c:yMode val="edge"/>
          <c:x val="7.714868974711496E-2"/>
          <c:y val="0.92060636033763243"/>
          <c:w val="0.90037929286616947"/>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879191068591619"/>
          <c:h val="0.79696560512857562"/>
        </c:manualLayout>
      </c:layout>
      <c:barChart>
        <c:barDir val="col"/>
        <c:grouping val="stack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CFE6-48A3-9BD9-8FD091E5FE7D}"/>
              </c:ext>
            </c:extLst>
          </c:dPt>
          <c:dLbls>
            <c:dLbl>
              <c:idx val="0"/>
              <c:layout>
                <c:manualLayout>
                  <c:x val="-2.205071664829107E-3"/>
                  <c:y val="-0.3146705638506548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FE6-48A3-9BD9-8FD091E5FE7D}"/>
                </c:ext>
                <c:ext xmlns:c15="http://schemas.microsoft.com/office/drawing/2012/chart" uri="{CE6537A1-D6FC-4f65-9D91-7224C49458BB}"/>
              </c:extLst>
            </c:dLbl>
            <c:dLbl>
              <c:idx val="1"/>
              <c:layout>
                <c:manualLayout>
                  <c:x val="0"/>
                  <c:y val="-0.3659040855602294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E6-48A3-9BD9-8FD091E5FE7D}"/>
                </c:ext>
                <c:ext xmlns:c15="http://schemas.microsoft.com/office/drawing/2012/chart" uri="{CE6537A1-D6FC-4f65-9D91-7224C49458BB}"/>
              </c:extLst>
            </c:dLbl>
            <c:dLbl>
              <c:idx val="2"/>
              <c:layout>
                <c:manualLayout>
                  <c:x val="0"/>
                  <c:y val="-0.3508021271511844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FE6-48A3-9BD9-8FD091E5FE7D}"/>
                </c:ext>
                <c:ext xmlns:c15="http://schemas.microsoft.com/office/drawing/2012/chart" uri="{CE6537A1-D6FC-4f65-9D91-7224C49458BB}"/>
              </c:extLst>
            </c:dLbl>
            <c:dLbl>
              <c:idx val="3"/>
              <c:layout>
                <c:manualLayout>
                  <c:x val="-2.2050716648291876E-3"/>
                  <c:y val="-0.3763016390770490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E6-48A3-9BD9-8FD091E5FE7D}"/>
                </c:ext>
                <c:ext xmlns:c15="http://schemas.microsoft.com/office/drawing/2012/chart" uri="{CE6537A1-D6FC-4f65-9D91-7224C49458BB}"/>
              </c:extLst>
            </c:dLbl>
            <c:dLbl>
              <c:idx val="4"/>
              <c:layout>
                <c:manualLayout>
                  <c:x val="-1.6170338740947114E-16"/>
                  <c:y val="-0.3545188996752964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FE6-48A3-9BD9-8FD091E5FE7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TABLICA!$B$14:$B$18</c:f>
              <c:strCache>
                <c:ptCount val="5"/>
                <c:pt idx="0">
                  <c:v>Województwo lubelskie</c:v>
                </c:pt>
                <c:pt idx="1">
                  <c:v>Powiat opolski</c:v>
                </c:pt>
                <c:pt idx="2">
                  <c:v>Opole Lubelskie</c:v>
                </c:pt>
                <c:pt idx="3">
                  <c:v>Opole Lubelskie - miasto</c:v>
                </c:pt>
                <c:pt idx="4">
                  <c:v>Opole Lubelskie - obszar wiejski</c:v>
                </c:pt>
              </c:strCache>
            </c:strRef>
          </c:cat>
          <c:val>
            <c:numRef>
              <c:f>TABLICA!$C$14:$C$18</c:f>
              <c:numCache>
                <c:formatCode>#\ ##0.0</c:formatCode>
                <c:ptCount val="5"/>
                <c:pt idx="0">
                  <c:v>4.9000000000000004</c:v>
                </c:pt>
                <c:pt idx="1">
                  <c:v>5.8</c:v>
                </c:pt>
                <c:pt idx="2">
                  <c:v>5.7</c:v>
                </c:pt>
                <c:pt idx="3">
                  <c:v>5.9</c:v>
                </c:pt>
                <c:pt idx="4">
                  <c:v>5.6</c:v>
                </c:pt>
              </c:numCache>
            </c:numRef>
          </c:val>
          <c:extLst xmlns:c16r2="http://schemas.microsoft.com/office/drawing/2015/06/chart">
            <c:ext xmlns:c16="http://schemas.microsoft.com/office/drawing/2014/chart" uri="{C3380CC4-5D6E-409C-BE32-E72D297353CC}">
              <c16:uniqueId val="{00000005-CFE6-48A3-9BD9-8FD091E5FE7D}"/>
            </c:ext>
          </c:extLst>
        </c:ser>
        <c:dLbls>
          <c:showLegendKey val="0"/>
          <c:showVal val="0"/>
          <c:showCatName val="0"/>
          <c:showSerName val="0"/>
          <c:showPercent val="0"/>
          <c:showBubbleSize val="0"/>
        </c:dLbls>
        <c:gapWidth val="150"/>
        <c:overlap val="100"/>
        <c:axId val="352187800"/>
        <c:axId val="352182312"/>
      </c:barChart>
      <c:catAx>
        <c:axId val="352187800"/>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182312"/>
        <c:crosses val="autoZero"/>
        <c:auto val="1"/>
        <c:lblAlgn val="ctr"/>
        <c:lblOffset val="100"/>
        <c:noMultiLvlLbl val="0"/>
      </c:catAx>
      <c:valAx>
        <c:axId val="35218231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187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3.0146231721034877E-2"/>
          <c:w val="0.89701808107319914"/>
          <c:h val="0.8159102906773209"/>
        </c:manualLayout>
      </c:layout>
      <c:barChart>
        <c:barDir val="col"/>
        <c:grouping val="clustered"/>
        <c:varyColors val="0"/>
        <c:ser>
          <c:idx val="0"/>
          <c:order val="0"/>
          <c:spPr>
            <a:solidFill>
              <a:sysClr val="window" lastClr="FFFFFF">
                <a:lumMod val="65000"/>
              </a:sysClr>
            </a:solidFill>
            <a:ln>
              <a:noFill/>
            </a:ln>
            <a:effectLst/>
          </c:spPr>
          <c:invertIfNegative val="0"/>
          <c:dPt>
            <c:idx val="2"/>
            <c:invertIfNegative val="0"/>
            <c:bubble3D val="0"/>
            <c:spPr>
              <a:solidFill>
                <a:sysClr val="window" lastClr="FFFFFF">
                  <a:lumMod val="65000"/>
                </a:sysClr>
              </a:solidFill>
              <a:ln>
                <a:noFill/>
              </a:ln>
              <a:effectLst/>
            </c:spPr>
            <c:extLst xmlns:c16r2="http://schemas.microsoft.com/office/drawing/2015/06/chart">
              <c:ext xmlns:c16="http://schemas.microsoft.com/office/drawing/2014/chart" uri="{C3380CC4-5D6E-409C-BE32-E72D297353CC}">
                <c16:uniqueId val="{00000001-40EA-49D7-B72F-AAAB868AC710}"/>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TABLICA!$B$23:$B$27</c:f>
              <c:strCache>
                <c:ptCount val="5"/>
                <c:pt idx="0">
                  <c:v>Województwo lubelskie</c:v>
                </c:pt>
                <c:pt idx="1">
                  <c:v>Powiat opolski</c:v>
                </c:pt>
                <c:pt idx="2">
                  <c:v>Opole Lubelskie</c:v>
                </c:pt>
                <c:pt idx="3">
                  <c:v>Opole Lubelskie - miasto</c:v>
                </c:pt>
                <c:pt idx="4">
                  <c:v>Opole Lubelskie - obszar wiejski</c:v>
                </c:pt>
              </c:strCache>
            </c:strRef>
          </c:cat>
          <c:val>
            <c:numRef>
              <c:f>TABLICA!$C$23:$C$27</c:f>
              <c:numCache>
                <c:formatCode>0.0%</c:formatCode>
                <c:ptCount val="5"/>
                <c:pt idx="0">
                  <c:v>-6.3647656659586382E-2</c:v>
                </c:pt>
                <c:pt idx="1">
                  <c:v>-9.5739494979038706E-2</c:v>
                </c:pt>
                <c:pt idx="2">
                  <c:v>-8.6347988035442177E-2</c:v>
                </c:pt>
                <c:pt idx="3">
                  <c:v>-0.10555050045495905</c:v>
                </c:pt>
                <c:pt idx="4">
                  <c:v>-6.7435868712893463E-2</c:v>
                </c:pt>
              </c:numCache>
            </c:numRef>
          </c:val>
          <c:extLst xmlns:c16r2="http://schemas.microsoft.com/office/drawing/2015/06/chart">
            <c:ext xmlns:c16="http://schemas.microsoft.com/office/drawing/2014/chart" uri="{C3380CC4-5D6E-409C-BE32-E72D297353CC}">
              <c16:uniqueId val="{00000002-40EA-49D7-B72F-AAAB868AC710}"/>
            </c:ext>
          </c:extLst>
        </c:ser>
        <c:dLbls>
          <c:dLblPos val="outEnd"/>
          <c:showLegendKey val="0"/>
          <c:showVal val="1"/>
          <c:showCatName val="0"/>
          <c:showSerName val="0"/>
          <c:showPercent val="0"/>
          <c:showBubbleSize val="0"/>
        </c:dLbls>
        <c:gapWidth val="100"/>
        <c:axId val="350027128"/>
        <c:axId val="350032376"/>
      </c:barChart>
      <c:catAx>
        <c:axId val="350027128"/>
        <c:scaling>
          <c:orientation val="minMax"/>
        </c:scaling>
        <c:delete val="0"/>
        <c:axPos val="b"/>
        <c:numFmt formatCode="General" sourceLinked="0"/>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032376"/>
        <c:crosses val="autoZero"/>
        <c:auto val="1"/>
        <c:lblAlgn val="ctr"/>
        <c:lblOffset val="100"/>
        <c:noMultiLvlLbl val="0"/>
      </c:catAx>
      <c:valAx>
        <c:axId val="35003237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6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027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0.10071775608147782"/>
          <c:w val="0.89701808107319914"/>
          <c:h val="0.65082602148267099"/>
        </c:manualLayout>
      </c:layout>
      <c:barChart>
        <c:barDir val="col"/>
        <c:grouping val="clustered"/>
        <c:varyColors val="0"/>
        <c:ser>
          <c:idx val="0"/>
          <c:order val="0"/>
          <c:tx>
            <c:strRef>
              <c:f>TABLICA!$C$13</c:f>
              <c:strCache>
                <c:ptCount val="1"/>
                <c:pt idx="0">
                  <c:v>długotrwale bezrobotni</c:v>
                </c:pt>
              </c:strCache>
            </c:strRef>
          </c:tx>
          <c:spPr>
            <a:solidFill>
              <a:srgbClr val="ED7D3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TABLICA!$B$14:$B$18</c:f>
              <c:strCache>
                <c:ptCount val="5"/>
                <c:pt idx="0">
                  <c:v>Województwo lubelskie</c:v>
                </c:pt>
                <c:pt idx="1">
                  <c:v>Powiat opolski</c:v>
                </c:pt>
                <c:pt idx="2">
                  <c:v>Opole Lubelskie</c:v>
                </c:pt>
                <c:pt idx="3">
                  <c:v>Opole Lubelskie - miasto</c:v>
                </c:pt>
                <c:pt idx="4">
                  <c:v>Opole Lubelskie - obszar wiejski</c:v>
                </c:pt>
              </c:strCache>
            </c:strRef>
          </c:cat>
          <c:val>
            <c:numRef>
              <c:f>TABLICA!$C$14:$C$18</c:f>
              <c:numCache>
                <c:formatCode>0.0%</c:formatCode>
                <c:ptCount val="5"/>
                <c:pt idx="0">
                  <c:v>0.55335796187223363</c:v>
                </c:pt>
                <c:pt idx="1">
                  <c:v>0.57112068965517238</c:v>
                </c:pt>
                <c:pt idx="2">
                  <c:v>0.52310536044362288</c:v>
                </c:pt>
                <c:pt idx="3">
                  <c:v>0.51724137931034486</c:v>
                </c:pt>
                <c:pt idx="4">
                  <c:v>0.52857142857142858</c:v>
                </c:pt>
              </c:numCache>
            </c:numRef>
          </c:val>
          <c:extLst xmlns:c16r2="http://schemas.microsoft.com/office/drawing/2015/06/chart">
            <c:ext xmlns:c16="http://schemas.microsoft.com/office/drawing/2014/chart" uri="{C3380CC4-5D6E-409C-BE32-E72D297353CC}">
              <c16:uniqueId val="{00000000-2F84-4AE0-A40A-D11539345F5B}"/>
            </c:ext>
          </c:extLst>
        </c:ser>
        <c:ser>
          <c:idx val="1"/>
          <c:order val="1"/>
          <c:tx>
            <c:strRef>
              <c:f>TABLICA!$D$13</c:f>
              <c:strCache>
                <c:ptCount val="1"/>
                <c:pt idx="0">
                  <c:v>bezrobotni do 30 roku życia</c:v>
                </c:pt>
              </c:strCache>
            </c:strRef>
          </c:tx>
          <c:spPr>
            <a:solidFill>
              <a:sysClr val="window" lastClr="FFFFFF">
                <a:lumMod val="75000"/>
              </a:sysClr>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TABLICA!$B$14:$B$18</c:f>
              <c:strCache>
                <c:ptCount val="5"/>
                <c:pt idx="0">
                  <c:v>Województwo lubelskie</c:v>
                </c:pt>
                <c:pt idx="1">
                  <c:v>Powiat opolski</c:v>
                </c:pt>
                <c:pt idx="2">
                  <c:v>Opole Lubelskie</c:v>
                </c:pt>
                <c:pt idx="3">
                  <c:v>Opole Lubelskie - miasto</c:v>
                </c:pt>
                <c:pt idx="4">
                  <c:v>Opole Lubelskie - obszar wiejski</c:v>
                </c:pt>
              </c:strCache>
            </c:strRef>
          </c:cat>
          <c:val>
            <c:numRef>
              <c:f>TABLICA!$D$14:$D$18</c:f>
              <c:numCache>
                <c:formatCode>0.0%</c:formatCode>
                <c:ptCount val="5"/>
                <c:pt idx="0">
                  <c:v>0.27715819189349317</c:v>
                </c:pt>
                <c:pt idx="1">
                  <c:v>0.31034482758620691</c:v>
                </c:pt>
                <c:pt idx="2">
                  <c:v>0.29759704251386321</c:v>
                </c:pt>
                <c:pt idx="3">
                  <c:v>0.24521072796934865</c:v>
                </c:pt>
                <c:pt idx="4">
                  <c:v>0.34642857142857142</c:v>
                </c:pt>
              </c:numCache>
            </c:numRef>
          </c:val>
          <c:extLst xmlns:c16r2="http://schemas.microsoft.com/office/drawing/2015/06/chart">
            <c:ext xmlns:c16="http://schemas.microsoft.com/office/drawing/2014/chart" uri="{C3380CC4-5D6E-409C-BE32-E72D297353CC}">
              <c16:uniqueId val="{00000001-2F84-4AE0-A40A-D11539345F5B}"/>
            </c:ext>
          </c:extLst>
        </c:ser>
        <c:ser>
          <c:idx val="2"/>
          <c:order val="2"/>
          <c:tx>
            <c:strRef>
              <c:f>TABLICA!$E$13</c:f>
              <c:strCache>
                <c:ptCount val="1"/>
                <c:pt idx="0">
                  <c:v>bezrobotni powyżej 50 roku życia</c:v>
                </c:pt>
              </c:strCache>
            </c:strRef>
          </c:tx>
          <c:spPr>
            <a:solidFill>
              <a:srgbClr val="ED7D31">
                <a:lumMod val="20000"/>
                <a:lumOff val="80000"/>
              </a:srgb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TABLICA!$B$14:$B$18</c:f>
              <c:strCache>
                <c:ptCount val="5"/>
                <c:pt idx="0">
                  <c:v>Województwo lubelskie</c:v>
                </c:pt>
                <c:pt idx="1">
                  <c:v>Powiat opolski</c:v>
                </c:pt>
                <c:pt idx="2">
                  <c:v>Opole Lubelskie</c:v>
                </c:pt>
                <c:pt idx="3">
                  <c:v>Opole Lubelskie - miasto</c:v>
                </c:pt>
                <c:pt idx="4">
                  <c:v>Opole Lubelskie - obszar wiejski</c:v>
                </c:pt>
              </c:strCache>
            </c:strRef>
          </c:cat>
          <c:val>
            <c:numRef>
              <c:f>TABLICA!$E$14:$E$18</c:f>
              <c:numCache>
                <c:formatCode>0.0%</c:formatCode>
                <c:ptCount val="5"/>
                <c:pt idx="0">
                  <c:v>0.23800230021259541</c:v>
                </c:pt>
                <c:pt idx="1">
                  <c:v>0.2117456896551724</c:v>
                </c:pt>
                <c:pt idx="2">
                  <c:v>0.2144177449168207</c:v>
                </c:pt>
                <c:pt idx="3">
                  <c:v>0.22222222222222221</c:v>
                </c:pt>
                <c:pt idx="4">
                  <c:v>0.20714285714285716</c:v>
                </c:pt>
              </c:numCache>
            </c:numRef>
          </c:val>
          <c:extLst xmlns:c16r2="http://schemas.microsoft.com/office/drawing/2015/06/chart">
            <c:ext xmlns:c16="http://schemas.microsoft.com/office/drawing/2014/chart" uri="{C3380CC4-5D6E-409C-BE32-E72D297353CC}">
              <c16:uniqueId val="{00000002-2F84-4AE0-A40A-D11539345F5B}"/>
            </c:ext>
          </c:extLst>
        </c:ser>
        <c:dLbls>
          <c:dLblPos val="outEnd"/>
          <c:showLegendKey val="0"/>
          <c:showVal val="1"/>
          <c:showCatName val="0"/>
          <c:showSerName val="0"/>
          <c:showPercent val="0"/>
          <c:showBubbleSize val="0"/>
        </c:dLbls>
        <c:gapWidth val="100"/>
        <c:overlap val="-20"/>
        <c:axId val="352184272"/>
        <c:axId val="352180352"/>
      </c:barChart>
      <c:catAx>
        <c:axId val="352184272"/>
        <c:scaling>
          <c:orientation val="minMax"/>
        </c:scaling>
        <c:delete val="0"/>
        <c:axPos val="b"/>
        <c:numFmt formatCode="General" sourceLinked="0"/>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180352"/>
        <c:crosses val="autoZero"/>
        <c:auto val="1"/>
        <c:lblAlgn val="ctr"/>
        <c:lblOffset val="100"/>
        <c:noMultiLvlLbl val="0"/>
      </c:catAx>
      <c:valAx>
        <c:axId val="35218035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184272"/>
        <c:crosses val="autoZero"/>
        <c:crossBetween val="between"/>
      </c:valAx>
      <c:spPr>
        <a:noFill/>
        <a:ln>
          <a:noFill/>
        </a:ln>
        <a:effectLst/>
      </c:spPr>
    </c:plotArea>
    <c:legend>
      <c:legendPos val="b"/>
      <c:layout>
        <c:manualLayout>
          <c:xMode val="edge"/>
          <c:yMode val="edge"/>
          <c:x val="0"/>
          <c:y val="0.88504085189774706"/>
          <c:w val="0.99920634920634921"/>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6.5353034117030348E-2"/>
          <c:w val="0.90190827863822176"/>
          <c:h val="0.71801836344204328"/>
        </c:manualLayout>
      </c:layout>
      <c:lineChart>
        <c:grouping val="standard"/>
        <c:varyColors val="0"/>
        <c:ser>
          <c:idx val="0"/>
          <c:order val="0"/>
          <c:tx>
            <c:strRef>
              <c:f>TABLICA!$B$8</c:f>
              <c:strCache>
                <c:ptCount val="1"/>
                <c:pt idx="0">
                  <c:v>długotrwale bezrobotni</c:v>
                </c:pt>
              </c:strCache>
            </c:strRef>
          </c:tx>
          <c:spPr>
            <a:ln w="31750" cap="rnd">
              <a:solidFill>
                <a:schemeClr val="accent2">
                  <a:shade val="65000"/>
                </a:schemeClr>
              </a:solidFill>
              <a:round/>
            </a:ln>
            <a:effectLst/>
          </c:spPr>
          <c:marker>
            <c:symbol val="circle"/>
            <c:size val="6"/>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TABLICA!$C$7:$L$7</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TABLICA!$C$8:$L$8</c:f>
              <c:numCache>
                <c:formatCode>0.00%</c:formatCode>
                <c:ptCount val="10"/>
                <c:pt idx="0">
                  <c:v>0.58771929824561409</c:v>
                </c:pt>
                <c:pt idx="1">
                  <c:v>0.57750759878419455</c:v>
                </c:pt>
                <c:pt idx="2">
                  <c:v>0.58362573099415205</c:v>
                </c:pt>
                <c:pt idx="3">
                  <c:v>0.53769559032716929</c:v>
                </c:pt>
                <c:pt idx="4">
                  <c:v>0.61094674556213013</c:v>
                </c:pt>
                <c:pt idx="5">
                  <c:v>0.56240126382306477</c:v>
                </c:pt>
                <c:pt idx="6">
                  <c:v>0.58309037900874638</c:v>
                </c:pt>
                <c:pt idx="7">
                  <c:v>0.62942271880819367</c:v>
                </c:pt>
                <c:pt idx="8">
                  <c:v>0.53384912959381048</c:v>
                </c:pt>
                <c:pt idx="9">
                  <c:v>0.52310536044362288</c:v>
                </c:pt>
              </c:numCache>
            </c:numRef>
          </c:val>
          <c:smooth val="0"/>
          <c:extLst xmlns:c16r2="http://schemas.microsoft.com/office/drawing/2015/06/chart">
            <c:ext xmlns:c16="http://schemas.microsoft.com/office/drawing/2014/chart" uri="{C3380CC4-5D6E-409C-BE32-E72D297353CC}">
              <c16:uniqueId val="{00000000-F2D3-4CD5-B4BF-0E4885E9F9D8}"/>
            </c:ext>
          </c:extLst>
        </c:ser>
        <c:ser>
          <c:idx val="1"/>
          <c:order val="1"/>
          <c:tx>
            <c:strRef>
              <c:f>TABLICA!$B$9</c:f>
              <c:strCache>
                <c:ptCount val="1"/>
                <c:pt idx="0">
                  <c:v>bezrobotni do 30 roku życia</c:v>
                </c:pt>
              </c:strCache>
            </c:strRef>
          </c:tx>
          <c:spPr>
            <a:ln w="31750" cap="rnd">
              <a:solidFill>
                <a:schemeClr val="accent2"/>
              </a:solidFill>
              <a:round/>
            </a:ln>
            <a:effectLst/>
          </c:spPr>
          <c:marker>
            <c:symbol val="circle"/>
            <c:size val="6"/>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TABLICA!$C$7:$L$7</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TABLICA!$C$9:$L$9</c:f>
              <c:numCache>
                <c:formatCode>0.00%</c:formatCode>
                <c:ptCount val="10"/>
                <c:pt idx="1">
                  <c:v>0.3667679837892604</c:v>
                </c:pt>
                <c:pt idx="2">
                  <c:v>0.36725146198830411</c:v>
                </c:pt>
                <c:pt idx="3">
                  <c:v>0.35988620199146515</c:v>
                </c:pt>
                <c:pt idx="4">
                  <c:v>0.32692307692307693</c:v>
                </c:pt>
                <c:pt idx="5">
                  <c:v>0.30963665086887837</c:v>
                </c:pt>
                <c:pt idx="6">
                  <c:v>0.34402332361516036</c:v>
                </c:pt>
                <c:pt idx="7">
                  <c:v>0.29981378026070765</c:v>
                </c:pt>
                <c:pt idx="8">
                  <c:v>0.29400386847195359</c:v>
                </c:pt>
                <c:pt idx="9">
                  <c:v>0.29759704251386321</c:v>
                </c:pt>
              </c:numCache>
            </c:numRef>
          </c:val>
          <c:smooth val="0"/>
          <c:extLst xmlns:c16r2="http://schemas.microsoft.com/office/drawing/2015/06/chart">
            <c:ext xmlns:c16="http://schemas.microsoft.com/office/drawing/2014/chart" uri="{C3380CC4-5D6E-409C-BE32-E72D297353CC}">
              <c16:uniqueId val="{00000001-F2D3-4CD5-B4BF-0E4885E9F9D8}"/>
            </c:ext>
          </c:extLst>
        </c:ser>
        <c:ser>
          <c:idx val="2"/>
          <c:order val="2"/>
          <c:tx>
            <c:strRef>
              <c:f>TABLICA!$B$10</c:f>
              <c:strCache>
                <c:ptCount val="1"/>
                <c:pt idx="0">
                  <c:v>bezrobotni powyżej 50 roku życia</c:v>
                </c:pt>
              </c:strCache>
            </c:strRef>
          </c:tx>
          <c:spPr>
            <a:ln w="31750" cap="rnd">
              <a:solidFill>
                <a:sysClr val="window" lastClr="FFFFFF">
                  <a:lumMod val="50000"/>
                </a:sysClr>
              </a:solidFill>
              <a:round/>
            </a:ln>
            <a:effectLst/>
          </c:spPr>
          <c:marker>
            <c:symbol val="circle"/>
            <c:size val="6"/>
            <c:spPr>
              <a:solidFill>
                <a:sysClr val="window" lastClr="FFFFFF">
                  <a:lumMod val="65000"/>
                </a:sysClr>
              </a:soli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chemeClr val="tx1"/>
                    </a:solidFill>
                    <a:latin typeface="Century Gothic" panose="020B0502020202020204" pitchFamily="34" charset="0"/>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TABLICA!$C$7:$L$7</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TABLICA!$C$10:$L$10</c:f>
              <c:numCache>
                <c:formatCode>0.00%</c:formatCode>
                <c:ptCount val="10"/>
                <c:pt idx="0">
                  <c:v>0.2553606237816764</c:v>
                </c:pt>
                <c:pt idx="1">
                  <c:v>0.26443768996960487</c:v>
                </c:pt>
                <c:pt idx="2">
                  <c:v>0.2584795321637427</c:v>
                </c:pt>
                <c:pt idx="3">
                  <c:v>0.25746799431009959</c:v>
                </c:pt>
                <c:pt idx="4">
                  <c:v>0.26035502958579881</c:v>
                </c:pt>
                <c:pt idx="5">
                  <c:v>0.26382306477093209</c:v>
                </c:pt>
                <c:pt idx="6">
                  <c:v>0.24927113702623907</c:v>
                </c:pt>
                <c:pt idx="7">
                  <c:v>0.26256983240223464</c:v>
                </c:pt>
                <c:pt idx="8">
                  <c:v>0.23017408123791103</c:v>
                </c:pt>
                <c:pt idx="9">
                  <c:v>0.2144177449168207</c:v>
                </c:pt>
              </c:numCache>
            </c:numRef>
          </c:val>
          <c:smooth val="0"/>
          <c:extLst xmlns:c16r2="http://schemas.microsoft.com/office/drawing/2015/06/chart">
            <c:ext xmlns:c16="http://schemas.microsoft.com/office/drawing/2014/chart" uri="{C3380CC4-5D6E-409C-BE32-E72D297353CC}">
              <c16:uniqueId val="{00000002-F2D3-4CD5-B4BF-0E4885E9F9D8}"/>
            </c:ext>
          </c:extLst>
        </c:ser>
        <c:dLbls>
          <c:showLegendKey val="0"/>
          <c:showVal val="1"/>
          <c:showCatName val="0"/>
          <c:showSerName val="0"/>
          <c:showPercent val="0"/>
          <c:showBubbleSize val="0"/>
        </c:dLbls>
        <c:marker val="1"/>
        <c:smooth val="0"/>
        <c:axId val="352186624"/>
        <c:axId val="351632816"/>
      </c:lineChart>
      <c:catAx>
        <c:axId val="352186624"/>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1632816"/>
        <c:crosses val="autoZero"/>
        <c:auto val="1"/>
        <c:lblAlgn val="ctr"/>
        <c:lblOffset val="100"/>
        <c:noMultiLvlLbl val="0"/>
      </c:catAx>
      <c:valAx>
        <c:axId val="3516328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186624"/>
        <c:crosses val="autoZero"/>
        <c:crossBetween val="between"/>
      </c:valAx>
      <c:spPr>
        <a:noFill/>
        <a:ln>
          <a:noFill/>
        </a:ln>
        <a:effectLst/>
      </c:spPr>
    </c:plotArea>
    <c:legend>
      <c:legendPos val="b"/>
      <c:layout>
        <c:manualLayout>
          <c:xMode val="edge"/>
          <c:yMode val="edge"/>
          <c:x val="0.11904761904761904"/>
          <c:y val="0.89237770825576934"/>
          <c:w val="0.82363315696649031"/>
          <c:h val="6.7073796438818473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6.5353034117030348E-2"/>
          <c:w val="0.90190827863822176"/>
          <c:h val="0.71801836344204328"/>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TABLICA!$C$11:$G$11</c:f>
              <c:strCache>
                <c:ptCount val="5"/>
                <c:pt idx="0">
                  <c:v>z dochodem z działalności rolniczej</c:v>
                </c:pt>
                <c:pt idx="1">
                  <c:v>z dochodem z pracy najemnej</c:v>
                </c:pt>
                <c:pt idx="2">
                  <c:v>z dochodem z emerytury i renty</c:v>
                </c:pt>
                <c:pt idx="3">
                  <c:v>z dochodem z innych niezarobkowych źródeł poza emeryturą i rentą</c:v>
                </c:pt>
                <c:pt idx="4">
                  <c:v>z dochodem z pozarolniczej działalności gospodarczej</c:v>
                </c:pt>
              </c:strCache>
            </c:strRef>
          </c:cat>
          <c:val>
            <c:numRef>
              <c:f>TABLICA!$C$12:$G$12</c:f>
              <c:numCache>
                <c:formatCode>#,##0</c:formatCode>
                <c:ptCount val="5"/>
                <c:pt idx="0">
                  <c:v>1843</c:v>
                </c:pt>
                <c:pt idx="1">
                  <c:v>787</c:v>
                </c:pt>
                <c:pt idx="2">
                  <c:v>462</c:v>
                </c:pt>
                <c:pt idx="3">
                  <c:v>224</c:v>
                </c:pt>
                <c:pt idx="4">
                  <c:v>195</c:v>
                </c:pt>
              </c:numCache>
            </c:numRef>
          </c:val>
          <c:extLst xmlns:c16r2="http://schemas.microsoft.com/office/drawing/2015/06/chart">
            <c:ext xmlns:c16="http://schemas.microsoft.com/office/drawing/2014/chart" uri="{C3380CC4-5D6E-409C-BE32-E72D297353CC}">
              <c16:uniqueId val="{00000000-CFA8-4234-8E91-875229AECE60}"/>
            </c:ext>
          </c:extLst>
        </c:ser>
        <c:dLbls>
          <c:showLegendKey val="0"/>
          <c:showVal val="0"/>
          <c:showCatName val="0"/>
          <c:showSerName val="0"/>
          <c:showPercent val="0"/>
          <c:showBubbleSize val="0"/>
        </c:dLbls>
        <c:gapWidth val="150"/>
        <c:axId val="352229384"/>
        <c:axId val="352230952"/>
      </c:barChart>
      <c:catAx>
        <c:axId val="352229384"/>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230952"/>
        <c:crosses val="autoZero"/>
        <c:auto val="1"/>
        <c:lblAlgn val="ctr"/>
        <c:lblOffset val="100"/>
        <c:noMultiLvlLbl val="0"/>
      </c:catAx>
      <c:valAx>
        <c:axId val="35223095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229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8.41721355049391E-2"/>
          <c:w val="0.90190827863822176"/>
          <c:h val="0.69919926205413452"/>
        </c:manualLayout>
      </c:layout>
      <c:barChart>
        <c:barDir val="col"/>
        <c:grouping val="clustered"/>
        <c:varyColors val="0"/>
        <c:ser>
          <c:idx val="0"/>
          <c:order val="0"/>
          <c:tx>
            <c:strRef>
              <c:f>TABLICA!$D$8</c:f>
              <c:strCache>
                <c:ptCount val="1"/>
                <c:pt idx="0">
                  <c:v>2010</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TABLICA!$E$7:$I$7</c:f>
              <c:strCache>
                <c:ptCount val="5"/>
                <c:pt idx="0">
                  <c:v>do 1 ha włącznie</c:v>
                </c:pt>
                <c:pt idx="1">
                  <c:v>1 - 5 ha</c:v>
                </c:pt>
                <c:pt idx="2">
                  <c:v>5 - 10 ha</c:v>
                </c:pt>
                <c:pt idx="3">
                  <c:v>10 - 15 ha</c:v>
                </c:pt>
                <c:pt idx="4">
                  <c:v>15 ha i więcej</c:v>
                </c:pt>
              </c:strCache>
            </c:strRef>
          </c:cat>
          <c:val>
            <c:numRef>
              <c:f>TABLICA!$E$8:$I$8</c:f>
              <c:numCache>
                <c:formatCode>0.0%</c:formatCode>
                <c:ptCount val="5"/>
                <c:pt idx="0">
                  <c:v>0.25987525987525989</c:v>
                </c:pt>
                <c:pt idx="1">
                  <c:v>0.52252252252252251</c:v>
                </c:pt>
                <c:pt idx="2">
                  <c:v>0.16943866943866945</c:v>
                </c:pt>
                <c:pt idx="3">
                  <c:v>3.7075537075537075E-2</c:v>
                </c:pt>
                <c:pt idx="4">
                  <c:v>1.1088011088011088E-2</c:v>
                </c:pt>
              </c:numCache>
            </c:numRef>
          </c:val>
          <c:extLst xmlns:c16r2="http://schemas.microsoft.com/office/drawing/2015/06/chart">
            <c:ext xmlns:c16="http://schemas.microsoft.com/office/drawing/2014/chart" uri="{C3380CC4-5D6E-409C-BE32-E72D297353CC}">
              <c16:uniqueId val="{00000000-FD2D-41D3-B33D-115C628F5541}"/>
            </c:ext>
          </c:extLst>
        </c:ser>
        <c:ser>
          <c:idx val="1"/>
          <c:order val="1"/>
          <c:tx>
            <c:strRef>
              <c:f>TABLICA!$D$9</c:f>
              <c:strCache>
                <c:ptCount val="1"/>
                <c:pt idx="0">
                  <c:v>2020</c:v>
                </c:pt>
              </c:strCache>
            </c:strRef>
          </c:tx>
          <c:spPr>
            <a:solidFill>
              <a:srgbClr val="ED7D31"/>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US" sz="700" b="1" i="0" u="none" strike="noStrike" kern="1200" baseline="0">
                    <a:solidFill>
                      <a:schemeClr val="tx1"/>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TABLICA!$E$7:$I$7</c:f>
              <c:strCache>
                <c:ptCount val="5"/>
                <c:pt idx="0">
                  <c:v>do 1 ha włącznie</c:v>
                </c:pt>
                <c:pt idx="1">
                  <c:v>1 - 5 ha</c:v>
                </c:pt>
                <c:pt idx="2">
                  <c:v>5 - 10 ha</c:v>
                </c:pt>
                <c:pt idx="3">
                  <c:v>10 - 15 ha</c:v>
                </c:pt>
                <c:pt idx="4">
                  <c:v>15 ha i więcej</c:v>
                </c:pt>
              </c:strCache>
            </c:strRef>
          </c:cat>
          <c:val>
            <c:numRef>
              <c:f>TABLICA!$E$9:$I$9</c:f>
              <c:numCache>
                <c:formatCode>0.0%</c:formatCode>
                <c:ptCount val="5"/>
                <c:pt idx="0">
                  <c:v>2.6515151515151516E-2</c:v>
                </c:pt>
                <c:pt idx="1">
                  <c:v>0.65692640692640691</c:v>
                </c:pt>
                <c:pt idx="2">
                  <c:v>0.24512987012987014</c:v>
                </c:pt>
                <c:pt idx="3">
                  <c:v>5.0865800865800864E-2</c:v>
                </c:pt>
                <c:pt idx="4">
                  <c:v>2.0562770562770564E-2</c:v>
                </c:pt>
              </c:numCache>
            </c:numRef>
          </c:val>
          <c:extLst xmlns:c16r2="http://schemas.microsoft.com/office/drawing/2015/06/chart">
            <c:ext xmlns:c16="http://schemas.microsoft.com/office/drawing/2014/chart" uri="{C3380CC4-5D6E-409C-BE32-E72D297353CC}">
              <c16:uniqueId val="{00000001-FD2D-41D3-B33D-115C628F5541}"/>
            </c:ext>
          </c:extLst>
        </c:ser>
        <c:dLbls>
          <c:showLegendKey val="0"/>
          <c:showVal val="0"/>
          <c:showCatName val="0"/>
          <c:showSerName val="0"/>
          <c:showPercent val="0"/>
          <c:showBubbleSize val="0"/>
        </c:dLbls>
        <c:gapWidth val="150"/>
        <c:axId val="352009464"/>
        <c:axId val="353070200"/>
      </c:barChart>
      <c:catAx>
        <c:axId val="352009464"/>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070200"/>
        <c:crosses val="autoZero"/>
        <c:auto val="1"/>
        <c:lblAlgn val="ctr"/>
        <c:lblOffset val="100"/>
        <c:noMultiLvlLbl val="0"/>
      </c:catAx>
      <c:valAx>
        <c:axId val="353070200"/>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2009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lgn="ctr">
            <a:defRPr lang="en-US"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6.0648258770053171E-2"/>
          <c:w val="0.90190827863822176"/>
          <c:h val="0.76977089225879225"/>
        </c:manualLayout>
      </c:layout>
      <c:barChart>
        <c:barDir val="col"/>
        <c:grouping val="clustered"/>
        <c:varyColors val="0"/>
        <c:ser>
          <c:idx val="0"/>
          <c:order val="0"/>
          <c:tx>
            <c:strRef>
              <c:f>TABLICA!$B$12</c:f>
              <c:strCache>
                <c:ptCount val="1"/>
                <c:pt idx="0">
                  <c:v>Opole Lubelskie</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TABLICA!$C$11:$L$11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TABLICA!$C$12:$L$12</c:f>
              <c:numCache>
                <c:formatCode>#,##0</c:formatCode>
                <c:ptCount val="10"/>
                <c:pt idx="0">
                  <c:v>1334</c:v>
                </c:pt>
                <c:pt idx="1">
                  <c:v>1350</c:v>
                </c:pt>
                <c:pt idx="2">
                  <c:v>1349</c:v>
                </c:pt>
                <c:pt idx="3">
                  <c:v>1339</c:v>
                </c:pt>
                <c:pt idx="4">
                  <c:v>1377</c:v>
                </c:pt>
                <c:pt idx="5">
                  <c:v>1426</c:v>
                </c:pt>
                <c:pt idx="6">
                  <c:v>1497</c:v>
                </c:pt>
                <c:pt idx="7">
                  <c:v>1557</c:v>
                </c:pt>
                <c:pt idx="8">
                  <c:v>1601</c:v>
                </c:pt>
                <c:pt idx="9">
                  <c:v>1624</c:v>
                </c:pt>
              </c:numCache>
            </c:numRef>
          </c:val>
          <c:extLst xmlns:c16r2="http://schemas.microsoft.com/office/drawing/2015/06/chart">
            <c:ext xmlns:c16="http://schemas.microsoft.com/office/drawing/2014/chart" uri="{C3380CC4-5D6E-409C-BE32-E72D297353CC}">
              <c16:uniqueId val="{00000000-C280-4D41-ADBB-09EED956DCE1}"/>
            </c:ext>
          </c:extLst>
        </c:ser>
        <c:ser>
          <c:idx val="1"/>
          <c:order val="1"/>
          <c:tx>
            <c:strRef>
              <c:f>TABLICA!$B$13</c:f>
              <c:strCache>
                <c:ptCount val="1"/>
                <c:pt idx="0">
                  <c:v>Opole Lubelskie - miasto</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TABLICA!$C$11:$L$11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TABLICA!$C$13:$L$13</c:f>
              <c:numCache>
                <c:formatCode>#,##0</c:formatCode>
                <c:ptCount val="10"/>
                <c:pt idx="0">
                  <c:v>950</c:v>
                </c:pt>
                <c:pt idx="1">
                  <c:v>954</c:v>
                </c:pt>
                <c:pt idx="2">
                  <c:v>944</c:v>
                </c:pt>
                <c:pt idx="3">
                  <c:v>925</c:v>
                </c:pt>
                <c:pt idx="4">
                  <c:v>936</c:v>
                </c:pt>
                <c:pt idx="5">
                  <c:v>958</c:v>
                </c:pt>
                <c:pt idx="6">
                  <c:v>992</c:v>
                </c:pt>
                <c:pt idx="7">
                  <c:v>1016</c:v>
                </c:pt>
                <c:pt idx="8">
                  <c:v>1036</c:v>
                </c:pt>
                <c:pt idx="9">
                  <c:v>1041</c:v>
                </c:pt>
              </c:numCache>
            </c:numRef>
          </c:val>
          <c:extLst xmlns:c16r2="http://schemas.microsoft.com/office/drawing/2015/06/chart">
            <c:ext xmlns:c16="http://schemas.microsoft.com/office/drawing/2014/chart" uri="{C3380CC4-5D6E-409C-BE32-E72D297353CC}">
              <c16:uniqueId val="{00000001-C280-4D41-ADBB-09EED956DCE1}"/>
            </c:ext>
          </c:extLst>
        </c:ser>
        <c:ser>
          <c:idx val="2"/>
          <c:order val="2"/>
          <c:tx>
            <c:strRef>
              <c:f>TABLICA!$B$14</c:f>
              <c:strCache>
                <c:ptCount val="1"/>
                <c:pt idx="0">
                  <c:v>Opole Lubelskie - obszar wiejski</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TABLICA!$C$11:$L$11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TABLICA!$C$14:$L$14</c:f>
              <c:numCache>
                <c:formatCode>#,##0</c:formatCode>
                <c:ptCount val="10"/>
                <c:pt idx="0">
                  <c:v>384</c:v>
                </c:pt>
                <c:pt idx="1">
                  <c:v>396</c:v>
                </c:pt>
                <c:pt idx="2">
                  <c:v>405</c:v>
                </c:pt>
                <c:pt idx="3">
                  <c:v>414</c:v>
                </c:pt>
                <c:pt idx="4">
                  <c:v>441</c:v>
                </c:pt>
                <c:pt idx="5">
                  <c:v>468</c:v>
                </c:pt>
                <c:pt idx="6">
                  <c:v>505</c:v>
                </c:pt>
                <c:pt idx="7">
                  <c:v>541</c:v>
                </c:pt>
                <c:pt idx="8">
                  <c:v>565</c:v>
                </c:pt>
                <c:pt idx="9">
                  <c:v>583</c:v>
                </c:pt>
              </c:numCache>
            </c:numRef>
          </c:val>
          <c:extLst xmlns:c16r2="http://schemas.microsoft.com/office/drawing/2015/06/chart">
            <c:ext xmlns:c16="http://schemas.microsoft.com/office/drawing/2014/chart" uri="{C3380CC4-5D6E-409C-BE32-E72D297353CC}">
              <c16:uniqueId val="{00000002-C280-4D41-ADBB-09EED956DCE1}"/>
            </c:ext>
          </c:extLst>
        </c:ser>
        <c:dLbls>
          <c:dLblPos val="outEnd"/>
          <c:showLegendKey val="0"/>
          <c:showVal val="1"/>
          <c:showCatName val="0"/>
          <c:showSerName val="0"/>
          <c:showPercent val="0"/>
          <c:showBubbleSize val="0"/>
        </c:dLbls>
        <c:gapWidth val="100"/>
        <c:overlap val="-24"/>
        <c:axId val="353063928"/>
        <c:axId val="353068240"/>
      </c:barChart>
      <c:catAx>
        <c:axId val="353063928"/>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068240"/>
        <c:crosses val="autoZero"/>
        <c:auto val="1"/>
        <c:lblAlgn val="ctr"/>
        <c:lblOffset val="100"/>
        <c:noMultiLvlLbl val="0"/>
      </c:catAx>
      <c:valAx>
        <c:axId val="3530682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063928"/>
        <c:crosses val="autoZero"/>
        <c:crossBetween val="between"/>
      </c:valAx>
      <c:spPr>
        <a:noFill/>
        <a:ln>
          <a:noFill/>
        </a:ln>
        <a:effectLst/>
      </c:spPr>
    </c:plotArea>
    <c:legend>
      <c:legendPos val="b"/>
      <c:layout>
        <c:manualLayout>
          <c:xMode val="edge"/>
          <c:yMode val="edge"/>
          <c:x val="7.714868974711496E-2"/>
          <c:y val="0.92060636033763243"/>
          <c:w val="0.90037929286616947"/>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84832000166645838"/>
          <c:h val="0.72168926212852424"/>
        </c:manualLayout>
      </c:layout>
      <c:barChart>
        <c:barDir val="col"/>
        <c:grouping val="stacked"/>
        <c:varyColors val="0"/>
        <c:ser>
          <c:idx val="0"/>
          <c:order val="0"/>
          <c:tx>
            <c:strRef>
              <c:f>TABLICA!$B$12</c:f>
              <c:strCache>
                <c:ptCount val="1"/>
                <c:pt idx="0">
                  <c:v>podmioty nowo zarejestrowane</c:v>
                </c:pt>
              </c:strCache>
            </c:strRef>
          </c:tx>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A169-434A-B90F-8A174CF3F448}"/>
              </c:ext>
            </c:extLst>
          </c:dPt>
          <c:cat>
            <c:strRef>
              <c:f>TABLICA!$C$11:$L$11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TABLICA!$C$12:$L$12</c:f>
              <c:numCache>
                <c:formatCode>#,##0</c:formatCode>
                <c:ptCount val="10"/>
                <c:pt idx="0">
                  <c:v>107</c:v>
                </c:pt>
                <c:pt idx="1">
                  <c:v>117</c:v>
                </c:pt>
                <c:pt idx="2">
                  <c:v>110</c:v>
                </c:pt>
                <c:pt idx="3">
                  <c:v>100</c:v>
                </c:pt>
                <c:pt idx="4">
                  <c:v>146</c:v>
                </c:pt>
                <c:pt idx="5">
                  <c:v>125</c:v>
                </c:pt>
                <c:pt idx="6">
                  <c:v>119</c:v>
                </c:pt>
                <c:pt idx="7">
                  <c:v>133</c:v>
                </c:pt>
                <c:pt idx="8">
                  <c:v>121</c:v>
                </c:pt>
                <c:pt idx="9">
                  <c:v>106</c:v>
                </c:pt>
              </c:numCache>
            </c:numRef>
          </c:val>
          <c:extLst xmlns:c16r2="http://schemas.microsoft.com/office/drawing/2015/06/chart">
            <c:ext xmlns:c16="http://schemas.microsoft.com/office/drawing/2014/chart" uri="{C3380CC4-5D6E-409C-BE32-E72D297353CC}">
              <c16:uniqueId val="{00000001-A169-434A-B90F-8A174CF3F448}"/>
            </c:ext>
          </c:extLst>
        </c:ser>
        <c:ser>
          <c:idx val="1"/>
          <c:order val="1"/>
          <c:tx>
            <c:strRef>
              <c:f>TABLICA!$B$13</c:f>
              <c:strCache>
                <c:ptCount val="1"/>
                <c:pt idx="0">
                  <c:v>podmioty wyrejestrowane</c:v>
                </c:pt>
              </c:strCache>
            </c:strRef>
          </c:tx>
          <c:spPr>
            <a:solidFill>
              <a:sysClr val="window" lastClr="FFFFFF">
                <a:lumMod val="65000"/>
              </a:sysClr>
            </a:solidFill>
            <a:ln>
              <a:noFill/>
            </a:ln>
            <a:effectLst/>
          </c:spPr>
          <c:invertIfNegative val="0"/>
          <c:cat>
            <c:strRef>
              <c:f>TABLICA!$C$11:$L$11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TABLICA!$C$13:$L$13</c:f>
              <c:numCache>
                <c:formatCode>General</c:formatCode>
                <c:ptCount val="10"/>
                <c:pt idx="0">
                  <c:v>-121</c:v>
                </c:pt>
                <c:pt idx="1">
                  <c:v>-93</c:v>
                </c:pt>
                <c:pt idx="2">
                  <c:v>-109</c:v>
                </c:pt>
                <c:pt idx="3">
                  <c:v>-108</c:v>
                </c:pt>
                <c:pt idx="4">
                  <c:v>-95</c:v>
                </c:pt>
                <c:pt idx="5">
                  <c:v>-72</c:v>
                </c:pt>
                <c:pt idx="6">
                  <c:v>-41</c:v>
                </c:pt>
                <c:pt idx="7">
                  <c:v>-67</c:v>
                </c:pt>
                <c:pt idx="8">
                  <c:v>-67</c:v>
                </c:pt>
                <c:pt idx="9">
                  <c:v>-82</c:v>
                </c:pt>
              </c:numCache>
            </c:numRef>
          </c:val>
          <c:extLst xmlns:c16r2="http://schemas.microsoft.com/office/drawing/2015/06/chart">
            <c:ext xmlns:c16="http://schemas.microsoft.com/office/drawing/2014/chart" uri="{C3380CC4-5D6E-409C-BE32-E72D297353CC}">
              <c16:uniqueId val="{00000002-A169-434A-B90F-8A174CF3F448}"/>
            </c:ext>
          </c:extLst>
        </c:ser>
        <c:dLbls>
          <c:showLegendKey val="0"/>
          <c:showVal val="0"/>
          <c:showCatName val="0"/>
          <c:showSerName val="0"/>
          <c:showPercent val="0"/>
          <c:showBubbleSize val="0"/>
        </c:dLbls>
        <c:gapWidth val="150"/>
        <c:overlap val="100"/>
        <c:axId val="353065496"/>
        <c:axId val="353065888"/>
      </c:barChart>
      <c:lineChart>
        <c:grouping val="standard"/>
        <c:varyColors val="0"/>
        <c:ser>
          <c:idx val="2"/>
          <c:order val="2"/>
          <c:tx>
            <c:strRef>
              <c:f>TABLICA!$B$14</c:f>
              <c:strCache>
                <c:ptCount val="1"/>
                <c:pt idx="0">
                  <c:v>przyrost/spadek</c:v>
                </c:pt>
              </c:strCache>
            </c:strRef>
          </c:tx>
          <c:spPr>
            <a:ln w="28575" cap="rnd">
              <a:solidFill>
                <a:srgbClr val="ED7D31">
                  <a:lumMod val="50000"/>
                </a:srgbClr>
              </a:solidFill>
              <a:round/>
            </a:ln>
            <a:effectLst/>
          </c:spPr>
          <c:marker>
            <c:symbol val="circle"/>
            <c:size val="5"/>
            <c:spPr>
              <a:solidFill>
                <a:sysClr val="window" lastClr="FFFFFF">
                  <a:lumMod val="95000"/>
                </a:sysClr>
              </a:solidFill>
              <a:ln w="15875">
                <a:solidFill>
                  <a:srgbClr val="ED7D31">
                    <a:lumMod val="5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TABLICA!$C$11:$L$11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TABLICA!$C$14:$L$14</c:f>
              <c:numCache>
                <c:formatCode>#,##0</c:formatCode>
                <c:ptCount val="10"/>
                <c:pt idx="0">
                  <c:v>-14</c:v>
                </c:pt>
                <c:pt idx="1">
                  <c:v>24</c:v>
                </c:pt>
                <c:pt idx="2">
                  <c:v>1</c:v>
                </c:pt>
                <c:pt idx="3">
                  <c:v>-8</c:v>
                </c:pt>
                <c:pt idx="4">
                  <c:v>51</c:v>
                </c:pt>
                <c:pt idx="5">
                  <c:v>53</c:v>
                </c:pt>
                <c:pt idx="6">
                  <c:v>78</c:v>
                </c:pt>
                <c:pt idx="7">
                  <c:v>66</c:v>
                </c:pt>
                <c:pt idx="8">
                  <c:v>54</c:v>
                </c:pt>
                <c:pt idx="9">
                  <c:v>24</c:v>
                </c:pt>
              </c:numCache>
            </c:numRef>
          </c:val>
          <c:smooth val="0"/>
          <c:extLst xmlns:c16r2="http://schemas.microsoft.com/office/drawing/2015/06/chart">
            <c:ext xmlns:c16="http://schemas.microsoft.com/office/drawing/2014/chart" uri="{C3380CC4-5D6E-409C-BE32-E72D297353CC}">
              <c16:uniqueId val="{00000003-A169-434A-B90F-8A174CF3F448}"/>
            </c:ext>
          </c:extLst>
        </c:ser>
        <c:dLbls>
          <c:showLegendKey val="0"/>
          <c:showVal val="0"/>
          <c:showCatName val="0"/>
          <c:showSerName val="0"/>
          <c:showPercent val="0"/>
          <c:showBubbleSize val="0"/>
        </c:dLbls>
        <c:marker val="1"/>
        <c:smooth val="0"/>
        <c:axId val="353069416"/>
        <c:axId val="353067456"/>
      </c:lineChart>
      <c:catAx>
        <c:axId val="353065496"/>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065888"/>
        <c:crosses val="autoZero"/>
        <c:auto val="1"/>
        <c:lblAlgn val="ctr"/>
        <c:lblOffset val="100"/>
        <c:noMultiLvlLbl val="0"/>
      </c:catAx>
      <c:valAx>
        <c:axId val="353065888"/>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065496"/>
        <c:crosses val="autoZero"/>
        <c:crossBetween val="between"/>
      </c:valAx>
      <c:valAx>
        <c:axId val="353067456"/>
        <c:scaling>
          <c:orientation val="minMax"/>
          <c:max val="200"/>
          <c:min val="-200"/>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069416"/>
        <c:crosses val="max"/>
        <c:crossBetween val="between"/>
      </c:valAx>
      <c:catAx>
        <c:axId val="353069416"/>
        <c:scaling>
          <c:orientation val="minMax"/>
        </c:scaling>
        <c:delete val="1"/>
        <c:axPos val="b"/>
        <c:numFmt formatCode="General" sourceLinked="1"/>
        <c:majorTickMark val="none"/>
        <c:minorTickMark val="none"/>
        <c:tickLblPos val="none"/>
        <c:crossAx val="353067456"/>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84832000166645838"/>
          <c:h val="0.79696560512857562"/>
        </c:manualLayout>
      </c:layout>
      <c:barChart>
        <c:barDir val="col"/>
        <c:grouping val="stack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96A7-4C6B-8CA3-7BF59870A276}"/>
              </c:ext>
            </c:extLst>
          </c:dPt>
          <c:dLbls>
            <c:dLbl>
              <c:idx val="0"/>
              <c:layout>
                <c:manualLayout>
                  <c:x val="0"/>
                  <c:y val="-0.3146072160881089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6A7-4C6B-8CA3-7BF59870A276}"/>
                </c:ext>
                <c:ext xmlns:c15="http://schemas.microsoft.com/office/drawing/2012/chart" uri="{CE6537A1-D6FC-4f65-9D91-7224C49458BB}"/>
              </c:extLst>
            </c:dLbl>
            <c:dLbl>
              <c:idx val="1"/>
              <c:layout>
                <c:manualLayout>
                  <c:x val="-2.2050716648291473E-3"/>
                  <c:y val="-0.2644809836314568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A7-4C6B-8CA3-7BF59870A276}"/>
                </c:ext>
                <c:ext xmlns:c15="http://schemas.microsoft.com/office/drawing/2012/chart" uri="{CE6537A1-D6FC-4f65-9D91-7224C49458BB}"/>
              </c:extLst>
            </c:dLbl>
            <c:dLbl>
              <c:idx val="2"/>
              <c:layout>
                <c:manualLayout>
                  <c:x val="-2.205071664829107E-3"/>
                  <c:y val="-0.2978708113144290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6A7-4C6B-8CA3-7BF59870A276}"/>
                </c:ext>
                <c:ext xmlns:c15="http://schemas.microsoft.com/office/drawing/2012/chart" uri="{CE6537A1-D6FC-4f65-9D91-7224C49458BB}"/>
              </c:extLst>
            </c:dLbl>
            <c:dLbl>
              <c:idx val="3"/>
              <c:layout>
                <c:manualLayout>
                  <c:x val="0"/>
                  <c:y val="-0.4020371306797659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A7-4C6B-8CA3-7BF59870A276}"/>
                </c:ext>
                <c:ext xmlns:c15="http://schemas.microsoft.com/office/drawing/2012/chart" uri="{CE6537A1-D6FC-4f65-9D91-7224C49458BB}"/>
              </c:extLst>
            </c:dLbl>
            <c:dLbl>
              <c:idx val="4"/>
              <c:layout>
                <c:manualLayout>
                  <c:x val="0"/>
                  <c:y val="-0.2095673644181915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A7-4C6B-8CA3-7BF59870A27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TABLICA!$B$4:$B$8</c:f>
              <c:strCache>
                <c:ptCount val="5"/>
                <c:pt idx="0">
                  <c:v>Województwo lubelskie</c:v>
                </c:pt>
                <c:pt idx="1">
                  <c:v>Powiat opolski</c:v>
                </c:pt>
                <c:pt idx="2">
                  <c:v>Opole Lubelskie</c:v>
                </c:pt>
                <c:pt idx="3">
                  <c:v>Opole Lubelskie - miasto</c:v>
                </c:pt>
                <c:pt idx="4">
                  <c:v>Opole Lubelskie - obszar wiejski</c:v>
                </c:pt>
              </c:strCache>
            </c:strRef>
          </c:cat>
          <c:val>
            <c:numRef>
              <c:f>TABLICA!$C$4:$C$8</c:f>
              <c:numCache>
                <c:formatCode>#\ ##0.0</c:formatCode>
                <c:ptCount val="5"/>
                <c:pt idx="0">
                  <c:v>182</c:v>
                </c:pt>
                <c:pt idx="1">
                  <c:v>147.6</c:v>
                </c:pt>
                <c:pt idx="2">
                  <c:v>171.5</c:v>
                </c:pt>
                <c:pt idx="3">
                  <c:v>233.9</c:v>
                </c:pt>
                <c:pt idx="4">
                  <c:v>116.1</c:v>
                </c:pt>
              </c:numCache>
            </c:numRef>
          </c:val>
          <c:extLst xmlns:c16r2="http://schemas.microsoft.com/office/drawing/2015/06/chart">
            <c:ext xmlns:c16="http://schemas.microsoft.com/office/drawing/2014/chart" uri="{C3380CC4-5D6E-409C-BE32-E72D297353CC}">
              <c16:uniqueId val="{00000005-96A7-4C6B-8CA3-7BF59870A276}"/>
            </c:ext>
          </c:extLst>
        </c:ser>
        <c:dLbls>
          <c:showLegendKey val="0"/>
          <c:showVal val="0"/>
          <c:showCatName val="0"/>
          <c:showSerName val="0"/>
          <c:showPercent val="0"/>
          <c:showBubbleSize val="0"/>
        </c:dLbls>
        <c:gapWidth val="150"/>
        <c:overlap val="100"/>
        <c:axId val="353745744"/>
        <c:axId val="353751624"/>
      </c:barChart>
      <c:catAx>
        <c:axId val="353745744"/>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51624"/>
        <c:crosses val="autoZero"/>
        <c:auto val="1"/>
        <c:lblAlgn val="ctr"/>
        <c:lblOffset val="100"/>
        <c:noMultiLvlLbl val="0"/>
      </c:catAx>
      <c:valAx>
        <c:axId val="35375162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45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4.603381881428547E-2"/>
          <c:w val="0.84832000166645838"/>
          <c:h val="0.86283245998625591"/>
        </c:manualLayout>
      </c:layout>
      <c:barChart>
        <c:barDir val="col"/>
        <c:grouping val="cluster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921F-44F4-A1E3-62C11870C139}"/>
              </c:ext>
            </c:extLst>
          </c:dPt>
          <c:dLbls>
            <c:spPr>
              <a:noFill/>
              <a:ln>
                <a:noFill/>
              </a:ln>
              <a:effectLst/>
            </c:spPr>
            <c:txPr>
              <a:bodyPr rot="-5400000" vert="horz" wrap="square" lIns="38100" tIns="19050" rIns="38100" bIns="19050" anchor="ctr">
                <a:spAutoFit/>
              </a:bodyPr>
              <a:lstStyle/>
              <a:p>
                <a:pPr>
                  <a:defRPr sz="700" b="1">
                    <a:latin typeface="Century Gothic" panose="020B0502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 (2)'!$D$18:$W$18</c:f>
              <c:strCache>
                <c:ptCount val="20"/>
                <c:pt idx="0">
                  <c:v>A</c:v>
                </c:pt>
                <c:pt idx="1">
                  <c:v>B</c:v>
                </c:pt>
                <c:pt idx="2">
                  <c:v>C</c:v>
                </c:pt>
                <c:pt idx="3">
                  <c:v>D</c:v>
                </c:pt>
                <c:pt idx="4">
                  <c:v>E</c:v>
                </c:pt>
                <c:pt idx="5">
                  <c:v> F</c:v>
                </c:pt>
                <c:pt idx="6">
                  <c:v>G</c:v>
                </c:pt>
                <c:pt idx="7">
                  <c:v>H</c:v>
                </c:pt>
                <c:pt idx="8">
                  <c:v>I</c:v>
                </c:pt>
                <c:pt idx="9">
                  <c:v>J</c:v>
                </c:pt>
                <c:pt idx="10">
                  <c:v>K</c:v>
                </c:pt>
                <c:pt idx="11">
                  <c:v>L</c:v>
                </c:pt>
                <c:pt idx="12">
                  <c:v>M</c:v>
                </c:pt>
                <c:pt idx="13">
                  <c:v>N</c:v>
                </c:pt>
                <c:pt idx="14">
                  <c:v>O</c:v>
                </c:pt>
                <c:pt idx="15">
                  <c:v>P</c:v>
                </c:pt>
                <c:pt idx="16">
                  <c:v>Q</c:v>
                </c:pt>
                <c:pt idx="17">
                  <c:v>R</c:v>
                </c:pt>
                <c:pt idx="18">
                  <c:v>S i T</c:v>
                </c:pt>
                <c:pt idx="19">
                  <c:v>U</c:v>
                </c:pt>
              </c:strCache>
            </c:strRef>
          </c:cat>
          <c:val>
            <c:numRef>
              <c:f>'TABLICA (2)'!$D$19:$W$19</c:f>
              <c:numCache>
                <c:formatCode>0.0%</c:formatCode>
                <c:ptCount val="20"/>
                <c:pt idx="0">
                  <c:v>1.6625615763546799E-2</c:v>
                </c:pt>
                <c:pt idx="1">
                  <c:v>1.8472906403940886E-3</c:v>
                </c:pt>
                <c:pt idx="2">
                  <c:v>7.3275862068965511E-2</c:v>
                </c:pt>
                <c:pt idx="3">
                  <c:v>2.4630541871921183E-3</c:v>
                </c:pt>
                <c:pt idx="4">
                  <c:v>4.3103448275862068E-3</c:v>
                </c:pt>
                <c:pt idx="5">
                  <c:v>0.14100985221674878</c:v>
                </c:pt>
                <c:pt idx="6">
                  <c:v>0.24692118226600984</c:v>
                </c:pt>
                <c:pt idx="7">
                  <c:v>7.6970443349753698E-2</c:v>
                </c:pt>
                <c:pt idx="8">
                  <c:v>2.8940886699507389E-2</c:v>
                </c:pt>
                <c:pt idx="9">
                  <c:v>2.8940886699507389E-2</c:v>
                </c:pt>
                <c:pt idx="10">
                  <c:v>1.9088669950738917E-2</c:v>
                </c:pt>
                <c:pt idx="11">
                  <c:v>3.2635467980295568E-2</c:v>
                </c:pt>
                <c:pt idx="12">
                  <c:v>7.4507389162561583E-2</c:v>
                </c:pt>
                <c:pt idx="13">
                  <c:v>2.4014778325123151E-2</c:v>
                </c:pt>
                <c:pt idx="14">
                  <c:v>1.416256157635468E-2</c:v>
                </c:pt>
                <c:pt idx="15">
                  <c:v>3.5714285714285712E-2</c:v>
                </c:pt>
                <c:pt idx="16">
                  <c:v>6.4039408866995079E-2</c:v>
                </c:pt>
                <c:pt idx="17">
                  <c:v>2.0320197044334975E-2</c:v>
                </c:pt>
                <c:pt idx="18">
                  <c:v>8.9901477832512317E-2</c:v>
                </c:pt>
                <c:pt idx="19">
                  <c:v>0</c:v>
                </c:pt>
              </c:numCache>
            </c:numRef>
          </c:val>
          <c:extLst xmlns:c16r2="http://schemas.microsoft.com/office/drawing/2015/06/chart">
            <c:ext xmlns:c16="http://schemas.microsoft.com/office/drawing/2014/chart" uri="{C3380CC4-5D6E-409C-BE32-E72D297353CC}">
              <c16:uniqueId val="{00000001-921F-44F4-A1E3-62C11870C139}"/>
            </c:ext>
          </c:extLst>
        </c:ser>
        <c:dLbls>
          <c:showLegendKey val="0"/>
          <c:showVal val="0"/>
          <c:showCatName val="0"/>
          <c:showSerName val="0"/>
          <c:showPercent val="0"/>
          <c:showBubbleSize val="0"/>
        </c:dLbls>
        <c:gapWidth val="150"/>
        <c:axId val="353754760"/>
        <c:axId val="353753584"/>
      </c:barChart>
      <c:catAx>
        <c:axId val="353754760"/>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53584"/>
        <c:crosses val="autoZero"/>
        <c:auto val="1"/>
        <c:lblAlgn val="ctr"/>
        <c:lblOffset val="100"/>
        <c:noMultiLvlLbl val="0"/>
      </c:catAx>
      <c:valAx>
        <c:axId val="353753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54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8.8376796937080102E-2"/>
          <c:w val="0.89683164191025189"/>
          <c:h val="0.80637515582252994"/>
        </c:manualLayout>
      </c:layout>
      <c:barChart>
        <c:barDir val="col"/>
        <c:grouping val="cluster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0200-49D5-8463-FEE8D5ED071A}"/>
              </c:ext>
            </c:extLst>
          </c:dPt>
          <c:dLbls>
            <c:spPr>
              <a:noFill/>
              <a:ln>
                <a:noFill/>
              </a:ln>
              <a:effectLst/>
            </c:spPr>
            <c:txPr>
              <a:bodyPr rot="-5400000" vert="horz" wrap="square" lIns="38100" tIns="19050" rIns="38100" bIns="19050" anchor="ctr">
                <a:spAutoFit/>
              </a:bodyPr>
              <a:lstStyle/>
              <a:p>
                <a:pPr>
                  <a:defRPr sz="700" b="1">
                    <a:latin typeface="Century Gothic" panose="020B0502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TABLICA!$C$31:$L$31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TABLICA!$C$32:$L$32</c:f>
              <c:numCache>
                <c:formatCode>#,##0</c:formatCode>
                <c:ptCount val="10"/>
                <c:pt idx="0">
                  <c:v>6983</c:v>
                </c:pt>
                <c:pt idx="1">
                  <c:v>6176</c:v>
                </c:pt>
                <c:pt idx="2">
                  <c:v>6869</c:v>
                </c:pt>
                <c:pt idx="3">
                  <c:v>15766</c:v>
                </c:pt>
                <c:pt idx="4">
                  <c:v>21523</c:v>
                </c:pt>
                <c:pt idx="5">
                  <c:v>22913</c:v>
                </c:pt>
                <c:pt idx="6">
                  <c:v>10256</c:v>
                </c:pt>
                <c:pt idx="7">
                  <c:v>17922</c:v>
                </c:pt>
                <c:pt idx="8">
                  <c:v>19977</c:v>
                </c:pt>
                <c:pt idx="9">
                  <c:v>21692</c:v>
                </c:pt>
              </c:numCache>
            </c:numRef>
          </c:val>
          <c:extLst xmlns:c16r2="http://schemas.microsoft.com/office/drawing/2015/06/chart">
            <c:ext xmlns:c16="http://schemas.microsoft.com/office/drawing/2014/chart" uri="{C3380CC4-5D6E-409C-BE32-E72D297353CC}">
              <c16:uniqueId val="{00000001-0200-49D5-8463-FEE8D5ED071A}"/>
            </c:ext>
          </c:extLst>
        </c:ser>
        <c:dLbls>
          <c:showLegendKey val="0"/>
          <c:showVal val="0"/>
          <c:showCatName val="0"/>
          <c:showSerName val="0"/>
          <c:showPercent val="0"/>
          <c:showBubbleSize val="0"/>
        </c:dLbls>
        <c:gapWidth val="150"/>
        <c:axId val="353754368"/>
        <c:axId val="353747704"/>
      </c:barChart>
      <c:catAx>
        <c:axId val="353754368"/>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47704"/>
        <c:crosses val="autoZero"/>
        <c:auto val="1"/>
        <c:lblAlgn val="ctr"/>
        <c:lblOffset val="100"/>
        <c:noMultiLvlLbl val="0"/>
      </c:catAx>
      <c:valAx>
        <c:axId val="353747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54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9100620718992265"/>
          <c:h val="0.79696560512857562"/>
        </c:manualLayout>
      </c:layout>
      <c:barChart>
        <c:barDir val="col"/>
        <c:grouping val="cluster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AE65-4DC6-9CB7-A2128B3A9C2F}"/>
              </c:ext>
            </c:extLst>
          </c:dPt>
          <c:dLbls>
            <c:dLbl>
              <c:idx val="0"/>
              <c:layout>
                <c:manualLayout>
                  <c:x val="2.205071664829107E-3"/>
                  <c:y val="1.32204187250058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65-4DC6-9CB7-A2128B3A9C2F}"/>
                </c:ext>
                <c:ext xmlns:c15="http://schemas.microsoft.com/office/drawing/2012/chart" uri="{CE6537A1-D6FC-4f65-9D91-7224C49458BB}">
                  <c15:layout/>
                </c:ext>
              </c:extLst>
            </c:dLbl>
            <c:dLbl>
              <c:idx val="1"/>
              <c:layout>
                <c:manualLayout>
                  <c:x val="-4.0425846852367784E-17"/>
                  <c:y val="1.79251940719830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65-4DC6-9CB7-A2128B3A9C2F}"/>
                </c:ext>
                <c:ext xmlns:c15="http://schemas.microsoft.com/office/drawing/2012/chart" uri="{CE6537A1-D6FC-4f65-9D91-7224C49458BB}">
                  <c15:layout/>
                </c:ext>
              </c:extLst>
            </c:dLbl>
            <c:dLbl>
              <c:idx val="2"/>
              <c:layout>
                <c:manualLayout>
                  <c:x val="0"/>
                  <c:y val="1.32204187250058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E65-4DC6-9CB7-A2128B3A9C2F}"/>
                </c:ext>
                <c:ext xmlns:c15="http://schemas.microsoft.com/office/drawing/2012/chart" uri="{CE6537A1-D6FC-4f65-9D91-7224C49458BB}">
                  <c15:layout/>
                </c:ext>
              </c:extLst>
            </c:dLbl>
            <c:dLbl>
              <c:idx val="3"/>
              <c:layout>
                <c:manualLayout>
                  <c:x val="0"/>
                  <c:y val="1.79251940719830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65-4DC6-9CB7-A2128B3A9C2F}"/>
                </c:ext>
                <c:ext xmlns:c15="http://schemas.microsoft.com/office/drawing/2012/chart" uri="{CE6537A1-D6FC-4f65-9D91-7224C49458BB}">
                  <c15:layout/>
                </c:ext>
              </c:extLst>
            </c:dLbl>
            <c:dLbl>
              <c:idx val="4"/>
              <c:layout>
                <c:manualLayout>
                  <c:x val="0"/>
                  <c:y val="1.32204187250058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E65-4DC6-9CB7-A2128B3A9C2F}"/>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TABLICA!$B$13:$B$17</c:f>
              <c:strCache>
                <c:ptCount val="5"/>
                <c:pt idx="0">
                  <c:v>Województwo lubelskie</c:v>
                </c:pt>
                <c:pt idx="1">
                  <c:v>Powiat opolski</c:v>
                </c:pt>
                <c:pt idx="2">
                  <c:v>Opole Lubelskie</c:v>
                </c:pt>
                <c:pt idx="3">
                  <c:v>Opole Lubelskie - miasto</c:v>
                </c:pt>
                <c:pt idx="4">
                  <c:v>Opole Lubelskie - obszar wiejski</c:v>
                </c:pt>
              </c:strCache>
            </c:strRef>
          </c:cat>
          <c:val>
            <c:numRef>
              <c:f>TABLICA!$C$13:$C$17</c:f>
              <c:numCache>
                <c:formatCode>0.00%</c:formatCode>
                <c:ptCount val="5"/>
                <c:pt idx="0">
                  <c:v>0.877</c:v>
                </c:pt>
                <c:pt idx="1">
                  <c:v>0.90100000000000002</c:v>
                </c:pt>
                <c:pt idx="2">
                  <c:v>0.92400000000000004</c:v>
                </c:pt>
                <c:pt idx="3">
                  <c:v>0.96199999999999997</c:v>
                </c:pt>
                <c:pt idx="4">
                  <c:v>0.88900000000000001</c:v>
                </c:pt>
              </c:numCache>
            </c:numRef>
          </c:val>
          <c:extLst xmlns:c16r2="http://schemas.microsoft.com/office/drawing/2015/06/chart">
            <c:ext xmlns:c16="http://schemas.microsoft.com/office/drawing/2014/chart" uri="{C3380CC4-5D6E-409C-BE32-E72D297353CC}">
              <c16:uniqueId val="{00000005-AE65-4DC6-9CB7-A2128B3A9C2F}"/>
            </c:ext>
          </c:extLst>
        </c:ser>
        <c:dLbls>
          <c:showLegendKey val="0"/>
          <c:showVal val="0"/>
          <c:showCatName val="0"/>
          <c:showSerName val="0"/>
          <c:showPercent val="0"/>
          <c:showBubbleSize val="0"/>
        </c:dLbls>
        <c:gapWidth val="150"/>
        <c:axId val="353744568"/>
        <c:axId val="353748096"/>
      </c:barChart>
      <c:catAx>
        <c:axId val="353744568"/>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48096"/>
        <c:crosses val="autoZero"/>
        <c:auto val="1"/>
        <c:lblAlgn val="ctr"/>
        <c:lblOffset val="100"/>
        <c:noMultiLvlLbl val="0"/>
      </c:catAx>
      <c:valAx>
        <c:axId val="35374809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44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84832000166645838"/>
          <c:h val="0.72168926212852424"/>
        </c:manualLayout>
      </c:layout>
      <c:barChart>
        <c:barDir val="col"/>
        <c:grouping val="stacked"/>
        <c:varyColors val="0"/>
        <c:ser>
          <c:idx val="0"/>
          <c:order val="0"/>
          <c:tx>
            <c:strRef>
              <c:f>TABLICA!$B$16</c:f>
              <c:strCache>
                <c:ptCount val="1"/>
                <c:pt idx="0">
                  <c:v>urodzenia</c:v>
                </c:pt>
              </c:strCache>
            </c:strRef>
          </c:tx>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817A-4DE0-A2C8-7CD4B583A0B2}"/>
              </c:ext>
            </c:extLst>
          </c:dPt>
          <c:cat>
            <c:strRef>
              <c:f>TABLICA!$C$15:$L$15</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TABLICA!$C$16:$L$16</c:f>
              <c:numCache>
                <c:formatCode>#,##0</c:formatCode>
                <c:ptCount val="10"/>
                <c:pt idx="0">
                  <c:v>160</c:v>
                </c:pt>
                <c:pt idx="1">
                  <c:v>160</c:v>
                </c:pt>
                <c:pt idx="2">
                  <c:v>160</c:v>
                </c:pt>
                <c:pt idx="3">
                  <c:v>149</c:v>
                </c:pt>
                <c:pt idx="4">
                  <c:v>157</c:v>
                </c:pt>
                <c:pt idx="5">
                  <c:v>161</c:v>
                </c:pt>
                <c:pt idx="6">
                  <c:v>138</c:v>
                </c:pt>
                <c:pt idx="7">
                  <c:v>120</c:v>
                </c:pt>
                <c:pt idx="8">
                  <c:v>117</c:v>
                </c:pt>
                <c:pt idx="9">
                  <c:v>103</c:v>
                </c:pt>
              </c:numCache>
            </c:numRef>
          </c:val>
          <c:extLst xmlns:c16r2="http://schemas.microsoft.com/office/drawing/2015/06/chart">
            <c:ext xmlns:c16="http://schemas.microsoft.com/office/drawing/2014/chart" uri="{C3380CC4-5D6E-409C-BE32-E72D297353CC}">
              <c16:uniqueId val="{00000001-817A-4DE0-A2C8-7CD4B583A0B2}"/>
            </c:ext>
          </c:extLst>
        </c:ser>
        <c:ser>
          <c:idx val="1"/>
          <c:order val="1"/>
          <c:tx>
            <c:strRef>
              <c:f>TABLICA!$B$17</c:f>
              <c:strCache>
                <c:ptCount val="1"/>
                <c:pt idx="0">
                  <c:v>zgony</c:v>
                </c:pt>
              </c:strCache>
            </c:strRef>
          </c:tx>
          <c:spPr>
            <a:solidFill>
              <a:sysClr val="window" lastClr="FFFFFF">
                <a:lumMod val="65000"/>
              </a:sysClr>
            </a:solidFill>
            <a:ln>
              <a:noFill/>
            </a:ln>
            <a:effectLst/>
          </c:spPr>
          <c:invertIfNegative val="0"/>
          <c:cat>
            <c:strRef>
              <c:f>TABLICA!$C$15:$L$15</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TABLICA!$C$17:$L$17</c:f>
              <c:numCache>
                <c:formatCode>General</c:formatCode>
                <c:ptCount val="10"/>
                <c:pt idx="0">
                  <c:v>-213</c:v>
                </c:pt>
                <c:pt idx="1">
                  <c:v>-249</c:v>
                </c:pt>
                <c:pt idx="2">
                  <c:v>-185</c:v>
                </c:pt>
                <c:pt idx="3">
                  <c:v>-187</c:v>
                </c:pt>
                <c:pt idx="4">
                  <c:v>-213</c:v>
                </c:pt>
                <c:pt idx="5">
                  <c:v>-191</c:v>
                </c:pt>
                <c:pt idx="6">
                  <c:v>-241</c:v>
                </c:pt>
                <c:pt idx="7">
                  <c:v>-253</c:v>
                </c:pt>
                <c:pt idx="8">
                  <c:v>-242</c:v>
                </c:pt>
                <c:pt idx="9">
                  <c:v>-213</c:v>
                </c:pt>
              </c:numCache>
            </c:numRef>
          </c:val>
          <c:extLst xmlns:c16r2="http://schemas.microsoft.com/office/drawing/2015/06/chart">
            <c:ext xmlns:c16="http://schemas.microsoft.com/office/drawing/2014/chart" uri="{C3380CC4-5D6E-409C-BE32-E72D297353CC}">
              <c16:uniqueId val="{00000002-817A-4DE0-A2C8-7CD4B583A0B2}"/>
            </c:ext>
          </c:extLst>
        </c:ser>
        <c:dLbls>
          <c:showLegendKey val="0"/>
          <c:showVal val="0"/>
          <c:showCatName val="0"/>
          <c:showSerName val="0"/>
          <c:showPercent val="0"/>
          <c:showBubbleSize val="0"/>
        </c:dLbls>
        <c:gapWidth val="150"/>
        <c:overlap val="100"/>
        <c:axId val="348377752"/>
        <c:axId val="348378536"/>
      </c:barChart>
      <c:lineChart>
        <c:grouping val="standard"/>
        <c:varyColors val="0"/>
        <c:ser>
          <c:idx val="2"/>
          <c:order val="2"/>
          <c:tx>
            <c:strRef>
              <c:f>TABLICA!$B$18</c:f>
              <c:strCache>
                <c:ptCount val="1"/>
                <c:pt idx="0">
                  <c:v>ruch naturalny</c:v>
                </c:pt>
              </c:strCache>
            </c:strRef>
          </c:tx>
          <c:spPr>
            <a:ln w="28575" cap="rnd">
              <a:solidFill>
                <a:srgbClr val="ED7D31">
                  <a:lumMod val="50000"/>
                </a:srgbClr>
              </a:solidFill>
              <a:round/>
            </a:ln>
            <a:effectLst/>
          </c:spPr>
          <c:marker>
            <c:symbol val="circle"/>
            <c:size val="5"/>
            <c:spPr>
              <a:solidFill>
                <a:sysClr val="window" lastClr="FFFFFF">
                  <a:lumMod val="95000"/>
                </a:sysClr>
              </a:solidFill>
              <a:ln w="15875">
                <a:solidFill>
                  <a:srgbClr val="ED7D31">
                    <a:lumMod val="5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TABLICA!$C$15:$L$15</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TABLICA!$C$18:$L$18</c:f>
              <c:numCache>
                <c:formatCode>#,##0</c:formatCode>
                <c:ptCount val="10"/>
                <c:pt idx="0">
                  <c:v>-53</c:v>
                </c:pt>
                <c:pt idx="1">
                  <c:v>-89</c:v>
                </c:pt>
                <c:pt idx="2">
                  <c:v>-25</c:v>
                </c:pt>
                <c:pt idx="3">
                  <c:v>-38</c:v>
                </c:pt>
                <c:pt idx="4">
                  <c:v>-56</c:v>
                </c:pt>
                <c:pt idx="5">
                  <c:v>-30</c:v>
                </c:pt>
                <c:pt idx="6">
                  <c:v>-103</c:v>
                </c:pt>
                <c:pt idx="7">
                  <c:v>-133</c:v>
                </c:pt>
                <c:pt idx="8">
                  <c:v>-125</c:v>
                </c:pt>
                <c:pt idx="9">
                  <c:v>-110</c:v>
                </c:pt>
              </c:numCache>
            </c:numRef>
          </c:val>
          <c:smooth val="0"/>
          <c:extLst xmlns:c16r2="http://schemas.microsoft.com/office/drawing/2015/06/chart">
            <c:ext xmlns:c16="http://schemas.microsoft.com/office/drawing/2014/chart" uri="{C3380CC4-5D6E-409C-BE32-E72D297353CC}">
              <c16:uniqueId val="{00000003-817A-4DE0-A2C8-7CD4B583A0B2}"/>
            </c:ext>
          </c:extLst>
        </c:ser>
        <c:dLbls>
          <c:showLegendKey val="0"/>
          <c:showVal val="0"/>
          <c:showCatName val="0"/>
          <c:showSerName val="0"/>
          <c:showPercent val="0"/>
          <c:showBubbleSize val="0"/>
        </c:dLbls>
        <c:marker val="1"/>
        <c:smooth val="0"/>
        <c:axId val="348383240"/>
        <c:axId val="348382064"/>
      </c:lineChart>
      <c:catAx>
        <c:axId val="348377752"/>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48378536"/>
        <c:crosses val="autoZero"/>
        <c:auto val="1"/>
        <c:lblAlgn val="ctr"/>
        <c:lblOffset val="100"/>
        <c:noMultiLvlLbl val="0"/>
      </c:catAx>
      <c:valAx>
        <c:axId val="348378536"/>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48377752"/>
        <c:crosses val="autoZero"/>
        <c:crossBetween val="between"/>
      </c:valAx>
      <c:valAx>
        <c:axId val="348382064"/>
        <c:scaling>
          <c:orientation val="minMax"/>
          <c:max val="300"/>
          <c:min val="-300"/>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48383240"/>
        <c:crosses val="max"/>
        <c:crossBetween val="between"/>
      </c:valAx>
      <c:catAx>
        <c:axId val="348383240"/>
        <c:scaling>
          <c:orientation val="minMax"/>
        </c:scaling>
        <c:delete val="1"/>
        <c:axPos val="b"/>
        <c:numFmt formatCode="General" sourceLinked="1"/>
        <c:majorTickMark val="none"/>
        <c:minorTickMark val="none"/>
        <c:tickLblPos val="none"/>
        <c:crossAx val="348382064"/>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9100620718992265"/>
          <c:h val="0.79696560512857562"/>
        </c:manualLayout>
      </c:layout>
      <c:barChart>
        <c:barDir val="col"/>
        <c:grouping val="cluster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269F-4BE5-8A87-5F16D28DD1B3}"/>
              </c:ext>
            </c:extLst>
          </c:dPt>
          <c:dLbls>
            <c:dLbl>
              <c:idx val="0"/>
              <c:layout>
                <c:manualLayout>
                  <c:x val="2.205071664829107E-3"/>
                  <c:y val="1.32204187250058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69F-4BE5-8A87-5F16D28DD1B3}"/>
                </c:ext>
                <c:ext xmlns:c15="http://schemas.microsoft.com/office/drawing/2012/chart" uri="{CE6537A1-D6FC-4f65-9D91-7224C49458BB}">
                  <c15:layout/>
                </c:ext>
              </c:extLst>
            </c:dLbl>
            <c:dLbl>
              <c:idx val="1"/>
              <c:layout>
                <c:manualLayout>
                  <c:x val="-4.0425846852367784E-17"/>
                  <c:y val="1.79251940719830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9F-4BE5-8A87-5F16D28DD1B3}"/>
                </c:ext>
                <c:ext xmlns:c15="http://schemas.microsoft.com/office/drawing/2012/chart" uri="{CE6537A1-D6FC-4f65-9D91-7224C49458BB}">
                  <c15:layout/>
                </c:ext>
              </c:extLst>
            </c:dLbl>
            <c:dLbl>
              <c:idx val="2"/>
              <c:layout>
                <c:manualLayout>
                  <c:x val="0"/>
                  <c:y val="1.32204187250058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9F-4BE5-8A87-5F16D28DD1B3}"/>
                </c:ext>
                <c:ext xmlns:c15="http://schemas.microsoft.com/office/drawing/2012/chart" uri="{CE6537A1-D6FC-4f65-9D91-7224C49458BB}">
                  <c15:layout/>
                </c:ext>
              </c:extLst>
            </c:dLbl>
            <c:dLbl>
              <c:idx val="3"/>
              <c:layout>
                <c:manualLayout>
                  <c:x val="0"/>
                  <c:y val="1.79251940719830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9F-4BE5-8A87-5F16D28DD1B3}"/>
                </c:ext>
                <c:ext xmlns:c15="http://schemas.microsoft.com/office/drawing/2012/chart" uri="{CE6537A1-D6FC-4f65-9D91-7224C49458BB}">
                  <c15:layout/>
                </c:ext>
              </c:extLst>
            </c:dLbl>
            <c:dLbl>
              <c:idx val="4"/>
              <c:layout>
                <c:manualLayout>
                  <c:x val="0"/>
                  <c:y val="1.32204187250058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9F-4BE5-8A87-5F16D28DD1B3}"/>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TABLICA!$B$15:$B$19</c:f>
              <c:strCache>
                <c:ptCount val="5"/>
                <c:pt idx="0">
                  <c:v>Województwo Lubelskie</c:v>
                </c:pt>
                <c:pt idx="1">
                  <c:v>Powiat opolski</c:v>
                </c:pt>
                <c:pt idx="2">
                  <c:v>Opole Lubelskie</c:v>
                </c:pt>
                <c:pt idx="3">
                  <c:v>Opole Lubelskie - miasto</c:v>
                </c:pt>
                <c:pt idx="4">
                  <c:v>Opole Lubelskie - obszar wiejski</c:v>
                </c:pt>
              </c:strCache>
            </c:strRef>
          </c:cat>
          <c:val>
            <c:numRef>
              <c:f>TABLICA!$C$15:$C$19</c:f>
              <c:numCache>
                <c:formatCode>0.0%</c:formatCode>
                <c:ptCount val="5"/>
                <c:pt idx="0">
                  <c:v>0.54200000000000004</c:v>
                </c:pt>
                <c:pt idx="1">
                  <c:v>0.33700000000000002</c:v>
                </c:pt>
                <c:pt idx="2">
                  <c:v>0.42299999999999999</c:v>
                </c:pt>
                <c:pt idx="3">
                  <c:v>0.76800000000000002</c:v>
                </c:pt>
                <c:pt idx="4">
                  <c:v>9.7000000000000003E-2</c:v>
                </c:pt>
              </c:numCache>
            </c:numRef>
          </c:val>
          <c:extLst xmlns:c16r2="http://schemas.microsoft.com/office/drawing/2015/06/chart">
            <c:ext xmlns:c16="http://schemas.microsoft.com/office/drawing/2014/chart" uri="{C3380CC4-5D6E-409C-BE32-E72D297353CC}">
              <c16:uniqueId val="{00000005-269F-4BE5-8A87-5F16D28DD1B3}"/>
            </c:ext>
          </c:extLst>
        </c:ser>
        <c:dLbls>
          <c:showLegendKey val="0"/>
          <c:showVal val="0"/>
          <c:showCatName val="0"/>
          <c:showSerName val="0"/>
          <c:showPercent val="0"/>
          <c:showBubbleSize val="0"/>
        </c:dLbls>
        <c:gapWidth val="150"/>
        <c:axId val="353752408"/>
        <c:axId val="353746136"/>
      </c:barChart>
      <c:catAx>
        <c:axId val="353752408"/>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46136"/>
        <c:crosses val="autoZero"/>
        <c:auto val="1"/>
        <c:lblAlgn val="ctr"/>
        <c:lblOffset val="100"/>
        <c:noMultiLvlLbl val="0"/>
      </c:catAx>
      <c:valAx>
        <c:axId val="35374613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52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9100620718992265"/>
          <c:h val="0.79696560512857562"/>
        </c:manualLayout>
      </c:layout>
      <c:barChart>
        <c:barDir val="col"/>
        <c:grouping val="stack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1DE-412D-ACDC-B66ABA89A96E}"/>
              </c:ext>
            </c:extLst>
          </c:dPt>
          <c:dLbls>
            <c:dLbl>
              <c:idx val="0"/>
              <c:layout>
                <c:manualLayout>
                  <c:x val="0"/>
                  <c:y val="-0.3540480516858469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DE-412D-ACDC-B66ABA89A96E}"/>
                </c:ext>
                <c:ext xmlns:c15="http://schemas.microsoft.com/office/drawing/2012/chart" uri="{CE6537A1-D6FC-4f65-9D91-7224C49458BB}">
                  <c15:layout/>
                </c:ext>
              </c:extLst>
            </c:dLbl>
            <c:dLbl>
              <c:idx val="1"/>
              <c:layout>
                <c:manualLayout>
                  <c:x val="-4.0425846852367784E-17"/>
                  <c:y val="-0.3456076106224195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DE-412D-ACDC-B66ABA89A96E}"/>
                </c:ext>
                <c:ext xmlns:c15="http://schemas.microsoft.com/office/drawing/2012/chart" uri="{CE6537A1-D6FC-4f65-9D91-7224C49458BB}">
                  <c15:layout/>
                </c:ext>
              </c:extLst>
            </c:dLbl>
            <c:dLbl>
              <c:idx val="2"/>
              <c:layout>
                <c:manualLayout>
                  <c:x val="0"/>
                  <c:y val="-0.313457694993489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DE-412D-ACDC-B66ABA89A96E}"/>
                </c:ext>
                <c:ext xmlns:c15="http://schemas.microsoft.com/office/drawing/2012/chart" uri="{CE6537A1-D6FC-4f65-9D91-7224C49458BB}">
                  <c15:layout/>
                </c:ext>
              </c:extLst>
            </c:dLbl>
            <c:dLbl>
              <c:idx val="3"/>
              <c:layout>
                <c:manualLayout>
                  <c:x val="-8.0851693704735569E-17"/>
                  <c:y val="-0.3665505291019991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DE-412D-ACDC-B66ABA89A96E}"/>
                </c:ext>
                <c:ext xmlns:c15="http://schemas.microsoft.com/office/drawing/2012/chart" uri="{CE6537A1-D6FC-4f65-9D91-7224C49458BB}">
                  <c15:layout/>
                </c:ext>
              </c:extLst>
            </c:dLbl>
            <c:dLbl>
              <c:idx val="4"/>
              <c:layout>
                <c:manualLayout>
                  <c:x val="-2.205071664829107E-3"/>
                  <c:y val="-0.3664130903891071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DE-412D-ACDC-B66ABA89A96E}"/>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Arkusz1!$B$2:$B$6</c:f>
              <c:strCache>
                <c:ptCount val="5"/>
                <c:pt idx="0">
                  <c:v>Województwo lubelskie</c:v>
                </c:pt>
                <c:pt idx="1">
                  <c:v>Powiat opolski</c:v>
                </c:pt>
                <c:pt idx="2">
                  <c:v>Obszary miejskie</c:v>
                </c:pt>
                <c:pt idx="3">
                  <c:v>Obszary wiejskie</c:v>
                </c:pt>
                <c:pt idx="4">
                  <c:v>Opole Lubelskie - miasto</c:v>
                </c:pt>
              </c:strCache>
            </c:strRef>
          </c:cat>
          <c:val>
            <c:numRef>
              <c:f>Arkusz1!$C$2:$C$6</c:f>
              <c:numCache>
                <c:formatCode>0.0</c:formatCode>
                <c:ptCount val="5"/>
                <c:pt idx="0">
                  <c:v>648.5</c:v>
                </c:pt>
                <c:pt idx="1">
                  <c:v>641</c:v>
                </c:pt>
                <c:pt idx="2">
                  <c:v>567.01</c:v>
                </c:pt>
                <c:pt idx="3">
                  <c:v>673.6</c:v>
                </c:pt>
                <c:pt idx="4">
                  <c:v>682.77</c:v>
                </c:pt>
              </c:numCache>
            </c:numRef>
          </c:val>
          <c:extLst xmlns:c16r2="http://schemas.microsoft.com/office/drawing/2015/06/chart">
            <c:ext xmlns:c16="http://schemas.microsoft.com/office/drawing/2014/chart" uri="{C3380CC4-5D6E-409C-BE32-E72D297353CC}">
              <c16:uniqueId val="{00000005-D1DE-412D-ACDC-B66ABA89A96E}"/>
            </c:ext>
          </c:extLst>
        </c:ser>
        <c:dLbls>
          <c:showLegendKey val="0"/>
          <c:showVal val="0"/>
          <c:showCatName val="0"/>
          <c:showSerName val="0"/>
          <c:showPercent val="0"/>
          <c:showBubbleSize val="0"/>
        </c:dLbls>
        <c:gapWidth val="150"/>
        <c:overlap val="100"/>
        <c:axId val="353750448"/>
        <c:axId val="353751232"/>
      </c:barChart>
      <c:catAx>
        <c:axId val="353750448"/>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51232"/>
        <c:crosses val="autoZero"/>
        <c:auto val="1"/>
        <c:lblAlgn val="ctr"/>
        <c:lblOffset val="100"/>
        <c:noMultiLvlLbl val="0"/>
      </c:catAx>
      <c:valAx>
        <c:axId val="35375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50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9100620718992265"/>
          <c:h val="0.79696560512857562"/>
        </c:manualLayout>
      </c:layout>
      <c:barChart>
        <c:barDir val="col"/>
        <c:grouping val="stack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3BDC-4BF8-BE70-962D66896063}"/>
              </c:ext>
            </c:extLst>
          </c:dPt>
          <c:dLbls>
            <c:dLbl>
              <c:idx val="0"/>
              <c:layout>
                <c:manualLayout>
                  <c:x val="0"/>
                  <c:y val="-0.2142909962341663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DC-4BF8-BE70-962D66896063}"/>
                </c:ext>
                <c:ext xmlns:c15="http://schemas.microsoft.com/office/drawing/2012/chart" uri="{CE6537A1-D6FC-4f65-9D91-7224C49458BB}">
                  <c15:layout/>
                </c:ext>
              </c:extLst>
            </c:dLbl>
            <c:dLbl>
              <c:idx val="1"/>
              <c:layout>
                <c:manualLayout>
                  <c:x val="0"/>
                  <c:y val="-0.2280268009977014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DC-4BF8-BE70-962D66896063}"/>
                </c:ext>
                <c:ext xmlns:c15="http://schemas.microsoft.com/office/drawing/2012/chart" uri="{CE6537A1-D6FC-4f65-9D91-7224C49458BB}">
                  <c15:layout/>
                </c:ext>
              </c:extLst>
            </c:dLbl>
            <c:dLbl>
              <c:idx val="2"/>
              <c:layout>
                <c:manualLayout>
                  <c:x val="0"/>
                  <c:y val="-0.2467554164425099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DC-4BF8-BE70-962D66896063}"/>
                </c:ext>
                <c:ext xmlns:c15="http://schemas.microsoft.com/office/drawing/2012/chart" uri="{CE6537A1-D6FC-4f65-9D91-7224C49458BB}">
                  <c15:layout/>
                </c:ext>
              </c:extLst>
            </c:dLbl>
            <c:dLbl>
              <c:idx val="3"/>
              <c:layout>
                <c:manualLayout>
                  <c:x val="8.0851693704735569E-17"/>
                  <c:y val="-0.3919902186139775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DC-4BF8-BE70-962D66896063}"/>
                </c:ext>
                <c:ext xmlns:c15="http://schemas.microsoft.com/office/drawing/2012/chart" uri="{CE6537A1-D6FC-4f65-9D91-7224C49458BB}">
                  <c15:layout/>
                </c:ext>
              </c:extLst>
            </c:dLbl>
            <c:dLbl>
              <c:idx val="4"/>
              <c:layout>
                <c:manualLayout>
                  <c:x val="0"/>
                  <c:y val="-0.1182326991734727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BDC-4BF8-BE70-962D66896063}"/>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TABLICA!$B$16:$B$20</c:f>
              <c:strCache>
                <c:ptCount val="5"/>
                <c:pt idx="0">
                  <c:v>Województwo lubelskie</c:v>
                </c:pt>
                <c:pt idx="1">
                  <c:v>Powiat opolski</c:v>
                </c:pt>
                <c:pt idx="2">
                  <c:v>Opole Lubelskie</c:v>
                </c:pt>
                <c:pt idx="3">
                  <c:v>Opole Lubelskie - miasto</c:v>
                </c:pt>
                <c:pt idx="4">
                  <c:v>Opole Lubelskie - obszar wiejski</c:v>
                </c:pt>
              </c:strCache>
            </c:strRef>
          </c:cat>
          <c:val>
            <c:numRef>
              <c:f>TABLICA!$C$16:$C$20</c:f>
              <c:numCache>
                <c:formatCode>0.0%</c:formatCode>
                <c:ptCount val="5"/>
                <c:pt idx="0">
                  <c:v>0.46800000000000003</c:v>
                </c:pt>
                <c:pt idx="1">
                  <c:v>0.49</c:v>
                </c:pt>
                <c:pt idx="2">
                  <c:v>0.53700000000000003</c:v>
                </c:pt>
                <c:pt idx="3">
                  <c:v>0.88900000000000001</c:v>
                </c:pt>
                <c:pt idx="4">
                  <c:v>0.20200000000000001</c:v>
                </c:pt>
              </c:numCache>
            </c:numRef>
          </c:val>
          <c:extLst xmlns:c16r2="http://schemas.microsoft.com/office/drawing/2015/06/chart">
            <c:ext xmlns:c16="http://schemas.microsoft.com/office/drawing/2014/chart" uri="{C3380CC4-5D6E-409C-BE32-E72D297353CC}">
              <c16:uniqueId val="{00000005-3BDC-4BF8-BE70-962D66896063}"/>
            </c:ext>
          </c:extLst>
        </c:ser>
        <c:dLbls>
          <c:showLegendKey val="0"/>
          <c:showVal val="0"/>
          <c:showCatName val="0"/>
          <c:showSerName val="0"/>
          <c:showPercent val="0"/>
          <c:showBubbleSize val="0"/>
        </c:dLbls>
        <c:gapWidth val="150"/>
        <c:overlap val="100"/>
        <c:axId val="353758680"/>
        <c:axId val="353757504"/>
      </c:barChart>
      <c:catAx>
        <c:axId val="353758680"/>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57504"/>
        <c:crosses val="autoZero"/>
        <c:auto val="1"/>
        <c:lblAlgn val="ctr"/>
        <c:lblOffset val="100"/>
        <c:noMultiLvlLbl val="0"/>
      </c:catAx>
      <c:valAx>
        <c:axId val="353757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3758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9100620718992265"/>
          <c:h val="0.79696560512857562"/>
        </c:manualLayout>
      </c:layout>
      <c:barChart>
        <c:barDir val="col"/>
        <c:grouping val="stack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8735-4176-9A8C-D0F46315858F}"/>
              </c:ext>
            </c:extLst>
          </c:dPt>
          <c:dLbls>
            <c:dLbl>
              <c:idx val="0"/>
              <c:layout>
                <c:manualLayout>
                  <c:x val="0"/>
                  <c:y val="-0.3726604393222900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35-4176-9A8C-D0F46315858F}"/>
                </c:ext>
                <c:ext xmlns:c15="http://schemas.microsoft.com/office/drawing/2012/chart" uri="{CE6537A1-D6FC-4f65-9D91-7224C49458BB}">
                  <c15:layout/>
                </c:ext>
              </c:extLst>
            </c:dLbl>
            <c:dLbl>
              <c:idx val="1"/>
              <c:layout>
                <c:manualLayout>
                  <c:x val="0"/>
                  <c:y val="-0.281463740815037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35-4176-9A8C-D0F46315858F}"/>
                </c:ext>
                <c:ext xmlns:c15="http://schemas.microsoft.com/office/drawing/2012/chart" uri="{CE6537A1-D6FC-4f65-9D91-7224C49458BB}">
                  <c15:layout/>
                </c:ext>
              </c:extLst>
            </c:dLbl>
            <c:dLbl>
              <c:idx val="2"/>
              <c:layout>
                <c:manualLayout>
                  <c:x val="0"/>
                  <c:y val="-0.29190130344504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735-4176-9A8C-D0F46315858F}"/>
                </c:ext>
                <c:ext xmlns:c15="http://schemas.microsoft.com/office/drawing/2012/chart" uri="{CE6537A1-D6FC-4f65-9D91-7224C49458BB}">
                  <c15:layout/>
                </c:ext>
              </c:extLst>
            </c:dLbl>
            <c:dLbl>
              <c:idx val="3"/>
              <c:layout>
                <c:manualLayout>
                  <c:x val="0"/>
                  <c:y val="-0.4142914034122587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35-4176-9A8C-D0F46315858F}"/>
                </c:ext>
                <c:ext xmlns:c15="http://schemas.microsoft.com/office/drawing/2012/chart" uri="{CE6537A1-D6FC-4f65-9D91-7224C49458BB}">
                  <c15:layout/>
                </c:ext>
              </c:extLst>
            </c:dLbl>
            <c:dLbl>
              <c:idx val="4"/>
              <c:layout>
                <c:manualLayout>
                  <c:x val="0"/>
                  <c:y val="-0.180724498357959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735-4176-9A8C-D0F46315858F}"/>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TABLICA!$B$4:$B$8</c:f>
              <c:strCache>
                <c:ptCount val="5"/>
                <c:pt idx="0">
                  <c:v>Województwo lubelskie</c:v>
                </c:pt>
                <c:pt idx="1">
                  <c:v>Powiat opolski</c:v>
                </c:pt>
                <c:pt idx="2">
                  <c:v>Opole Lubelskie</c:v>
                </c:pt>
                <c:pt idx="3">
                  <c:v>Opole Lubelskie - miasto</c:v>
                </c:pt>
                <c:pt idx="4">
                  <c:v>Opole Lubelskie - obszar wiejski</c:v>
                </c:pt>
              </c:strCache>
            </c:strRef>
          </c:cat>
          <c:val>
            <c:numRef>
              <c:f>TABLICA!$C$4:$C$8</c:f>
              <c:numCache>
                <c:formatCode>#,##0</c:formatCode>
                <c:ptCount val="5"/>
                <c:pt idx="0">
                  <c:v>257.2</c:v>
                </c:pt>
                <c:pt idx="1">
                  <c:v>185</c:v>
                </c:pt>
                <c:pt idx="2">
                  <c:v>196.4</c:v>
                </c:pt>
                <c:pt idx="3">
                  <c:v>285</c:v>
                </c:pt>
                <c:pt idx="4">
                  <c:v>112.7</c:v>
                </c:pt>
              </c:numCache>
            </c:numRef>
          </c:val>
          <c:extLst xmlns:c16r2="http://schemas.microsoft.com/office/drawing/2015/06/chart">
            <c:ext xmlns:c16="http://schemas.microsoft.com/office/drawing/2014/chart" uri="{C3380CC4-5D6E-409C-BE32-E72D297353CC}">
              <c16:uniqueId val="{00000005-8735-4176-9A8C-D0F46315858F}"/>
            </c:ext>
          </c:extLst>
        </c:ser>
        <c:dLbls>
          <c:showLegendKey val="0"/>
          <c:showVal val="0"/>
          <c:showCatName val="0"/>
          <c:showSerName val="0"/>
          <c:showPercent val="0"/>
          <c:showBubbleSize val="0"/>
        </c:dLbls>
        <c:gapWidth val="150"/>
        <c:overlap val="100"/>
        <c:axId val="354478200"/>
        <c:axId val="354476632"/>
      </c:barChart>
      <c:catAx>
        <c:axId val="354478200"/>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76632"/>
        <c:crosses val="autoZero"/>
        <c:auto val="1"/>
        <c:lblAlgn val="ctr"/>
        <c:lblOffset val="100"/>
        <c:noMultiLvlLbl val="0"/>
      </c:catAx>
      <c:valAx>
        <c:axId val="354476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78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9100620718992265"/>
          <c:h val="0.79696560512857562"/>
        </c:manualLayout>
      </c:layout>
      <c:barChart>
        <c:barDir val="col"/>
        <c:grouping val="stack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A70F-4DE4-8132-4C9D0A40BFDD}"/>
              </c:ext>
            </c:extLst>
          </c:dPt>
          <c:dLbls>
            <c:dLbl>
              <c:idx val="0"/>
              <c:layout>
                <c:manualLayout>
                  <c:x val="-2.0212923426183892E-17"/>
                  <c:y val="-0.3618242673794215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0F-4DE4-8132-4C9D0A40BFDD}"/>
                </c:ext>
                <c:ext xmlns:c15="http://schemas.microsoft.com/office/drawing/2012/chart" uri="{CE6537A1-D6FC-4f65-9D91-7224C49458BB}">
                  <c15:layout/>
                </c:ext>
              </c:extLst>
            </c:dLbl>
            <c:dLbl>
              <c:idx val="1"/>
              <c:layout>
                <c:manualLayout>
                  <c:x val="-4.0425846852367784E-17"/>
                  <c:y val="-0.2429438557301015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0F-4DE4-8132-4C9D0A40BFDD}"/>
                </c:ext>
                <c:ext xmlns:c15="http://schemas.microsoft.com/office/drawing/2012/chart" uri="{CE6537A1-D6FC-4f65-9D91-7224C49458BB}">
                  <c15:layout/>
                </c:ext>
              </c:extLst>
            </c:dLbl>
            <c:dLbl>
              <c:idx val="2"/>
              <c:layout>
                <c:manualLayout>
                  <c:x val="0"/>
                  <c:y val="-0.2614280660224458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0F-4DE4-8132-4C9D0A40BFDD}"/>
                </c:ext>
                <c:ext xmlns:c15="http://schemas.microsoft.com/office/drawing/2012/chart" uri="{CE6537A1-D6FC-4f65-9D91-7224C49458BB}">
                  <c15:layout/>
                </c:ext>
              </c:extLst>
            </c:dLbl>
            <c:dLbl>
              <c:idx val="3"/>
              <c:layout>
                <c:manualLayout>
                  <c:x val="-2.205071664829107E-3"/>
                  <c:y val="-0.2861125774945034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70F-4DE4-8132-4C9D0A40BFDD}"/>
                </c:ext>
                <c:ext xmlns:c15="http://schemas.microsoft.com/office/drawing/2012/chart" uri="{CE6537A1-D6FC-4f65-9D91-7224C49458BB}">
                  <c15:layout/>
                </c:ext>
              </c:extLst>
            </c:dLbl>
            <c:dLbl>
              <c:idx val="4"/>
              <c:layout>
                <c:manualLayout>
                  <c:x val="0"/>
                  <c:y val="-0.2302694873091464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70F-4DE4-8132-4C9D0A40BFDD}"/>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TABLICA!$B$4:$B$8</c:f>
              <c:strCache>
                <c:ptCount val="5"/>
                <c:pt idx="0">
                  <c:v>Województwo lubelskie</c:v>
                </c:pt>
                <c:pt idx="1">
                  <c:v>Powiat opolski</c:v>
                </c:pt>
                <c:pt idx="2">
                  <c:v>Opole Lubelskie</c:v>
                </c:pt>
                <c:pt idx="3">
                  <c:v>Opole Lubelskie - miasto</c:v>
                </c:pt>
                <c:pt idx="4">
                  <c:v>Opole Lubelskie - obszar wiejski</c:v>
                </c:pt>
              </c:strCache>
            </c:strRef>
          </c:cat>
          <c:val>
            <c:numRef>
              <c:f>TABLICA!$C$4:$C$8</c:f>
              <c:numCache>
                <c:formatCode>0.0%</c:formatCode>
                <c:ptCount val="5"/>
                <c:pt idx="0">
                  <c:v>0.49099999999999999</c:v>
                </c:pt>
                <c:pt idx="1">
                  <c:v>0.312</c:v>
                </c:pt>
                <c:pt idx="2">
                  <c:v>0.35399999999999998</c:v>
                </c:pt>
                <c:pt idx="3">
                  <c:v>0.377</c:v>
                </c:pt>
                <c:pt idx="4">
                  <c:v>0.3</c:v>
                </c:pt>
              </c:numCache>
            </c:numRef>
          </c:val>
          <c:extLst xmlns:c16r2="http://schemas.microsoft.com/office/drawing/2015/06/chart">
            <c:ext xmlns:c16="http://schemas.microsoft.com/office/drawing/2014/chart" uri="{C3380CC4-5D6E-409C-BE32-E72D297353CC}">
              <c16:uniqueId val="{00000005-A70F-4DE4-8132-4C9D0A40BFDD}"/>
            </c:ext>
          </c:extLst>
        </c:ser>
        <c:dLbls>
          <c:showLegendKey val="0"/>
          <c:showVal val="0"/>
          <c:showCatName val="0"/>
          <c:showSerName val="0"/>
          <c:showPercent val="0"/>
          <c:showBubbleSize val="0"/>
        </c:dLbls>
        <c:gapWidth val="150"/>
        <c:overlap val="100"/>
        <c:axId val="354488000"/>
        <c:axId val="354480944"/>
      </c:barChart>
      <c:catAx>
        <c:axId val="354488000"/>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80944"/>
        <c:crosses val="autoZero"/>
        <c:auto val="1"/>
        <c:lblAlgn val="ctr"/>
        <c:lblOffset val="100"/>
        <c:noMultiLvlLbl val="0"/>
      </c:catAx>
      <c:valAx>
        <c:axId val="354480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88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5.5943483423076E-2"/>
          <c:w val="0.90190827863822176"/>
          <c:h val="0.77447566760576947"/>
        </c:manualLayout>
      </c:layout>
      <c:barChart>
        <c:barDir val="col"/>
        <c:grouping val="clustered"/>
        <c:varyColors val="0"/>
        <c:ser>
          <c:idx val="0"/>
          <c:order val="0"/>
          <c:tx>
            <c:strRef>
              <c:f>TABLICA!$A$2</c:f>
              <c:strCache>
                <c:ptCount val="1"/>
                <c:pt idx="0">
                  <c:v>Opole Lubelskie</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TABLICA!$B$2:$K$2</c:f>
              <c:numCache>
                <c:formatCode>#,##0</c:formatCode>
                <c:ptCount val="10"/>
                <c:pt idx="0">
                  <c:v>493</c:v>
                </c:pt>
                <c:pt idx="1">
                  <c:v>477</c:v>
                </c:pt>
                <c:pt idx="2">
                  <c:v>432</c:v>
                </c:pt>
                <c:pt idx="3">
                  <c:v>515</c:v>
                </c:pt>
                <c:pt idx="4">
                  <c:v>576</c:v>
                </c:pt>
                <c:pt idx="5">
                  <c:v>591</c:v>
                </c:pt>
                <c:pt idx="6">
                  <c:v>592</c:v>
                </c:pt>
                <c:pt idx="7">
                  <c:v>578</c:v>
                </c:pt>
                <c:pt idx="8">
                  <c:v>586</c:v>
                </c:pt>
                <c:pt idx="9">
                  <c:v>634</c:v>
                </c:pt>
              </c:numCache>
            </c:numRef>
          </c:val>
          <c:extLst xmlns:c16r2="http://schemas.microsoft.com/office/drawing/2015/06/chart">
            <c:ext xmlns:c16="http://schemas.microsoft.com/office/drawing/2014/chart" uri="{C3380CC4-5D6E-409C-BE32-E72D297353CC}">
              <c16:uniqueId val="{00000000-5073-4554-9BC2-DD028A43DE66}"/>
            </c:ext>
          </c:extLst>
        </c:ser>
        <c:ser>
          <c:idx val="1"/>
          <c:order val="1"/>
          <c:tx>
            <c:strRef>
              <c:f>TABLICA!$A$3</c:f>
              <c:strCache>
                <c:ptCount val="1"/>
                <c:pt idx="0">
                  <c:v>Opole Lubelskie - miasto</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TABLICA!$B$3:$K$3</c:f>
              <c:numCache>
                <c:formatCode>#,##0</c:formatCode>
                <c:ptCount val="10"/>
                <c:pt idx="0">
                  <c:v>319</c:v>
                </c:pt>
                <c:pt idx="1">
                  <c:v>297</c:v>
                </c:pt>
                <c:pt idx="2">
                  <c:v>258</c:v>
                </c:pt>
                <c:pt idx="3">
                  <c:v>306</c:v>
                </c:pt>
                <c:pt idx="4">
                  <c:v>369</c:v>
                </c:pt>
                <c:pt idx="5">
                  <c:v>373</c:v>
                </c:pt>
                <c:pt idx="6">
                  <c:v>376</c:v>
                </c:pt>
                <c:pt idx="7">
                  <c:v>367</c:v>
                </c:pt>
                <c:pt idx="8">
                  <c:v>385</c:v>
                </c:pt>
                <c:pt idx="9">
                  <c:v>424</c:v>
                </c:pt>
              </c:numCache>
            </c:numRef>
          </c:val>
          <c:extLst xmlns:c16r2="http://schemas.microsoft.com/office/drawing/2015/06/chart">
            <c:ext xmlns:c16="http://schemas.microsoft.com/office/drawing/2014/chart" uri="{C3380CC4-5D6E-409C-BE32-E72D297353CC}">
              <c16:uniqueId val="{00000001-5073-4554-9BC2-DD028A43DE66}"/>
            </c:ext>
          </c:extLst>
        </c:ser>
        <c:ser>
          <c:idx val="2"/>
          <c:order val="2"/>
          <c:tx>
            <c:strRef>
              <c:f>TABLICA!$A$4</c:f>
              <c:strCache>
                <c:ptCount val="1"/>
                <c:pt idx="0">
                  <c:v>Opole Lubelskie - obszar wiejski</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TABLICA!$B$1:$K$1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TABLICA!$B$4:$K$4</c:f>
              <c:numCache>
                <c:formatCode>#,##0</c:formatCode>
                <c:ptCount val="10"/>
                <c:pt idx="0">
                  <c:v>174</c:v>
                </c:pt>
                <c:pt idx="1">
                  <c:v>180</c:v>
                </c:pt>
                <c:pt idx="2">
                  <c:v>174</c:v>
                </c:pt>
                <c:pt idx="3">
                  <c:v>209</c:v>
                </c:pt>
                <c:pt idx="4">
                  <c:v>207</c:v>
                </c:pt>
                <c:pt idx="5">
                  <c:v>218</c:v>
                </c:pt>
                <c:pt idx="6">
                  <c:v>216</c:v>
                </c:pt>
                <c:pt idx="7">
                  <c:v>211</c:v>
                </c:pt>
                <c:pt idx="8">
                  <c:v>201</c:v>
                </c:pt>
                <c:pt idx="9">
                  <c:v>210</c:v>
                </c:pt>
              </c:numCache>
            </c:numRef>
          </c:val>
          <c:extLst xmlns:c16r2="http://schemas.microsoft.com/office/drawing/2015/06/chart">
            <c:ext xmlns:c16="http://schemas.microsoft.com/office/drawing/2014/chart" uri="{C3380CC4-5D6E-409C-BE32-E72D297353CC}">
              <c16:uniqueId val="{00000002-5073-4554-9BC2-DD028A43DE66}"/>
            </c:ext>
          </c:extLst>
        </c:ser>
        <c:dLbls>
          <c:dLblPos val="outEnd"/>
          <c:showLegendKey val="0"/>
          <c:showVal val="1"/>
          <c:showCatName val="0"/>
          <c:showSerName val="0"/>
          <c:showPercent val="0"/>
          <c:showBubbleSize val="0"/>
        </c:dLbls>
        <c:gapWidth val="100"/>
        <c:overlap val="-24"/>
        <c:axId val="354477416"/>
        <c:axId val="354488392"/>
      </c:barChart>
      <c:catAx>
        <c:axId val="354477416"/>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88392"/>
        <c:crosses val="autoZero"/>
        <c:auto val="1"/>
        <c:lblAlgn val="ctr"/>
        <c:lblOffset val="100"/>
        <c:noMultiLvlLbl val="0"/>
      </c:catAx>
      <c:valAx>
        <c:axId val="35448839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77416"/>
        <c:crosses val="autoZero"/>
        <c:crossBetween val="between"/>
      </c:valAx>
      <c:spPr>
        <a:noFill/>
        <a:ln>
          <a:noFill/>
        </a:ln>
        <a:effectLst/>
      </c:spPr>
    </c:plotArea>
    <c:legend>
      <c:legendPos val="b"/>
      <c:layout>
        <c:manualLayout>
          <c:xMode val="edge"/>
          <c:yMode val="edge"/>
          <c:x val="7.714868974711496E-2"/>
          <c:y val="0.92060636033763243"/>
          <c:w val="0.90037929286616947"/>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9100620718992265"/>
          <c:h val="0.79696560512857562"/>
        </c:manualLayout>
      </c:layout>
      <c:barChart>
        <c:barDir val="col"/>
        <c:grouping val="stack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BCEB-4F05-B997-45B23A0D7601}"/>
              </c:ext>
            </c:extLst>
          </c:dPt>
          <c:dLbls>
            <c:dLbl>
              <c:idx val="0"/>
              <c:layout>
                <c:manualLayout>
                  <c:x val="-2.0212923426183892E-17"/>
                  <c:y val="-0.2547035713690339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EB-4F05-B997-45B23A0D7601}"/>
                </c:ext>
                <c:ext xmlns:c15="http://schemas.microsoft.com/office/drawing/2012/chart" uri="{CE6537A1-D6FC-4f65-9D91-7224C49458BB}">
                  <c15:layout/>
                </c:ext>
              </c:extLst>
            </c:dLbl>
            <c:dLbl>
              <c:idx val="1"/>
              <c:layout>
                <c:manualLayout>
                  <c:x val="-4.0425846852367784E-17"/>
                  <c:y val="-0.2442163678022957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EB-4F05-B997-45B23A0D7601}"/>
                </c:ext>
                <c:ext xmlns:c15="http://schemas.microsoft.com/office/drawing/2012/chart" uri="{CE6537A1-D6FC-4f65-9D91-7224C49458BB}">
                  <c15:layout/>
                </c:ext>
              </c:extLst>
            </c:dLbl>
            <c:dLbl>
              <c:idx val="2"/>
              <c:layout>
                <c:manualLayout>
                  <c:x val="0"/>
                  <c:y val="-0.2708920735649046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EB-4F05-B997-45B23A0D7601}"/>
                </c:ext>
                <c:ext xmlns:c15="http://schemas.microsoft.com/office/drawing/2012/chart" uri="{CE6537A1-D6FC-4f65-9D91-7224C49458BB}">
                  <c15:layout/>
                </c:ext>
              </c:extLst>
            </c:dLbl>
            <c:dLbl>
              <c:idx val="3"/>
              <c:layout>
                <c:manualLayout>
                  <c:x val="0"/>
                  <c:y val="-0.406348853535157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EB-4F05-B997-45B23A0D7601}"/>
                </c:ext>
                <c:ext xmlns:c15="http://schemas.microsoft.com/office/drawing/2012/chart" uri="{CE6537A1-D6FC-4f65-9D91-7224C49458BB}">
                  <c15:layout/>
                </c:ext>
              </c:extLst>
            </c:dLbl>
            <c:dLbl>
              <c:idx val="4"/>
              <c:layout>
                <c:manualLayout>
                  <c:x val="-4.410143329658214E-3"/>
                  <c:y val="-0.1655428921772923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EB-4F05-B997-45B23A0D7601}"/>
                </c:ex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TABLICA!$A$24:$A$28</c:f>
              <c:strCache>
                <c:ptCount val="5"/>
                <c:pt idx="0">
                  <c:v>Województwo lubelskie</c:v>
                </c:pt>
                <c:pt idx="1">
                  <c:v>Powiat opolski</c:v>
                </c:pt>
                <c:pt idx="2">
                  <c:v>Opole Lubelskie</c:v>
                </c:pt>
                <c:pt idx="3">
                  <c:v>Opole Lubelskie - miasto</c:v>
                </c:pt>
                <c:pt idx="4">
                  <c:v>Opole Lubelskie - obszar wiejski</c:v>
                </c:pt>
              </c:strCache>
            </c:strRef>
          </c:cat>
          <c:val>
            <c:numRef>
              <c:f>TABLICA!$B$24:$B$28</c:f>
              <c:numCache>
                <c:formatCode>0.0%</c:formatCode>
                <c:ptCount val="5"/>
                <c:pt idx="0">
                  <c:v>0.91700000000000004</c:v>
                </c:pt>
                <c:pt idx="1">
                  <c:v>0.85599999999999998</c:v>
                </c:pt>
                <c:pt idx="2">
                  <c:v>0.98199999999999998</c:v>
                </c:pt>
                <c:pt idx="3">
                  <c:v>1.5069999999999999</c:v>
                </c:pt>
                <c:pt idx="4">
                  <c:v>0.55900000000000005</c:v>
                </c:pt>
              </c:numCache>
            </c:numRef>
          </c:val>
          <c:extLst xmlns:c16r2="http://schemas.microsoft.com/office/drawing/2015/06/chart">
            <c:ext xmlns:c16="http://schemas.microsoft.com/office/drawing/2014/chart" uri="{C3380CC4-5D6E-409C-BE32-E72D297353CC}">
              <c16:uniqueId val="{00000005-BCEB-4F05-B997-45B23A0D7601}"/>
            </c:ext>
          </c:extLst>
        </c:ser>
        <c:dLbls>
          <c:showLegendKey val="0"/>
          <c:showVal val="0"/>
          <c:showCatName val="0"/>
          <c:showSerName val="0"/>
          <c:showPercent val="0"/>
          <c:showBubbleSize val="0"/>
        </c:dLbls>
        <c:gapWidth val="150"/>
        <c:overlap val="100"/>
        <c:axId val="354482904"/>
        <c:axId val="354484472"/>
      </c:barChart>
      <c:catAx>
        <c:axId val="354482904"/>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84472"/>
        <c:crosses val="autoZero"/>
        <c:auto val="1"/>
        <c:lblAlgn val="ctr"/>
        <c:lblOffset val="100"/>
        <c:noMultiLvlLbl val="0"/>
      </c:catAx>
      <c:valAx>
        <c:axId val="354484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82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5.5943483423076E-2"/>
          <c:w val="0.90190827863822176"/>
          <c:h val="0.77447566760576947"/>
        </c:manualLayout>
      </c:layout>
      <c:barChart>
        <c:barDir val="col"/>
        <c:grouping val="clustered"/>
        <c:varyColors val="0"/>
        <c:ser>
          <c:idx val="0"/>
          <c:order val="0"/>
          <c:tx>
            <c:strRef>
              <c:f>TABLICA!$B$2</c:f>
              <c:strCache>
                <c:ptCount val="1"/>
                <c:pt idx="0">
                  <c:v>Opole Lubelskie</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TABLICA!$C$2:$L$2</c:f>
              <c:numCache>
                <c:formatCode>#,##0</c:formatCode>
                <c:ptCount val="10"/>
                <c:pt idx="0">
                  <c:v>1023</c:v>
                </c:pt>
                <c:pt idx="1">
                  <c:v>1074</c:v>
                </c:pt>
                <c:pt idx="2">
                  <c:v>1129</c:v>
                </c:pt>
                <c:pt idx="3">
                  <c:v>1024</c:v>
                </c:pt>
                <c:pt idx="4">
                  <c:v>1179</c:v>
                </c:pt>
                <c:pt idx="5">
                  <c:v>1339</c:v>
                </c:pt>
                <c:pt idx="6">
                  <c:v>1339</c:v>
                </c:pt>
                <c:pt idx="7">
                  <c:v>1342</c:v>
                </c:pt>
                <c:pt idx="8">
                  <c:v>1341</c:v>
                </c:pt>
                <c:pt idx="9">
                  <c:v>1316</c:v>
                </c:pt>
              </c:numCache>
            </c:numRef>
          </c:val>
          <c:extLst xmlns:c16r2="http://schemas.microsoft.com/office/drawing/2015/06/chart">
            <c:ext xmlns:c16="http://schemas.microsoft.com/office/drawing/2014/chart" uri="{C3380CC4-5D6E-409C-BE32-E72D297353CC}">
              <c16:uniqueId val="{00000000-8D3D-4E39-AF62-0BC29F8EA194}"/>
            </c:ext>
          </c:extLst>
        </c:ser>
        <c:ser>
          <c:idx val="1"/>
          <c:order val="1"/>
          <c:tx>
            <c:strRef>
              <c:f>TABLICA!$B$3</c:f>
              <c:strCache>
                <c:ptCount val="1"/>
                <c:pt idx="0">
                  <c:v>Opole Lubelskie - miasto</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TABLICA!$C$3:$L$3</c:f>
              <c:numCache>
                <c:formatCode>#,##0</c:formatCode>
                <c:ptCount val="10"/>
                <c:pt idx="0">
                  <c:v>637</c:v>
                </c:pt>
                <c:pt idx="1">
                  <c:v>684</c:v>
                </c:pt>
                <c:pt idx="2">
                  <c:v>714</c:v>
                </c:pt>
                <c:pt idx="3">
                  <c:v>653</c:v>
                </c:pt>
                <c:pt idx="4">
                  <c:v>727</c:v>
                </c:pt>
                <c:pt idx="5">
                  <c:v>834</c:v>
                </c:pt>
                <c:pt idx="6">
                  <c:v>847</c:v>
                </c:pt>
                <c:pt idx="7">
                  <c:v>854</c:v>
                </c:pt>
                <c:pt idx="8">
                  <c:v>843</c:v>
                </c:pt>
                <c:pt idx="9">
                  <c:v>819</c:v>
                </c:pt>
              </c:numCache>
            </c:numRef>
          </c:val>
          <c:extLst xmlns:c16r2="http://schemas.microsoft.com/office/drawing/2015/06/chart">
            <c:ext xmlns:c16="http://schemas.microsoft.com/office/drawing/2014/chart" uri="{C3380CC4-5D6E-409C-BE32-E72D297353CC}">
              <c16:uniqueId val="{00000001-8D3D-4E39-AF62-0BC29F8EA194}"/>
            </c:ext>
          </c:extLst>
        </c:ser>
        <c:ser>
          <c:idx val="2"/>
          <c:order val="2"/>
          <c:tx>
            <c:strRef>
              <c:f>TABLICA!$B$4</c:f>
              <c:strCache>
                <c:ptCount val="1"/>
                <c:pt idx="0">
                  <c:v>Opole Lubelskie - obszar wiejski</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TABLICA!$C$4:$L$4</c:f>
              <c:numCache>
                <c:formatCode>#,##0</c:formatCode>
                <c:ptCount val="10"/>
                <c:pt idx="0">
                  <c:v>386</c:v>
                </c:pt>
                <c:pt idx="1">
                  <c:v>390</c:v>
                </c:pt>
                <c:pt idx="2">
                  <c:v>415</c:v>
                </c:pt>
                <c:pt idx="3">
                  <c:v>371</c:v>
                </c:pt>
                <c:pt idx="4">
                  <c:v>452</c:v>
                </c:pt>
                <c:pt idx="5">
                  <c:v>505</c:v>
                </c:pt>
                <c:pt idx="6">
                  <c:v>492</c:v>
                </c:pt>
                <c:pt idx="7">
                  <c:v>488</c:v>
                </c:pt>
                <c:pt idx="8">
                  <c:v>498</c:v>
                </c:pt>
                <c:pt idx="9">
                  <c:v>497</c:v>
                </c:pt>
              </c:numCache>
            </c:numRef>
          </c:val>
          <c:extLst xmlns:c16r2="http://schemas.microsoft.com/office/drawing/2015/06/chart">
            <c:ext xmlns:c16="http://schemas.microsoft.com/office/drawing/2014/chart" uri="{C3380CC4-5D6E-409C-BE32-E72D297353CC}">
              <c16:uniqueId val="{00000002-8D3D-4E39-AF62-0BC29F8EA194}"/>
            </c:ext>
          </c:extLst>
        </c:ser>
        <c:dLbls>
          <c:dLblPos val="outEnd"/>
          <c:showLegendKey val="0"/>
          <c:showVal val="1"/>
          <c:showCatName val="0"/>
          <c:showSerName val="0"/>
          <c:showPercent val="0"/>
          <c:showBubbleSize val="0"/>
        </c:dLbls>
        <c:gapWidth val="100"/>
        <c:overlap val="-24"/>
        <c:axId val="354485648"/>
        <c:axId val="354477024"/>
      </c:barChart>
      <c:catAx>
        <c:axId val="354485648"/>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77024"/>
        <c:crosses val="autoZero"/>
        <c:auto val="1"/>
        <c:lblAlgn val="ctr"/>
        <c:lblOffset val="100"/>
        <c:noMultiLvlLbl val="0"/>
      </c:catAx>
      <c:valAx>
        <c:axId val="35447702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85648"/>
        <c:crosses val="autoZero"/>
        <c:crossBetween val="between"/>
      </c:valAx>
      <c:spPr>
        <a:noFill/>
        <a:ln>
          <a:noFill/>
        </a:ln>
        <a:effectLst/>
      </c:spPr>
    </c:plotArea>
    <c:legend>
      <c:legendPos val="b"/>
      <c:layout>
        <c:manualLayout>
          <c:xMode val="edge"/>
          <c:yMode val="edge"/>
          <c:x val="7.714868974711496E-2"/>
          <c:y val="0.92060636033763243"/>
          <c:w val="0.90037929286616947"/>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0.107696012239825"/>
          <c:w val="0.90190827863822176"/>
          <c:h val="0.7227231387890205"/>
        </c:manualLayout>
      </c:layout>
      <c:lineChart>
        <c:grouping val="standard"/>
        <c:varyColors val="0"/>
        <c:ser>
          <c:idx val="0"/>
          <c:order val="0"/>
          <c:tx>
            <c:strRef>
              <c:f>TABLICA!$B$2</c:f>
              <c:strCache>
                <c:ptCount val="1"/>
                <c:pt idx="0">
                  <c:v>Opole Lubelskie</c:v>
                </c:pt>
              </c:strCache>
            </c:strRef>
          </c:tx>
          <c:spPr>
            <a:ln w="31750" cap="rnd">
              <a:solidFill>
                <a:schemeClr val="accent2">
                  <a:shade val="65000"/>
                </a:schemeClr>
              </a:solidFill>
              <a:round/>
            </a:ln>
            <a:effectLst/>
          </c:spPr>
          <c:marker>
            <c:symbol val="circle"/>
            <c:size val="6"/>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TABLICA!$C$2:$L$2</c:f>
              <c:numCache>
                <c:formatCode>0.0%</c:formatCode>
                <c:ptCount val="10"/>
                <c:pt idx="0">
                  <c:v>0.97709999999999997</c:v>
                </c:pt>
                <c:pt idx="1">
                  <c:v>0.9335</c:v>
                </c:pt>
                <c:pt idx="2">
                  <c:v>0.90980000000000005</c:v>
                </c:pt>
                <c:pt idx="3">
                  <c:v>0.96599999999999997</c:v>
                </c:pt>
                <c:pt idx="4">
                  <c:v>0.96479999999999999</c:v>
                </c:pt>
                <c:pt idx="5">
                  <c:v>0.96120000000000005</c:v>
                </c:pt>
                <c:pt idx="6">
                  <c:v>0.9645999999999999</c:v>
                </c:pt>
                <c:pt idx="7">
                  <c:v>0.97250000000000003</c:v>
                </c:pt>
                <c:pt idx="8">
                  <c:v>0.9647</c:v>
                </c:pt>
                <c:pt idx="9">
                  <c:v>0.96760000000000002</c:v>
                </c:pt>
              </c:numCache>
            </c:numRef>
          </c:val>
          <c:smooth val="0"/>
          <c:extLst xmlns:c16r2="http://schemas.microsoft.com/office/drawing/2015/06/chart">
            <c:ext xmlns:c16="http://schemas.microsoft.com/office/drawing/2014/chart" uri="{C3380CC4-5D6E-409C-BE32-E72D297353CC}">
              <c16:uniqueId val="{00000000-6B7C-4234-A6D4-AEA189A86596}"/>
            </c:ext>
          </c:extLst>
        </c:ser>
        <c:ser>
          <c:idx val="1"/>
          <c:order val="1"/>
          <c:tx>
            <c:strRef>
              <c:f>TABLICA!$B$3</c:f>
              <c:strCache>
                <c:ptCount val="1"/>
                <c:pt idx="0">
                  <c:v>Opole Lubelskie - miasto</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TABLICA!$C$3:$L$3</c:f>
              <c:numCache>
                <c:formatCode>0.0%</c:formatCode>
                <c:ptCount val="10"/>
                <c:pt idx="0">
                  <c:v>1.3699000000000001</c:v>
                </c:pt>
                <c:pt idx="1">
                  <c:v>1.3775999999999999</c:v>
                </c:pt>
                <c:pt idx="2">
                  <c:v>1.3321000000000001</c:v>
                </c:pt>
                <c:pt idx="3">
                  <c:v>1.4319999999999999</c:v>
                </c:pt>
                <c:pt idx="4">
                  <c:v>1.3900999999999999</c:v>
                </c:pt>
                <c:pt idx="5">
                  <c:v>1.4232</c:v>
                </c:pt>
                <c:pt idx="6">
                  <c:v>1.4235</c:v>
                </c:pt>
                <c:pt idx="7">
                  <c:v>1.4162999999999999</c:v>
                </c:pt>
                <c:pt idx="8">
                  <c:v>1.3191999999999999</c:v>
                </c:pt>
                <c:pt idx="9">
                  <c:v>1.3167</c:v>
                </c:pt>
              </c:numCache>
            </c:numRef>
          </c:val>
          <c:smooth val="0"/>
          <c:extLst xmlns:c16r2="http://schemas.microsoft.com/office/drawing/2015/06/chart">
            <c:ext xmlns:c16="http://schemas.microsoft.com/office/drawing/2014/chart" uri="{C3380CC4-5D6E-409C-BE32-E72D297353CC}">
              <c16:uniqueId val="{00000001-6B7C-4234-A6D4-AEA189A86596}"/>
            </c:ext>
          </c:extLst>
        </c:ser>
        <c:ser>
          <c:idx val="2"/>
          <c:order val="2"/>
          <c:tx>
            <c:strRef>
              <c:f>TABLICA!$B$4</c:f>
              <c:strCache>
                <c:ptCount val="1"/>
                <c:pt idx="0">
                  <c:v>Opole Lubelskie - obszar wiejski</c:v>
                </c:pt>
              </c:strCache>
            </c:strRef>
          </c:tx>
          <c:spPr>
            <a:ln w="31750" cap="rnd">
              <a:solidFill>
                <a:schemeClr val="accent2">
                  <a:tint val="65000"/>
                </a:schemeClr>
              </a:solidFill>
              <a:round/>
            </a:ln>
            <a:effectLst/>
          </c:spPr>
          <c:marker>
            <c:symbol val="circle"/>
            <c:size val="6"/>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TABLICA!$C$4:$L$4</c:f>
              <c:numCache>
                <c:formatCode>0.0%</c:formatCode>
                <c:ptCount val="10"/>
                <c:pt idx="0">
                  <c:v>0.6631999999999999</c:v>
                </c:pt>
                <c:pt idx="1">
                  <c:v>0.59630000000000005</c:v>
                </c:pt>
                <c:pt idx="2">
                  <c:v>0.5887</c:v>
                </c:pt>
                <c:pt idx="3">
                  <c:v>0.61419999999999997</c:v>
                </c:pt>
                <c:pt idx="4">
                  <c:v>0.64659999999999995</c:v>
                </c:pt>
                <c:pt idx="5">
                  <c:v>0.62580000000000002</c:v>
                </c:pt>
                <c:pt idx="6">
                  <c:v>0.62039999999999995</c:v>
                </c:pt>
                <c:pt idx="7">
                  <c:v>0.62809999999999999</c:v>
                </c:pt>
                <c:pt idx="8">
                  <c:v>0.66310000000000002</c:v>
                </c:pt>
                <c:pt idx="9">
                  <c:v>0.6734</c:v>
                </c:pt>
              </c:numCache>
            </c:numRef>
          </c:val>
          <c:smooth val="0"/>
          <c:extLst xmlns:c16r2="http://schemas.microsoft.com/office/drawing/2015/06/chart">
            <c:ext xmlns:c16="http://schemas.microsoft.com/office/drawing/2014/chart" uri="{C3380CC4-5D6E-409C-BE32-E72D297353CC}">
              <c16:uniqueId val="{00000002-6B7C-4234-A6D4-AEA189A86596}"/>
            </c:ext>
          </c:extLst>
        </c:ser>
        <c:dLbls>
          <c:showLegendKey val="0"/>
          <c:showVal val="1"/>
          <c:showCatName val="0"/>
          <c:showSerName val="0"/>
          <c:showPercent val="0"/>
          <c:showBubbleSize val="0"/>
        </c:dLbls>
        <c:marker val="1"/>
        <c:smooth val="0"/>
        <c:axId val="354479768"/>
        <c:axId val="354481336"/>
      </c:lineChart>
      <c:catAx>
        <c:axId val="354479768"/>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81336"/>
        <c:crosses val="autoZero"/>
        <c:auto val="1"/>
        <c:lblAlgn val="ctr"/>
        <c:lblOffset val="100"/>
        <c:noMultiLvlLbl val="0"/>
      </c:catAx>
      <c:valAx>
        <c:axId val="35448133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79768"/>
        <c:crosses val="autoZero"/>
        <c:crossBetween val="between"/>
      </c:valAx>
      <c:spPr>
        <a:noFill/>
        <a:ln>
          <a:noFill/>
        </a:ln>
        <a:effectLst/>
      </c:spPr>
    </c:plotArea>
    <c:legend>
      <c:legendPos val="b"/>
      <c:layout>
        <c:manualLayout>
          <c:xMode val="edge"/>
          <c:yMode val="edge"/>
          <c:x val="0.17416225749559086"/>
          <c:y val="0.92060636033763243"/>
          <c:w val="0.71947725284339448"/>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5.5943483423076E-2"/>
          <c:w val="0.90190827863822176"/>
          <c:h val="0.77447566760576947"/>
        </c:manualLayout>
      </c:layout>
      <c:barChart>
        <c:barDir val="col"/>
        <c:grouping val="clustered"/>
        <c:varyColors val="0"/>
        <c:ser>
          <c:idx val="0"/>
          <c:order val="0"/>
          <c:tx>
            <c:strRef>
              <c:f>TABLICA!$B$2</c:f>
              <c:strCache>
                <c:ptCount val="1"/>
                <c:pt idx="0">
                  <c:v>Opole Lubelskie</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TABLICA!$C$2:$L$2</c:f>
              <c:numCache>
                <c:formatCode>#,##0</c:formatCode>
                <c:ptCount val="10"/>
                <c:pt idx="0">
                  <c:v>943</c:v>
                </c:pt>
                <c:pt idx="1">
                  <c:v>840</c:v>
                </c:pt>
                <c:pt idx="2">
                  <c:v>831</c:v>
                </c:pt>
                <c:pt idx="3">
                  <c:v>735</c:v>
                </c:pt>
                <c:pt idx="4">
                  <c:v>732</c:v>
                </c:pt>
                <c:pt idx="5">
                  <c:v>739</c:v>
                </c:pt>
                <c:pt idx="6">
                  <c:v>758</c:v>
                </c:pt>
                <c:pt idx="7">
                  <c:v>686</c:v>
                </c:pt>
                <c:pt idx="8">
                  <c:v>712</c:v>
                </c:pt>
                <c:pt idx="9">
                  <c:v>718</c:v>
                </c:pt>
              </c:numCache>
            </c:numRef>
          </c:val>
          <c:extLst xmlns:c16r2="http://schemas.microsoft.com/office/drawing/2015/06/chart">
            <c:ext xmlns:c16="http://schemas.microsoft.com/office/drawing/2014/chart" uri="{C3380CC4-5D6E-409C-BE32-E72D297353CC}">
              <c16:uniqueId val="{00000000-381F-4DC9-8ED1-326FB25813A1}"/>
            </c:ext>
          </c:extLst>
        </c:ser>
        <c:ser>
          <c:idx val="1"/>
          <c:order val="1"/>
          <c:tx>
            <c:strRef>
              <c:f>TABLICA!$B$3</c:f>
              <c:strCache>
                <c:ptCount val="1"/>
                <c:pt idx="0">
                  <c:v>Opole Lubelskie - miasto</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TABLICA!$C$3:$L$3</c:f>
              <c:numCache>
                <c:formatCode>#,##0</c:formatCode>
                <c:ptCount val="10"/>
                <c:pt idx="0">
                  <c:v>838</c:v>
                </c:pt>
                <c:pt idx="1">
                  <c:v>740</c:v>
                </c:pt>
                <c:pt idx="2">
                  <c:v>707</c:v>
                </c:pt>
                <c:pt idx="3">
                  <c:v>637</c:v>
                </c:pt>
                <c:pt idx="4">
                  <c:v>657</c:v>
                </c:pt>
                <c:pt idx="5">
                  <c:v>676</c:v>
                </c:pt>
                <c:pt idx="6">
                  <c:v>649</c:v>
                </c:pt>
                <c:pt idx="7">
                  <c:v>628</c:v>
                </c:pt>
                <c:pt idx="8">
                  <c:v>658</c:v>
                </c:pt>
                <c:pt idx="9">
                  <c:v>671</c:v>
                </c:pt>
              </c:numCache>
            </c:numRef>
          </c:val>
          <c:extLst xmlns:c16r2="http://schemas.microsoft.com/office/drawing/2015/06/chart">
            <c:ext xmlns:c16="http://schemas.microsoft.com/office/drawing/2014/chart" uri="{C3380CC4-5D6E-409C-BE32-E72D297353CC}">
              <c16:uniqueId val="{00000001-381F-4DC9-8ED1-326FB25813A1}"/>
            </c:ext>
          </c:extLst>
        </c:ser>
        <c:ser>
          <c:idx val="2"/>
          <c:order val="2"/>
          <c:tx>
            <c:strRef>
              <c:f>TABLICA!$B$4</c:f>
              <c:strCache>
                <c:ptCount val="1"/>
                <c:pt idx="0">
                  <c:v>Opole Lubelskie - obszar wiejski</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TABLICA!$C$4:$L$4</c:f>
              <c:numCache>
                <c:formatCode>#,##0</c:formatCode>
                <c:ptCount val="10"/>
                <c:pt idx="0">
                  <c:v>105</c:v>
                </c:pt>
                <c:pt idx="1">
                  <c:v>100</c:v>
                </c:pt>
                <c:pt idx="2">
                  <c:v>124</c:v>
                </c:pt>
                <c:pt idx="3">
                  <c:v>98</c:v>
                </c:pt>
                <c:pt idx="4">
                  <c:v>75</c:v>
                </c:pt>
                <c:pt idx="5">
                  <c:v>63</c:v>
                </c:pt>
                <c:pt idx="6">
                  <c:v>109</c:v>
                </c:pt>
                <c:pt idx="7">
                  <c:v>58</c:v>
                </c:pt>
                <c:pt idx="8">
                  <c:v>54</c:v>
                </c:pt>
                <c:pt idx="9">
                  <c:v>47</c:v>
                </c:pt>
              </c:numCache>
            </c:numRef>
          </c:val>
          <c:extLst xmlns:c16r2="http://schemas.microsoft.com/office/drawing/2015/06/chart">
            <c:ext xmlns:c16="http://schemas.microsoft.com/office/drawing/2014/chart" uri="{C3380CC4-5D6E-409C-BE32-E72D297353CC}">
              <c16:uniqueId val="{00000002-381F-4DC9-8ED1-326FB25813A1}"/>
            </c:ext>
          </c:extLst>
        </c:ser>
        <c:dLbls>
          <c:dLblPos val="outEnd"/>
          <c:showLegendKey val="0"/>
          <c:showVal val="1"/>
          <c:showCatName val="0"/>
          <c:showSerName val="0"/>
          <c:showPercent val="0"/>
          <c:showBubbleSize val="0"/>
        </c:dLbls>
        <c:gapWidth val="100"/>
        <c:overlap val="-24"/>
        <c:axId val="354489176"/>
        <c:axId val="354489568"/>
      </c:barChart>
      <c:catAx>
        <c:axId val="354489176"/>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89568"/>
        <c:crosses val="autoZero"/>
        <c:auto val="1"/>
        <c:lblAlgn val="ctr"/>
        <c:lblOffset val="100"/>
        <c:noMultiLvlLbl val="0"/>
      </c:catAx>
      <c:valAx>
        <c:axId val="3544895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489176"/>
        <c:crosses val="autoZero"/>
        <c:crossBetween val="between"/>
      </c:valAx>
      <c:spPr>
        <a:noFill/>
        <a:ln>
          <a:noFill/>
        </a:ln>
        <a:effectLst/>
      </c:spPr>
    </c:plotArea>
    <c:legend>
      <c:legendPos val="b"/>
      <c:layout>
        <c:manualLayout>
          <c:xMode val="edge"/>
          <c:yMode val="edge"/>
          <c:x val="7.714868974711496E-2"/>
          <c:y val="0.92060636033763243"/>
          <c:w val="0.90037929286616947"/>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3.0146231721034877E-2"/>
          <c:w val="0.89701808107319914"/>
          <c:h val="0.8159102906773209"/>
        </c:manualLayout>
      </c:layout>
      <c:barChart>
        <c:barDir val="col"/>
        <c:grouping val="clustered"/>
        <c:varyColors val="0"/>
        <c:ser>
          <c:idx val="0"/>
          <c:order val="0"/>
          <c:spPr>
            <a:solidFill>
              <a:sysClr val="window" lastClr="FFFFFF">
                <a:lumMod val="65000"/>
              </a:sysClr>
            </a:solidFill>
            <a:ln>
              <a:noFill/>
            </a:ln>
            <a:effectLst/>
          </c:spPr>
          <c:invertIfNegative val="0"/>
          <c:dPt>
            <c:idx val="2"/>
            <c:invertIfNegative val="0"/>
            <c:bubble3D val="0"/>
            <c:spPr>
              <a:solidFill>
                <a:sysClr val="window" lastClr="FFFFFF">
                  <a:lumMod val="65000"/>
                </a:sysClr>
              </a:solidFill>
              <a:ln>
                <a:noFill/>
              </a:ln>
              <a:effectLst/>
            </c:spPr>
            <c:extLst xmlns:c16r2="http://schemas.microsoft.com/office/drawing/2015/06/chart">
              <c:ext xmlns:c16="http://schemas.microsoft.com/office/drawing/2014/chart" uri="{C3380CC4-5D6E-409C-BE32-E72D297353CC}">
                <c16:uniqueId val="{00000001-17F0-4FFC-9967-EF3281D0671A}"/>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TABLICA!$B$10:$B$14</c:f>
              <c:strCache>
                <c:ptCount val="5"/>
                <c:pt idx="0">
                  <c:v>Województwo lubelskie</c:v>
                </c:pt>
                <c:pt idx="1">
                  <c:v>Powiat opolski</c:v>
                </c:pt>
                <c:pt idx="2">
                  <c:v>Opole Lubelskie</c:v>
                </c:pt>
                <c:pt idx="3">
                  <c:v>Opole Lubelskie - miasto</c:v>
                </c:pt>
                <c:pt idx="4">
                  <c:v>Opole Lubelskie - obszar wiejski</c:v>
                </c:pt>
              </c:strCache>
            </c:strRef>
          </c:cat>
          <c:val>
            <c:numRef>
              <c:f>TABLICA!$C$10:$C$14</c:f>
              <c:numCache>
                <c:formatCode>General</c:formatCode>
                <c:ptCount val="5"/>
                <c:pt idx="0">
                  <c:v>-4.67</c:v>
                </c:pt>
                <c:pt idx="1">
                  <c:v>-6.31</c:v>
                </c:pt>
                <c:pt idx="2">
                  <c:v>-6.75</c:v>
                </c:pt>
                <c:pt idx="3">
                  <c:v>-5.94</c:v>
                </c:pt>
                <c:pt idx="4">
                  <c:v>-7.53</c:v>
                </c:pt>
              </c:numCache>
            </c:numRef>
          </c:val>
          <c:extLst xmlns:c16r2="http://schemas.microsoft.com/office/drawing/2015/06/chart">
            <c:ext xmlns:c16="http://schemas.microsoft.com/office/drawing/2014/chart" uri="{C3380CC4-5D6E-409C-BE32-E72D297353CC}">
              <c16:uniqueId val="{00000002-17F0-4FFC-9967-EF3281D0671A}"/>
            </c:ext>
          </c:extLst>
        </c:ser>
        <c:dLbls>
          <c:dLblPos val="outEnd"/>
          <c:showLegendKey val="0"/>
          <c:showVal val="1"/>
          <c:showCatName val="0"/>
          <c:showSerName val="0"/>
          <c:showPercent val="0"/>
          <c:showBubbleSize val="0"/>
        </c:dLbls>
        <c:gapWidth val="100"/>
        <c:axId val="350192608"/>
        <c:axId val="350193392"/>
      </c:barChart>
      <c:catAx>
        <c:axId val="350192608"/>
        <c:scaling>
          <c:orientation val="minMax"/>
        </c:scaling>
        <c:delete val="0"/>
        <c:axPos val="b"/>
        <c:numFmt formatCode="General" sourceLinked="0"/>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193392"/>
        <c:crosses val="autoZero"/>
        <c:auto val="1"/>
        <c:lblAlgn val="ctr"/>
        <c:lblOffset val="100"/>
        <c:noMultiLvlLbl val="0"/>
      </c:catAx>
      <c:valAx>
        <c:axId val="350193392"/>
        <c:scaling>
          <c:orientation val="minMax"/>
          <c:min val="-9"/>
        </c:scaling>
        <c:delete val="0"/>
        <c:axPos val="l"/>
        <c:majorGridlines>
          <c:spPr>
            <a:ln w="9525" cap="flat" cmpd="sng" algn="ctr">
              <a:solidFill>
                <a:schemeClr val="tx2">
                  <a:lumMod val="15000"/>
                  <a:lumOff val="85000"/>
                </a:schemeClr>
              </a:solidFill>
              <a:round/>
            </a:ln>
            <a:effectLst/>
          </c:spPr>
        </c:majorGridlines>
        <c:numFmt formatCode="#\ ##0.0" sourceLinked="0"/>
        <c:majorTickMark val="none"/>
        <c:minorTickMark val="none"/>
        <c:tickLblPos val="low"/>
        <c:spPr>
          <a:noFill/>
          <a:ln>
            <a:noFill/>
          </a:ln>
          <a:effectLst/>
        </c:spPr>
        <c:txPr>
          <a:bodyPr rot="-60000000" spcFirstLastPara="1" vertOverflow="ellipsis" vert="horz" wrap="square" anchor="ctr" anchorCtr="1"/>
          <a:lstStyle/>
          <a:p>
            <a:pPr>
              <a:defRPr sz="6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192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0.107696012239825"/>
          <c:w val="0.90190827863822176"/>
          <c:h val="0.7227231387890205"/>
        </c:manualLayout>
      </c:layout>
      <c:lineChart>
        <c:grouping val="standard"/>
        <c:varyColors val="0"/>
        <c:ser>
          <c:idx val="0"/>
          <c:order val="0"/>
          <c:tx>
            <c:strRef>
              <c:f>Arkusz1!$A$40</c:f>
              <c:strCache>
                <c:ptCount val="1"/>
                <c:pt idx="0">
                  <c:v>Województwo 
lubelskie</c:v>
                </c:pt>
              </c:strCache>
            </c:strRef>
          </c:tx>
          <c:spPr>
            <a:ln w="31750" cap="rnd">
              <a:solidFill>
                <a:schemeClr val="accent2">
                  <a:shade val="65000"/>
                </a:schemeClr>
              </a:solidFill>
              <a:round/>
            </a:ln>
            <a:effectLst/>
          </c:spPr>
          <c:marker>
            <c:symbol val="circle"/>
            <c:size val="6"/>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w="12700">
                <a:solidFill>
                  <a:schemeClr val="lt2"/>
                </a:solidFill>
                <a:round/>
              </a:ln>
              <a:effectLst/>
            </c:spPr>
          </c:marker>
          <c:dLbls>
            <c:dLbl>
              <c:idx val="5"/>
              <c:layout>
                <c:manualLayout>
                  <c:x val="-3.968253968253968E-2"/>
                  <c:y val="3.76382027758174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074-4BD3-B614-346E10CAF5A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Arkusz1!$B$39:$G$39</c:f>
              <c:numCache>
                <c:formatCode>General</c:formatCode>
                <c:ptCount val="6"/>
                <c:pt idx="0">
                  <c:v>2019</c:v>
                </c:pt>
                <c:pt idx="1">
                  <c:v>2020</c:v>
                </c:pt>
                <c:pt idx="2">
                  <c:v>2021</c:v>
                </c:pt>
                <c:pt idx="3">
                  <c:v>2022</c:v>
                </c:pt>
                <c:pt idx="4">
                  <c:v>2023</c:v>
                </c:pt>
                <c:pt idx="5">
                  <c:v>2024</c:v>
                </c:pt>
              </c:numCache>
            </c:numRef>
          </c:cat>
          <c:val>
            <c:numRef>
              <c:f>Arkusz1!$B$40:$G$40</c:f>
              <c:numCache>
                <c:formatCode>0.0</c:formatCode>
                <c:ptCount val="6"/>
                <c:pt idx="0">
                  <c:v>164.29</c:v>
                </c:pt>
                <c:pt idx="1">
                  <c:v>158.30000000000001</c:v>
                </c:pt>
                <c:pt idx="2">
                  <c:v>171.09</c:v>
                </c:pt>
                <c:pt idx="3">
                  <c:v>181.67</c:v>
                </c:pt>
                <c:pt idx="4">
                  <c:v>183.92000000000002</c:v>
                </c:pt>
                <c:pt idx="5">
                  <c:v>177.51</c:v>
                </c:pt>
              </c:numCache>
            </c:numRef>
          </c:val>
          <c:smooth val="0"/>
          <c:extLst xmlns:c16r2="http://schemas.microsoft.com/office/drawing/2015/06/chart">
            <c:ext xmlns:c16="http://schemas.microsoft.com/office/drawing/2014/chart" uri="{C3380CC4-5D6E-409C-BE32-E72D297353CC}">
              <c16:uniqueId val="{00000001-2074-4BD3-B614-346E10CAF5A9}"/>
            </c:ext>
          </c:extLst>
        </c:ser>
        <c:ser>
          <c:idx val="1"/>
          <c:order val="1"/>
          <c:tx>
            <c:strRef>
              <c:f>Arkusz1!$A$41</c:f>
              <c:strCache>
                <c:ptCount val="1"/>
                <c:pt idx="0">
                  <c:v>Powiat opolski</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s>
            <c:dLbl>
              <c:idx val="0"/>
              <c:layout>
                <c:manualLayout>
                  <c:x val="-3.9285714285714306E-2"/>
                  <c:y val="3.66501999529521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074-4BD3-B614-346E10CAF5A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Arkusz1!$B$39:$G$39</c:f>
              <c:numCache>
                <c:formatCode>General</c:formatCode>
                <c:ptCount val="6"/>
                <c:pt idx="0">
                  <c:v>2019</c:v>
                </c:pt>
                <c:pt idx="1">
                  <c:v>2020</c:v>
                </c:pt>
                <c:pt idx="2">
                  <c:v>2021</c:v>
                </c:pt>
                <c:pt idx="3">
                  <c:v>2022</c:v>
                </c:pt>
                <c:pt idx="4">
                  <c:v>2023</c:v>
                </c:pt>
                <c:pt idx="5">
                  <c:v>2024</c:v>
                </c:pt>
              </c:numCache>
            </c:numRef>
          </c:cat>
          <c:val>
            <c:numRef>
              <c:f>Arkusz1!$B$41:$G$41</c:f>
              <c:numCache>
                <c:formatCode>0.0</c:formatCode>
                <c:ptCount val="6"/>
                <c:pt idx="0">
                  <c:v>151.21</c:v>
                </c:pt>
                <c:pt idx="1">
                  <c:v>144.49</c:v>
                </c:pt>
                <c:pt idx="2">
                  <c:v>155.21</c:v>
                </c:pt>
                <c:pt idx="3">
                  <c:v>168.16</c:v>
                </c:pt>
                <c:pt idx="4">
                  <c:v>169</c:v>
                </c:pt>
                <c:pt idx="5">
                  <c:v>167.79</c:v>
                </c:pt>
              </c:numCache>
            </c:numRef>
          </c:val>
          <c:smooth val="0"/>
          <c:extLst xmlns:c16r2="http://schemas.microsoft.com/office/drawing/2015/06/chart">
            <c:ext xmlns:c16="http://schemas.microsoft.com/office/drawing/2014/chart" uri="{C3380CC4-5D6E-409C-BE32-E72D297353CC}">
              <c16:uniqueId val="{00000003-2074-4BD3-B614-346E10CAF5A9}"/>
            </c:ext>
          </c:extLst>
        </c:ser>
        <c:ser>
          <c:idx val="2"/>
          <c:order val="2"/>
          <c:tx>
            <c:strRef>
              <c:f>Arkusz1!$A$42</c:f>
              <c:strCache>
                <c:ptCount val="1"/>
                <c:pt idx="0">
                  <c:v>Opole Lubelskie</c:v>
                </c:pt>
              </c:strCache>
            </c:strRef>
          </c:tx>
          <c:spPr>
            <a:ln w="31750" cap="rnd">
              <a:solidFill>
                <a:schemeClr val="accent2">
                  <a:tint val="65000"/>
                </a:schemeClr>
              </a:solidFill>
              <a:round/>
            </a:ln>
            <a:effectLst/>
          </c:spPr>
          <c:marker>
            <c:symbol val="circle"/>
            <c:size val="6"/>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w="12700">
                <a:solidFill>
                  <a:schemeClr val="lt2"/>
                </a:solidFill>
                <a:round/>
              </a:ln>
              <a:effectLst/>
            </c:spPr>
          </c:marker>
          <c:dLbls>
            <c:dLbl>
              <c:idx val="0"/>
              <c:layout>
                <c:manualLayout>
                  <c:x val="-3.9285714285714306E-2"/>
                  <c:y val="-4.60597506469066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074-4BD3-B614-346E10CAF5A9}"/>
                </c:ext>
                <c:ext xmlns:c15="http://schemas.microsoft.com/office/drawing/2012/chart" uri="{CE6537A1-D6FC-4f65-9D91-7224C49458BB}">
                  <c15:layout/>
                </c:ext>
              </c:extLst>
            </c:dLbl>
            <c:dLbl>
              <c:idx val="1"/>
              <c:layout>
                <c:manualLayout>
                  <c:x val="-3.9285714285714327E-2"/>
                  <c:y val="2.9216654904728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074-4BD3-B614-346E10CAF5A9}"/>
                </c:ext>
                <c:ext xmlns:c15="http://schemas.microsoft.com/office/drawing/2012/chart" uri="{CE6537A1-D6FC-4f65-9D91-7224C49458BB}">
                  <c15:layout/>
                </c:ext>
              </c:extLst>
            </c:dLbl>
            <c:dLbl>
              <c:idx val="5"/>
              <c:layout>
                <c:manualLayout>
                  <c:x val="-3.9285714285714285E-2"/>
                  <c:y val="-4.13549752999294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074-4BD3-B614-346E10CAF5A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Arkusz1!$B$39:$G$39</c:f>
              <c:numCache>
                <c:formatCode>General</c:formatCode>
                <c:ptCount val="6"/>
                <c:pt idx="0">
                  <c:v>2019</c:v>
                </c:pt>
                <c:pt idx="1">
                  <c:v>2020</c:v>
                </c:pt>
                <c:pt idx="2">
                  <c:v>2021</c:v>
                </c:pt>
                <c:pt idx="3">
                  <c:v>2022</c:v>
                </c:pt>
                <c:pt idx="4">
                  <c:v>2023</c:v>
                </c:pt>
                <c:pt idx="5">
                  <c:v>2024</c:v>
                </c:pt>
              </c:numCache>
            </c:numRef>
          </c:cat>
          <c:val>
            <c:numRef>
              <c:f>Arkusz1!$B$42:$G$42</c:f>
              <c:numCache>
                <c:formatCode>0.0</c:formatCode>
                <c:ptCount val="6"/>
                <c:pt idx="0">
                  <c:v>174.19</c:v>
                </c:pt>
                <c:pt idx="1">
                  <c:v>152.55000000000001</c:v>
                </c:pt>
                <c:pt idx="2">
                  <c:v>160.12</c:v>
                </c:pt>
                <c:pt idx="3">
                  <c:v>174.03</c:v>
                </c:pt>
                <c:pt idx="4">
                  <c:v>173.41</c:v>
                </c:pt>
                <c:pt idx="5">
                  <c:v>182.58</c:v>
                </c:pt>
              </c:numCache>
            </c:numRef>
          </c:val>
          <c:smooth val="0"/>
          <c:extLst xmlns:c16r2="http://schemas.microsoft.com/office/drawing/2015/06/chart">
            <c:ext xmlns:c16="http://schemas.microsoft.com/office/drawing/2014/chart" uri="{C3380CC4-5D6E-409C-BE32-E72D297353CC}">
              <c16:uniqueId val="{00000007-2074-4BD3-B614-346E10CAF5A9}"/>
            </c:ext>
          </c:extLst>
        </c:ser>
        <c:dLbls>
          <c:showLegendKey val="0"/>
          <c:showVal val="1"/>
          <c:showCatName val="0"/>
          <c:showSerName val="0"/>
          <c:showPercent val="0"/>
          <c:showBubbleSize val="0"/>
        </c:dLbls>
        <c:marker val="1"/>
        <c:smooth val="0"/>
        <c:axId val="354743816"/>
        <c:axId val="354746560"/>
      </c:lineChart>
      <c:catAx>
        <c:axId val="354743816"/>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46560"/>
        <c:crosses val="autoZero"/>
        <c:auto val="1"/>
        <c:lblAlgn val="ctr"/>
        <c:lblOffset val="100"/>
        <c:noMultiLvlLbl val="0"/>
      </c:catAx>
      <c:valAx>
        <c:axId val="354746560"/>
        <c:scaling>
          <c:orientation val="minMax"/>
          <c:min val="130"/>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43816"/>
        <c:crosses val="autoZero"/>
        <c:crossBetween val="between"/>
      </c:valAx>
      <c:spPr>
        <a:noFill/>
        <a:ln>
          <a:noFill/>
        </a:ln>
        <a:effectLst/>
      </c:spPr>
    </c:plotArea>
    <c:legend>
      <c:legendPos val="b"/>
      <c:layout>
        <c:manualLayout>
          <c:xMode val="edge"/>
          <c:yMode val="edge"/>
          <c:x val="9.4797178130511459E-2"/>
          <c:y val="0.91590158499065533"/>
          <c:w val="0.85395697065644571"/>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9.3581686198893468E-2"/>
          <c:w val="0.90190827863822176"/>
          <c:h val="0.73683746482995205"/>
        </c:manualLayout>
      </c:layout>
      <c:barChart>
        <c:barDir val="col"/>
        <c:grouping val="clustered"/>
        <c:varyColors val="0"/>
        <c:ser>
          <c:idx val="0"/>
          <c:order val="0"/>
          <c:tx>
            <c:strRef>
              <c:f>TABLICA!$B$2</c:f>
              <c:strCache>
                <c:ptCount val="1"/>
                <c:pt idx="0">
                  <c:v>Opole Lubelskie</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TABLICA!$C$1:$L$1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TABLICA!$C$2:$L$2</c:f>
              <c:numCache>
                <c:formatCode>#,##0</c:formatCode>
                <c:ptCount val="10"/>
                <c:pt idx="0">
                  <c:v>137793</c:v>
                </c:pt>
                <c:pt idx="1">
                  <c:v>149633</c:v>
                </c:pt>
                <c:pt idx="2">
                  <c:v>150887</c:v>
                </c:pt>
                <c:pt idx="3">
                  <c:v>147714</c:v>
                </c:pt>
                <c:pt idx="4">
                  <c:v>165729</c:v>
                </c:pt>
                <c:pt idx="5">
                  <c:v>153469</c:v>
                </c:pt>
                <c:pt idx="6">
                  <c:v>135274</c:v>
                </c:pt>
                <c:pt idx="7">
                  <c:v>155857</c:v>
                </c:pt>
                <c:pt idx="8">
                  <c:v>160416</c:v>
                </c:pt>
                <c:pt idx="9">
                  <c:v>179016</c:v>
                </c:pt>
              </c:numCache>
            </c:numRef>
          </c:val>
          <c:extLst xmlns:c16r2="http://schemas.microsoft.com/office/drawing/2015/06/chart">
            <c:ext xmlns:c16="http://schemas.microsoft.com/office/drawing/2014/chart" uri="{C3380CC4-5D6E-409C-BE32-E72D297353CC}">
              <c16:uniqueId val="{00000000-1590-47C2-8F8A-044D1FC9C826}"/>
            </c:ext>
          </c:extLst>
        </c:ser>
        <c:ser>
          <c:idx val="1"/>
          <c:order val="1"/>
          <c:tx>
            <c:strRef>
              <c:f>TABLICA!$B$3</c:f>
              <c:strCache>
                <c:ptCount val="1"/>
                <c:pt idx="0">
                  <c:v>Opole Lubelskie - miasto</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TABLICA!$C$3:$L$3</c:f>
              <c:numCache>
                <c:formatCode>#,##0</c:formatCode>
                <c:ptCount val="10"/>
                <c:pt idx="0">
                  <c:v>129715</c:v>
                </c:pt>
                <c:pt idx="1">
                  <c:v>140867</c:v>
                </c:pt>
                <c:pt idx="2">
                  <c:v>142432</c:v>
                </c:pt>
                <c:pt idx="3">
                  <c:v>139329</c:v>
                </c:pt>
                <c:pt idx="4">
                  <c:v>157146</c:v>
                </c:pt>
                <c:pt idx="5">
                  <c:v>145223</c:v>
                </c:pt>
                <c:pt idx="6">
                  <c:v>127771</c:v>
                </c:pt>
                <c:pt idx="7">
                  <c:v>147679</c:v>
                </c:pt>
                <c:pt idx="8">
                  <c:v>151461</c:v>
                </c:pt>
                <c:pt idx="9">
                  <c:v>169890</c:v>
                </c:pt>
              </c:numCache>
            </c:numRef>
          </c:val>
          <c:extLst xmlns:c16r2="http://schemas.microsoft.com/office/drawing/2015/06/chart">
            <c:ext xmlns:c16="http://schemas.microsoft.com/office/drawing/2014/chart" uri="{C3380CC4-5D6E-409C-BE32-E72D297353CC}">
              <c16:uniqueId val="{00000001-1590-47C2-8F8A-044D1FC9C826}"/>
            </c:ext>
          </c:extLst>
        </c:ser>
        <c:ser>
          <c:idx val="2"/>
          <c:order val="2"/>
          <c:tx>
            <c:strRef>
              <c:f>TABLICA!$B$4</c:f>
              <c:strCache>
                <c:ptCount val="1"/>
                <c:pt idx="0">
                  <c:v>Opole Lubelskie - obszar wiejski</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TABLICA!$C$4:$L$4</c:f>
              <c:numCache>
                <c:formatCode>#,##0</c:formatCode>
                <c:ptCount val="10"/>
                <c:pt idx="0">
                  <c:v>8078</c:v>
                </c:pt>
                <c:pt idx="1">
                  <c:v>8766</c:v>
                </c:pt>
                <c:pt idx="2">
                  <c:v>8455</c:v>
                </c:pt>
                <c:pt idx="3">
                  <c:v>8385</c:v>
                </c:pt>
                <c:pt idx="4">
                  <c:v>8583</c:v>
                </c:pt>
                <c:pt idx="5">
                  <c:v>8246</c:v>
                </c:pt>
                <c:pt idx="6">
                  <c:v>7503</c:v>
                </c:pt>
                <c:pt idx="7">
                  <c:v>8178</c:v>
                </c:pt>
                <c:pt idx="8">
                  <c:v>8955</c:v>
                </c:pt>
                <c:pt idx="9">
                  <c:v>9126</c:v>
                </c:pt>
              </c:numCache>
            </c:numRef>
          </c:val>
          <c:extLst xmlns:c16r2="http://schemas.microsoft.com/office/drawing/2015/06/chart">
            <c:ext xmlns:c16="http://schemas.microsoft.com/office/drawing/2014/chart" uri="{C3380CC4-5D6E-409C-BE32-E72D297353CC}">
              <c16:uniqueId val="{00000002-1590-47C2-8F8A-044D1FC9C826}"/>
            </c:ext>
          </c:extLst>
        </c:ser>
        <c:dLbls>
          <c:dLblPos val="outEnd"/>
          <c:showLegendKey val="0"/>
          <c:showVal val="1"/>
          <c:showCatName val="0"/>
          <c:showSerName val="0"/>
          <c:showPercent val="0"/>
          <c:showBubbleSize val="0"/>
        </c:dLbls>
        <c:gapWidth val="100"/>
        <c:overlap val="-24"/>
        <c:axId val="354745776"/>
        <c:axId val="354746168"/>
      </c:barChart>
      <c:catAx>
        <c:axId val="354745776"/>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46168"/>
        <c:crosses val="autoZero"/>
        <c:auto val="1"/>
        <c:lblAlgn val="ctr"/>
        <c:lblOffset val="100"/>
        <c:noMultiLvlLbl val="0"/>
      </c:catAx>
      <c:valAx>
        <c:axId val="3547461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45776"/>
        <c:crosses val="autoZero"/>
        <c:crossBetween val="between"/>
      </c:valAx>
      <c:spPr>
        <a:noFill/>
        <a:ln>
          <a:noFill/>
        </a:ln>
        <a:effectLst/>
      </c:spPr>
    </c:plotArea>
    <c:legend>
      <c:legendPos val="b"/>
      <c:layout>
        <c:manualLayout>
          <c:xMode val="edge"/>
          <c:yMode val="edge"/>
          <c:x val="7.714868974711496E-2"/>
          <c:y val="0.92060636033763243"/>
          <c:w val="0.90037929286616947"/>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716996570937225E-2"/>
          <c:y val="9.3581686198893468E-2"/>
          <c:w val="0.90190827863822176"/>
          <c:h val="0.81211387038158689"/>
        </c:manualLayout>
      </c:layout>
      <c:barChart>
        <c:barDir val="col"/>
        <c:grouping val="clustered"/>
        <c:varyColors val="0"/>
        <c:ser>
          <c:idx val="0"/>
          <c:order val="0"/>
          <c:tx>
            <c:strRef>
              <c:f>TABLICA!$B$2</c:f>
              <c:strCache>
                <c:ptCount val="1"/>
                <c:pt idx="0">
                  <c:v>Opole Lubelskie (3)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TABLICA!$C$2:$L$2</c:f>
              <c:numCache>
                <c:formatCode>#,##0</c:formatCode>
                <c:ptCount val="10"/>
                <c:pt idx="0">
                  <c:v>1425</c:v>
                </c:pt>
                <c:pt idx="1">
                  <c:v>1465</c:v>
                </c:pt>
                <c:pt idx="2">
                  <c:v>1355</c:v>
                </c:pt>
                <c:pt idx="3">
                  <c:v>1220</c:v>
                </c:pt>
                <c:pt idx="4">
                  <c:v>1120</c:v>
                </c:pt>
                <c:pt idx="5">
                  <c:v>992</c:v>
                </c:pt>
                <c:pt idx="6">
                  <c:v>908</c:v>
                </c:pt>
                <c:pt idx="7">
                  <c:v>844</c:v>
                </c:pt>
                <c:pt idx="8">
                  <c:v>792</c:v>
                </c:pt>
                <c:pt idx="9">
                  <c:v>683</c:v>
                </c:pt>
              </c:numCache>
            </c:numRef>
          </c:val>
          <c:extLst xmlns:c16r2="http://schemas.microsoft.com/office/drawing/2015/06/chart">
            <c:ext xmlns:c16="http://schemas.microsoft.com/office/drawing/2014/chart" uri="{C3380CC4-5D6E-409C-BE32-E72D297353CC}">
              <c16:uniqueId val="{00000000-BDED-4C9E-BDBD-A02F0C63E5BC}"/>
            </c:ext>
          </c:extLst>
        </c:ser>
        <c:dLbls>
          <c:dLblPos val="outEnd"/>
          <c:showLegendKey val="0"/>
          <c:showVal val="1"/>
          <c:showCatName val="0"/>
          <c:showSerName val="0"/>
          <c:showPercent val="0"/>
          <c:showBubbleSize val="0"/>
        </c:dLbls>
        <c:gapWidth val="100"/>
        <c:overlap val="-24"/>
        <c:axId val="354735192"/>
        <c:axId val="354737936"/>
      </c:barChart>
      <c:catAx>
        <c:axId val="354735192"/>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37936"/>
        <c:crosses val="autoZero"/>
        <c:auto val="1"/>
        <c:lblAlgn val="ctr"/>
        <c:lblOffset val="100"/>
        <c:noMultiLvlLbl val="0"/>
      </c:catAx>
      <c:valAx>
        <c:axId val="35473793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35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9.3581686198893468E-2"/>
          <c:w val="0.90190827863822176"/>
          <c:h val="0.73683746482995205"/>
        </c:manualLayout>
      </c:layout>
      <c:barChart>
        <c:barDir val="col"/>
        <c:grouping val="clustered"/>
        <c:varyColors val="0"/>
        <c:ser>
          <c:idx val="0"/>
          <c:order val="0"/>
          <c:tx>
            <c:strRef>
              <c:f>TABLICA!$B$2</c:f>
              <c:strCache>
                <c:ptCount val="1"/>
                <c:pt idx="0">
                  <c:v>rodziny otrzymujące zasiłki rodzinne na dzieci</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TABLICA!$C$2:$L$2</c:f>
              <c:numCache>
                <c:formatCode>#,##0</c:formatCode>
                <c:ptCount val="10"/>
                <c:pt idx="0">
                  <c:v>1083</c:v>
                </c:pt>
                <c:pt idx="1">
                  <c:v>1007</c:v>
                </c:pt>
                <c:pt idx="2">
                  <c:v>950</c:v>
                </c:pt>
                <c:pt idx="3">
                  <c:v>966</c:v>
                </c:pt>
                <c:pt idx="4">
                  <c:v>921</c:v>
                </c:pt>
                <c:pt idx="5">
                  <c:v>858</c:v>
                </c:pt>
                <c:pt idx="6">
                  <c:v>704</c:v>
                </c:pt>
                <c:pt idx="7">
                  <c:v>616</c:v>
                </c:pt>
                <c:pt idx="8">
                  <c:v>513</c:v>
                </c:pt>
                <c:pt idx="9">
                  <c:v>439</c:v>
                </c:pt>
              </c:numCache>
            </c:numRef>
          </c:val>
          <c:extLst xmlns:c16r2="http://schemas.microsoft.com/office/drawing/2015/06/chart">
            <c:ext xmlns:c16="http://schemas.microsoft.com/office/drawing/2014/chart" uri="{C3380CC4-5D6E-409C-BE32-E72D297353CC}">
              <c16:uniqueId val="{00000000-7591-4728-9E47-011AE83039E6}"/>
            </c:ext>
          </c:extLst>
        </c:ser>
        <c:ser>
          <c:idx val="1"/>
          <c:order val="1"/>
          <c:tx>
            <c:strRef>
              <c:f>TABLICA!$B$3</c:f>
              <c:strCache>
                <c:ptCount val="1"/>
                <c:pt idx="0">
                  <c:v>dzieci w wieku do lat 17, na które rodzice otrzymują zasiłek rodzinny</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TABLICA!$C$1:$L$1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TABLICA!$C$3:$L$3</c:f>
              <c:numCache>
                <c:formatCode>General</c:formatCode>
                <c:ptCount val="10"/>
                <c:pt idx="0">
                  <c:v>1774</c:v>
                </c:pt>
                <c:pt idx="1">
                  <c:v>1660</c:v>
                </c:pt>
                <c:pt idx="2">
                  <c:v>1587</c:v>
                </c:pt>
                <c:pt idx="3">
                  <c:v>1643</c:v>
                </c:pt>
                <c:pt idx="4">
                  <c:v>1575</c:v>
                </c:pt>
                <c:pt idx="5">
                  <c:v>1505</c:v>
                </c:pt>
                <c:pt idx="6">
                  <c:v>1288</c:v>
                </c:pt>
                <c:pt idx="7">
                  <c:v>1245</c:v>
                </c:pt>
                <c:pt idx="8">
                  <c:v>1131</c:v>
                </c:pt>
                <c:pt idx="9">
                  <c:v>921</c:v>
                </c:pt>
              </c:numCache>
            </c:numRef>
          </c:val>
          <c:extLst xmlns:c16r2="http://schemas.microsoft.com/office/drawing/2015/06/chart">
            <c:ext xmlns:c16="http://schemas.microsoft.com/office/drawing/2014/chart" uri="{C3380CC4-5D6E-409C-BE32-E72D297353CC}">
              <c16:uniqueId val="{00000001-7591-4728-9E47-011AE83039E6}"/>
            </c:ext>
          </c:extLst>
        </c:ser>
        <c:dLbls>
          <c:dLblPos val="outEnd"/>
          <c:showLegendKey val="0"/>
          <c:showVal val="1"/>
          <c:showCatName val="0"/>
          <c:showSerName val="0"/>
          <c:showPercent val="0"/>
          <c:showBubbleSize val="0"/>
        </c:dLbls>
        <c:gapWidth val="100"/>
        <c:overlap val="-24"/>
        <c:axId val="354738328"/>
        <c:axId val="354741464"/>
      </c:barChart>
      <c:catAx>
        <c:axId val="354738328"/>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41464"/>
        <c:crosses val="autoZero"/>
        <c:auto val="1"/>
        <c:lblAlgn val="ctr"/>
        <c:lblOffset val="100"/>
        <c:noMultiLvlLbl val="0"/>
      </c:catAx>
      <c:valAx>
        <c:axId val="35474146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38328"/>
        <c:crosses val="autoZero"/>
        <c:crossBetween val="between"/>
      </c:valAx>
      <c:spPr>
        <a:noFill/>
        <a:ln>
          <a:noFill/>
        </a:ln>
        <a:effectLst/>
      </c:spPr>
    </c:plotArea>
    <c:legend>
      <c:legendPos val="b"/>
      <c:layout>
        <c:manualLayout>
          <c:xMode val="edge"/>
          <c:yMode val="edge"/>
          <c:x val="7.714868974711496E-2"/>
          <c:y val="0.92060636033763243"/>
          <c:w val="0.90037929286616947"/>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0.107696012239825"/>
          <c:w val="0.90190827863822176"/>
          <c:h val="0.7227231387890205"/>
        </c:manualLayout>
      </c:layout>
      <c:barChart>
        <c:barDir val="col"/>
        <c:grouping val="clustered"/>
        <c:varyColors val="0"/>
        <c:ser>
          <c:idx val="0"/>
          <c:order val="0"/>
          <c:tx>
            <c:strRef>
              <c:f>TABLICA!$B$9</c:f>
              <c:strCache>
                <c:ptCount val="1"/>
                <c:pt idx="0">
                  <c:v>uczestnicy imprez</c:v>
                </c:pt>
              </c:strCache>
            </c:strRef>
          </c:tx>
          <c:spPr>
            <a:solidFill>
              <a:srgbClr val="ED7D31"/>
            </a:solidFill>
            <a:ln>
              <a:noFill/>
            </a:ln>
            <a:effectLst/>
          </c:spPr>
          <c:invertIfNegative val="0"/>
          <c:dLbls>
            <c:dLbl>
              <c:idx val="1"/>
              <c:layout>
                <c:manualLayout>
                  <c:x val="-4.04169346286349E-17"/>
                  <c:y val="1.881910138790872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37-4845-BBF4-993642D65FEB}"/>
                </c:ext>
                <c:ext xmlns:c15="http://schemas.microsoft.com/office/drawing/2012/chart" uri="{CE6537A1-D6FC-4f65-9D91-7224C49458BB}">
                  <c15:layout/>
                </c:ext>
              </c:extLst>
            </c:dLbl>
            <c:dLbl>
              <c:idx val="4"/>
              <c:layout>
                <c:manualLayout>
                  <c:x val="0"/>
                  <c:y val="-2.35238767348859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37-4845-BBF4-993642D65FEB}"/>
                </c:ext>
                <c:ext xmlns:c15="http://schemas.microsoft.com/office/drawing/2012/chart" uri="{CE6537A1-D6FC-4f65-9D91-7224C49458BB}">
                  <c15:layout/>
                </c:ext>
              </c:extLst>
            </c:dLbl>
            <c:dLbl>
              <c:idx val="6"/>
              <c:layout>
                <c:manualLayout>
                  <c:x val="0"/>
                  <c:y val="9.409550693954363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37-4845-BBF4-993642D65FEB}"/>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TABLICA!$C$9:$L$9</c:f>
              <c:numCache>
                <c:formatCode>#,##0</c:formatCode>
                <c:ptCount val="10"/>
                <c:pt idx="0">
                  <c:v>15297</c:v>
                </c:pt>
                <c:pt idx="1">
                  <c:v>14103</c:v>
                </c:pt>
                <c:pt idx="2">
                  <c:v>17411</c:v>
                </c:pt>
                <c:pt idx="3">
                  <c:v>15768</c:v>
                </c:pt>
                <c:pt idx="4">
                  <c:v>17570</c:v>
                </c:pt>
                <c:pt idx="5">
                  <c:v>15490</c:v>
                </c:pt>
                <c:pt idx="6">
                  <c:v>1080</c:v>
                </c:pt>
                <c:pt idx="7">
                  <c:v>8730</c:v>
                </c:pt>
                <c:pt idx="8">
                  <c:v>22150</c:v>
                </c:pt>
                <c:pt idx="9">
                  <c:v>22010</c:v>
                </c:pt>
              </c:numCache>
            </c:numRef>
          </c:val>
          <c:extLst xmlns:c16r2="http://schemas.microsoft.com/office/drawing/2015/06/chart">
            <c:ext xmlns:c16="http://schemas.microsoft.com/office/drawing/2014/chart" uri="{C3380CC4-5D6E-409C-BE32-E72D297353CC}">
              <c16:uniqueId val="{00000003-8A37-4845-BBF4-993642D65FEB}"/>
            </c:ext>
          </c:extLst>
        </c:ser>
        <c:dLbls>
          <c:showLegendKey val="0"/>
          <c:showVal val="0"/>
          <c:showCatName val="0"/>
          <c:showSerName val="0"/>
          <c:showPercent val="0"/>
          <c:showBubbleSize val="0"/>
        </c:dLbls>
        <c:gapWidth val="150"/>
        <c:axId val="354738720"/>
        <c:axId val="354742640"/>
      </c:barChart>
      <c:lineChart>
        <c:grouping val="standard"/>
        <c:varyColors val="0"/>
        <c:ser>
          <c:idx val="1"/>
          <c:order val="1"/>
          <c:tx>
            <c:strRef>
              <c:f>TABLICA!$B$10</c:f>
              <c:strCache>
                <c:ptCount val="1"/>
                <c:pt idx="0">
                  <c:v>liczba imprez</c:v>
                </c:pt>
              </c:strCache>
            </c:strRef>
          </c:tx>
          <c:spPr>
            <a:ln w="31750" cap="rnd">
              <a:solidFill>
                <a:sysClr val="windowText" lastClr="000000">
                  <a:lumMod val="65000"/>
                  <a:lumOff val="35000"/>
                </a:sysClr>
              </a:solidFill>
              <a:round/>
            </a:ln>
            <a:effectLst/>
          </c:spPr>
          <c:marker>
            <c:symbol val="circle"/>
            <c:size val="6"/>
            <c:spPr>
              <a:solidFill>
                <a:sysClr val="window" lastClr="FFFFFF"/>
              </a:solidFill>
              <a:ln w="12700">
                <a:solidFill>
                  <a:sysClr val="windowText" lastClr="000000">
                    <a:lumMod val="65000"/>
                    <a:lumOff val="35000"/>
                  </a:sysClr>
                </a:solidFill>
                <a:round/>
              </a:ln>
              <a:effectLst/>
            </c:spPr>
          </c:marker>
          <c:dLbls>
            <c:dLbl>
              <c:idx val="1"/>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A37-4845-BBF4-993642D65FEB}"/>
                </c:ext>
                <c:ext xmlns:c15="http://schemas.microsoft.com/office/drawing/2012/chart" uri="{CE6537A1-D6FC-4f65-9D91-7224C49458BB}">
                  <c15:layout/>
                </c:ext>
              </c:extLst>
            </c:dLbl>
            <c:dLbl>
              <c:idx val="6"/>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A37-4845-BBF4-993642D65FEB}"/>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chemeClr val="tx1"/>
                    </a:solidFill>
                    <a:latin typeface="Century Gothic" panose="020B0502020202020204" pitchFamily="34" charset="0"/>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TABLICA!$C$8:$L$8</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TABLICA!$C$10:$L$10</c:f>
              <c:numCache>
                <c:formatCode>General</c:formatCode>
                <c:ptCount val="10"/>
                <c:pt idx="0">
                  <c:v>87</c:v>
                </c:pt>
                <c:pt idx="1">
                  <c:v>143</c:v>
                </c:pt>
                <c:pt idx="2">
                  <c:v>131</c:v>
                </c:pt>
                <c:pt idx="3">
                  <c:v>98</c:v>
                </c:pt>
                <c:pt idx="4">
                  <c:v>131</c:v>
                </c:pt>
                <c:pt idx="5">
                  <c:v>95</c:v>
                </c:pt>
                <c:pt idx="6">
                  <c:v>43</c:v>
                </c:pt>
                <c:pt idx="7">
                  <c:v>62</c:v>
                </c:pt>
                <c:pt idx="8">
                  <c:v>83</c:v>
                </c:pt>
                <c:pt idx="9">
                  <c:v>92</c:v>
                </c:pt>
              </c:numCache>
            </c:numRef>
          </c:val>
          <c:smooth val="0"/>
          <c:extLst xmlns:c16r2="http://schemas.microsoft.com/office/drawing/2015/06/chart">
            <c:ext xmlns:c16="http://schemas.microsoft.com/office/drawing/2014/chart" uri="{C3380CC4-5D6E-409C-BE32-E72D297353CC}">
              <c16:uniqueId val="{00000006-8A37-4845-BBF4-993642D65FEB}"/>
            </c:ext>
          </c:extLst>
        </c:ser>
        <c:dLbls>
          <c:showLegendKey val="0"/>
          <c:showVal val="1"/>
          <c:showCatName val="0"/>
          <c:showSerName val="0"/>
          <c:showPercent val="0"/>
          <c:showBubbleSize val="0"/>
        </c:dLbls>
        <c:marker val="1"/>
        <c:smooth val="0"/>
        <c:axId val="354732840"/>
        <c:axId val="354735976"/>
      </c:lineChart>
      <c:catAx>
        <c:axId val="354738720"/>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42640"/>
        <c:crosses val="autoZero"/>
        <c:auto val="1"/>
        <c:lblAlgn val="ctr"/>
        <c:lblOffset val="100"/>
        <c:noMultiLvlLbl val="0"/>
      </c:catAx>
      <c:valAx>
        <c:axId val="3547426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38720"/>
        <c:crosses val="autoZero"/>
        <c:crossBetween val="between"/>
      </c:valAx>
      <c:valAx>
        <c:axId val="354735976"/>
        <c:scaling>
          <c:orientation val="minMax"/>
          <c:max val="18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32840"/>
        <c:crosses val="max"/>
        <c:crossBetween val="between"/>
      </c:valAx>
      <c:catAx>
        <c:axId val="354732840"/>
        <c:scaling>
          <c:orientation val="minMax"/>
        </c:scaling>
        <c:delete val="1"/>
        <c:axPos val="b"/>
        <c:numFmt formatCode="General" sourceLinked="1"/>
        <c:majorTickMark val="out"/>
        <c:minorTickMark val="none"/>
        <c:tickLblPos val="nextTo"/>
        <c:crossAx val="354735976"/>
        <c:crosses val="autoZero"/>
        <c:auto val="1"/>
        <c:lblAlgn val="ctr"/>
        <c:lblOffset val="100"/>
        <c:noMultiLvlLbl val="0"/>
      </c:catAx>
      <c:spPr>
        <a:noFill/>
        <a:ln>
          <a:noFill/>
        </a:ln>
        <a:effectLst/>
      </c:spPr>
    </c:plotArea>
    <c:legend>
      <c:legendPos val="b"/>
      <c:layout>
        <c:manualLayout>
          <c:xMode val="edge"/>
          <c:yMode val="edge"/>
          <c:x val="0.20501465094640947"/>
          <c:y val="0.92060636033763243"/>
          <c:w val="0.60924797594745106"/>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716996570937225E-2"/>
          <c:y val="9.3581686198893468E-2"/>
          <c:w val="0.90190827863822176"/>
          <c:h val="0.81211387038158689"/>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TABLICA!$C$10:$L$10</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TABLICA!$C$11:$L$11</c:f>
              <c:numCache>
                <c:formatCode>General</c:formatCode>
                <c:ptCount val="10"/>
                <c:pt idx="0">
                  <c:v>2036</c:v>
                </c:pt>
                <c:pt idx="1">
                  <c:v>2541</c:v>
                </c:pt>
                <c:pt idx="2">
                  <c:v>2671</c:v>
                </c:pt>
                <c:pt idx="3">
                  <c:v>2565</c:v>
                </c:pt>
                <c:pt idx="4">
                  <c:v>2419</c:v>
                </c:pt>
                <c:pt idx="5">
                  <c:v>2410</c:v>
                </c:pt>
                <c:pt idx="6">
                  <c:v>1873</c:v>
                </c:pt>
                <c:pt idx="7">
                  <c:v>1920</c:v>
                </c:pt>
                <c:pt idx="8">
                  <c:v>1881</c:v>
                </c:pt>
                <c:pt idx="9">
                  <c:v>1443</c:v>
                </c:pt>
              </c:numCache>
            </c:numRef>
          </c:val>
          <c:extLst xmlns:c16r2="http://schemas.microsoft.com/office/drawing/2015/06/chart">
            <c:ext xmlns:c16="http://schemas.microsoft.com/office/drawing/2014/chart" uri="{C3380CC4-5D6E-409C-BE32-E72D297353CC}">
              <c16:uniqueId val="{00000000-5C5B-4224-832B-7ED03D2FBCCD}"/>
            </c:ext>
          </c:extLst>
        </c:ser>
        <c:dLbls>
          <c:dLblPos val="outEnd"/>
          <c:showLegendKey val="0"/>
          <c:showVal val="1"/>
          <c:showCatName val="0"/>
          <c:showSerName val="0"/>
          <c:showPercent val="0"/>
          <c:showBubbleSize val="0"/>
        </c:dLbls>
        <c:gapWidth val="100"/>
        <c:overlap val="-24"/>
        <c:axId val="354734016"/>
        <c:axId val="354731664"/>
      </c:barChart>
      <c:catAx>
        <c:axId val="354734016"/>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31664"/>
        <c:crosses val="autoZero"/>
        <c:auto val="1"/>
        <c:lblAlgn val="ctr"/>
        <c:lblOffset val="100"/>
        <c:noMultiLvlLbl val="0"/>
      </c:catAx>
      <c:valAx>
        <c:axId val="3547316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34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0.107696012239825"/>
          <c:w val="0.90190827863822176"/>
          <c:h val="0.73213268948297483"/>
        </c:manualLayout>
      </c:layout>
      <c:barChart>
        <c:barDir val="col"/>
        <c:grouping val="clustered"/>
        <c:varyColors val="0"/>
        <c:ser>
          <c:idx val="0"/>
          <c:order val="0"/>
          <c:tx>
            <c:strRef>
              <c:f>TABLICA!$A$2</c:f>
              <c:strCache>
                <c:ptCount val="1"/>
                <c:pt idx="0">
                  <c:v>dochody</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TABLICA!$B$1:$K$1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TABLICA!$B$2:$K$2</c:f>
              <c:numCache>
                <c:formatCode>#,##0.00</c:formatCode>
                <c:ptCount val="10"/>
                <c:pt idx="0">
                  <c:v>49814317.350000001</c:v>
                </c:pt>
                <c:pt idx="1">
                  <c:v>55868013.5</c:v>
                </c:pt>
                <c:pt idx="2">
                  <c:v>63915887.530000001</c:v>
                </c:pt>
                <c:pt idx="3">
                  <c:v>72778254.739999995</c:v>
                </c:pt>
                <c:pt idx="4">
                  <c:v>76527283.120000005</c:v>
                </c:pt>
                <c:pt idx="5">
                  <c:v>86769126.480000004</c:v>
                </c:pt>
                <c:pt idx="6">
                  <c:v>105313591.26000001</c:v>
                </c:pt>
                <c:pt idx="7">
                  <c:v>101448920.29000001</c:v>
                </c:pt>
                <c:pt idx="8">
                  <c:v>98279616.870000005</c:v>
                </c:pt>
                <c:pt idx="9">
                  <c:v>96769813.379999995</c:v>
                </c:pt>
              </c:numCache>
            </c:numRef>
          </c:val>
          <c:extLst xmlns:c16r2="http://schemas.microsoft.com/office/drawing/2015/06/chart">
            <c:ext xmlns:c16="http://schemas.microsoft.com/office/drawing/2014/chart" uri="{C3380CC4-5D6E-409C-BE32-E72D297353CC}">
              <c16:uniqueId val="{00000000-2888-4534-90BD-62B635772ECA}"/>
            </c:ext>
          </c:extLst>
        </c:ser>
        <c:ser>
          <c:idx val="1"/>
          <c:order val="1"/>
          <c:tx>
            <c:strRef>
              <c:f>TABLICA!$A$3</c:f>
              <c:strCache>
                <c:ptCount val="1"/>
                <c:pt idx="0">
                  <c:v>wydatki</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TABLICA!$B$1:$K$1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TABLICA!$B$3:$K$3</c:f>
              <c:numCache>
                <c:formatCode>#,##0.00</c:formatCode>
                <c:ptCount val="10"/>
                <c:pt idx="0">
                  <c:v>49973632.289999999</c:v>
                </c:pt>
                <c:pt idx="1">
                  <c:v>56186403.539999999</c:v>
                </c:pt>
                <c:pt idx="2">
                  <c:v>61041630.939999998</c:v>
                </c:pt>
                <c:pt idx="3">
                  <c:v>75223305.439999998</c:v>
                </c:pt>
                <c:pt idx="4">
                  <c:v>84823141.269999996</c:v>
                </c:pt>
                <c:pt idx="5">
                  <c:v>89995463.730000004</c:v>
                </c:pt>
                <c:pt idx="6">
                  <c:v>103508820.29000001</c:v>
                </c:pt>
                <c:pt idx="7">
                  <c:v>102231845.59</c:v>
                </c:pt>
                <c:pt idx="8">
                  <c:v>105147045.51000001</c:v>
                </c:pt>
                <c:pt idx="9">
                  <c:v>98163108.099999994</c:v>
                </c:pt>
              </c:numCache>
            </c:numRef>
          </c:val>
          <c:extLst xmlns:c16r2="http://schemas.microsoft.com/office/drawing/2015/06/chart">
            <c:ext xmlns:c16="http://schemas.microsoft.com/office/drawing/2014/chart" uri="{C3380CC4-5D6E-409C-BE32-E72D297353CC}">
              <c16:uniqueId val="{00000001-2888-4534-90BD-62B635772ECA}"/>
            </c:ext>
          </c:extLst>
        </c:ser>
        <c:ser>
          <c:idx val="2"/>
          <c:order val="2"/>
          <c:tx>
            <c:strRef>
              <c:f>TABLICA!$A$4</c:f>
              <c:strCache>
                <c:ptCount val="1"/>
                <c:pt idx="0">
                  <c:v>wynik budżetu</c:v>
                </c:pt>
              </c:strCache>
            </c:strRef>
          </c:tx>
          <c:spPr>
            <a:solidFill>
              <a:sysClr val="windowText" lastClr="000000">
                <a:lumMod val="50000"/>
                <a:lumOff val="50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TABLICA!$B$1:$K$1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TABLICA!$B$4:$K$4</c:f>
              <c:numCache>
                <c:formatCode>#,##0.00</c:formatCode>
                <c:ptCount val="10"/>
                <c:pt idx="0">
                  <c:v>-159314.93999999762</c:v>
                </c:pt>
                <c:pt idx="1">
                  <c:v>-318390.03999999911</c:v>
                </c:pt>
                <c:pt idx="2">
                  <c:v>2874256.5900000036</c:v>
                </c:pt>
                <c:pt idx="3">
                  <c:v>-2445050.700000003</c:v>
                </c:pt>
                <c:pt idx="4">
                  <c:v>-8295858.1499999911</c:v>
                </c:pt>
                <c:pt idx="5">
                  <c:v>-3226337.25</c:v>
                </c:pt>
                <c:pt idx="6">
                  <c:v>1804770.9699999988</c:v>
                </c:pt>
                <c:pt idx="7">
                  <c:v>-782925.29999999702</c:v>
                </c:pt>
                <c:pt idx="8">
                  <c:v>-6867428.6400000006</c:v>
                </c:pt>
                <c:pt idx="9">
                  <c:v>-1393294.7199999988</c:v>
                </c:pt>
              </c:numCache>
            </c:numRef>
          </c:val>
          <c:extLst xmlns:c16r2="http://schemas.microsoft.com/office/drawing/2015/06/chart">
            <c:ext xmlns:c16="http://schemas.microsoft.com/office/drawing/2014/chart" uri="{C3380CC4-5D6E-409C-BE32-E72D297353CC}">
              <c16:uniqueId val="{00000002-2888-4534-90BD-62B635772ECA}"/>
            </c:ext>
          </c:extLst>
        </c:ser>
        <c:dLbls>
          <c:dLblPos val="outEnd"/>
          <c:showLegendKey val="0"/>
          <c:showVal val="1"/>
          <c:showCatName val="0"/>
          <c:showSerName val="0"/>
          <c:showPercent val="0"/>
          <c:showBubbleSize val="0"/>
        </c:dLbls>
        <c:gapWidth val="100"/>
        <c:overlap val="-24"/>
        <c:axId val="354734408"/>
        <c:axId val="354734800"/>
      </c:barChart>
      <c:catAx>
        <c:axId val="354734408"/>
        <c:scaling>
          <c:orientation val="minMax"/>
        </c:scaling>
        <c:delete val="0"/>
        <c:axPos val="b"/>
        <c:numFmt formatCode="General" sourceLinked="0"/>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34800"/>
        <c:crosses val="autoZero"/>
        <c:auto val="1"/>
        <c:lblAlgn val="ctr"/>
        <c:lblOffset val="100"/>
        <c:noMultiLvlLbl val="0"/>
      </c:catAx>
      <c:valAx>
        <c:axId val="354734800"/>
        <c:scaling>
          <c:orientation val="minMax"/>
          <c:min val="-40000000"/>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4734408"/>
        <c:crossesAt val="1"/>
        <c:crossBetween val="between"/>
        <c:dispUnits>
          <c:builtInUnit val="millions"/>
        </c:dispUnits>
      </c:valAx>
      <c:spPr>
        <a:noFill/>
        <a:ln>
          <a:noFill/>
        </a:ln>
        <a:effectLst/>
      </c:spPr>
    </c:plotArea>
    <c:legend>
      <c:legendPos val="b"/>
      <c:layout>
        <c:manualLayout>
          <c:xMode val="edge"/>
          <c:yMode val="edge"/>
          <c:x val="7.714868974711496E-2"/>
          <c:y val="0.92060636033763243"/>
          <c:w val="0.90037929286616947"/>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6.5353034117030348E-2"/>
          <c:w val="0.90190827863822176"/>
          <c:h val="0.76506611691181514"/>
        </c:manualLayout>
      </c:layout>
      <c:barChart>
        <c:barDir val="col"/>
        <c:grouping val="percentStacked"/>
        <c:varyColors val="0"/>
        <c:ser>
          <c:idx val="0"/>
          <c:order val="0"/>
          <c:tx>
            <c:strRef>
              <c:f>TABLICA!$B$14</c:f>
              <c:strCache>
                <c:ptCount val="1"/>
                <c:pt idx="0">
                  <c:v>dochody własne</c:v>
                </c:pt>
              </c:strCache>
            </c:strRef>
          </c:tx>
          <c:spPr>
            <a:solidFill>
              <a:srgbClr val="ED7D3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TABLICA!$C$13:$L$13</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TABLICA!$C$14:$L$14</c:f>
              <c:numCache>
                <c:formatCode>0.0%</c:formatCode>
                <c:ptCount val="10"/>
                <c:pt idx="0">
                  <c:v>0.34839784711011407</c:v>
                </c:pt>
                <c:pt idx="1">
                  <c:v>0.33910897350950203</c:v>
                </c:pt>
                <c:pt idx="2">
                  <c:v>0.32346142608590323</c:v>
                </c:pt>
                <c:pt idx="3">
                  <c:v>0.28282943900668756</c:v>
                </c:pt>
                <c:pt idx="4">
                  <c:v>0.28131234145922202</c:v>
                </c:pt>
                <c:pt idx="5">
                  <c:v>0.33294022945660057</c:v>
                </c:pt>
                <c:pt idx="6">
                  <c:v>0.3585209850719509</c:v>
                </c:pt>
                <c:pt idx="7">
                  <c:v>0.29205555569545633</c:v>
                </c:pt>
                <c:pt idx="8">
                  <c:v>0.30908967624672018</c:v>
                </c:pt>
                <c:pt idx="9">
                  <c:v>0.30702152543512534</c:v>
                </c:pt>
              </c:numCache>
            </c:numRef>
          </c:val>
          <c:extLst xmlns:c16r2="http://schemas.microsoft.com/office/drawing/2015/06/chart">
            <c:ext xmlns:c16="http://schemas.microsoft.com/office/drawing/2014/chart" uri="{C3380CC4-5D6E-409C-BE32-E72D297353CC}">
              <c16:uniqueId val="{00000000-6BF5-4D8F-93A5-B921C48A28F6}"/>
            </c:ext>
          </c:extLst>
        </c:ser>
        <c:ser>
          <c:idx val="1"/>
          <c:order val="1"/>
          <c:tx>
            <c:strRef>
              <c:f>TABLICA!$B$15</c:f>
              <c:strCache>
                <c:ptCount val="1"/>
                <c:pt idx="0">
                  <c:v>dotacje</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TABLICA!$C$13:$L$13</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TABLICA!$C$15:$L$15</c:f>
              <c:numCache>
                <c:formatCode>0.0%</c:formatCode>
                <c:ptCount val="10"/>
                <c:pt idx="0">
                  <c:v>0.27385693824026675</c:v>
                </c:pt>
                <c:pt idx="1">
                  <c:v>0.31611785856678076</c:v>
                </c:pt>
                <c:pt idx="2">
                  <c:v>0.36173931542682275</c:v>
                </c:pt>
                <c:pt idx="3">
                  <c:v>0.43020075009839398</c:v>
                </c:pt>
                <c:pt idx="4">
                  <c:v>0.42721835386124707</c:v>
                </c:pt>
                <c:pt idx="5">
                  <c:v>0.38518589452094715</c:v>
                </c:pt>
                <c:pt idx="6">
                  <c:v>0.39561023683202812</c:v>
                </c:pt>
                <c:pt idx="7">
                  <c:v>0.37818157542068803</c:v>
                </c:pt>
                <c:pt idx="8">
                  <c:v>0.39549464220454073</c:v>
                </c:pt>
                <c:pt idx="9">
                  <c:v>0.31798915162897051</c:v>
                </c:pt>
              </c:numCache>
            </c:numRef>
          </c:val>
          <c:extLst xmlns:c16r2="http://schemas.microsoft.com/office/drawing/2015/06/chart">
            <c:ext xmlns:c16="http://schemas.microsoft.com/office/drawing/2014/chart" uri="{C3380CC4-5D6E-409C-BE32-E72D297353CC}">
              <c16:uniqueId val="{00000001-6BF5-4D8F-93A5-B921C48A28F6}"/>
            </c:ext>
          </c:extLst>
        </c:ser>
        <c:ser>
          <c:idx val="2"/>
          <c:order val="2"/>
          <c:tx>
            <c:strRef>
              <c:f>TABLICA!$B$16</c:f>
              <c:strCache>
                <c:ptCount val="1"/>
                <c:pt idx="0">
                  <c:v>subwencje</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TABLICA!$C$13:$L$13</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TABLICA!$C$16:$L$16</c:f>
              <c:numCache>
                <c:formatCode>0.0%</c:formatCode>
                <c:ptCount val="10"/>
                <c:pt idx="0">
                  <c:v>0.37774521464961919</c:v>
                </c:pt>
                <c:pt idx="1">
                  <c:v>0.34477316792371721</c:v>
                </c:pt>
                <c:pt idx="2">
                  <c:v>0.31479925848727397</c:v>
                </c:pt>
                <c:pt idx="3">
                  <c:v>0.28696981089491835</c:v>
                </c:pt>
                <c:pt idx="4">
                  <c:v>0.29146930467953086</c:v>
                </c:pt>
                <c:pt idx="5">
                  <c:v>0.28187387602245223</c:v>
                </c:pt>
                <c:pt idx="6">
                  <c:v>0.24586877809602106</c:v>
                </c:pt>
                <c:pt idx="7">
                  <c:v>0.32976286888385575</c:v>
                </c:pt>
                <c:pt idx="8">
                  <c:v>0.29541568154873904</c:v>
                </c:pt>
                <c:pt idx="9">
                  <c:v>0.37498932293590415</c:v>
                </c:pt>
              </c:numCache>
            </c:numRef>
          </c:val>
          <c:extLst xmlns:c16r2="http://schemas.microsoft.com/office/drawing/2015/06/chart">
            <c:ext xmlns:c16="http://schemas.microsoft.com/office/drawing/2014/chart" uri="{C3380CC4-5D6E-409C-BE32-E72D297353CC}">
              <c16:uniqueId val="{00000002-6BF5-4D8F-93A5-B921C48A28F6}"/>
            </c:ext>
          </c:extLst>
        </c:ser>
        <c:dLbls>
          <c:showLegendKey val="0"/>
          <c:showVal val="1"/>
          <c:showCatName val="0"/>
          <c:showSerName val="0"/>
          <c:showPercent val="0"/>
          <c:showBubbleSize val="0"/>
        </c:dLbls>
        <c:gapWidth val="100"/>
        <c:overlap val="100"/>
        <c:axId val="405461376"/>
        <c:axId val="405462160"/>
      </c:barChart>
      <c:catAx>
        <c:axId val="405461376"/>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405462160"/>
        <c:crosses val="autoZero"/>
        <c:auto val="1"/>
        <c:lblAlgn val="ctr"/>
        <c:lblOffset val="100"/>
        <c:noMultiLvlLbl val="0"/>
      </c:catAx>
      <c:valAx>
        <c:axId val="40546216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405461376"/>
        <c:crosses val="autoZero"/>
        <c:crossBetween val="between"/>
      </c:valAx>
      <c:spPr>
        <a:noFill/>
        <a:ln>
          <a:noFill/>
        </a:ln>
        <a:effectLst/>
      </c:spPr>
    </c:plotArea>
    <c:legend>
      <c:legendPos val="b"/>
      <c:layout>
        <c:manualLayout>
          <c:xMode val="edge"/>
          <c:yMode val="edge"/>
          <c:x val="0.21604938271604937"/>
          <c:y val="0.93001591103158687"/>
          <c:w val="0.5255235456679026"/>
          <c:h val="6.998408896841316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9100620718992265"/>
          <c:h val="0.79696560512857562"/>
        </c:manualLayout>
      </c:layout>
      <c:barChart>
        <c:barDir val="col"/>
        <c:grouping val="clustered"/>
        <c:varyColors val="0"/>
        <c:ser>
          <c:idx val="0"/>
          <c:order val="0"/>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6A62-4529-B3D2-1A20A348BE4D}"/>
              </c:ext>
            </c:extLst>
          </c:dPt>
          <c:dLbls>
            <c:numFmt formatCode="#,##0.00" sourceLinked="0"/>
            <c:spPr>
              <a:noFill/>
              <a:ln>
                <a:noFill/>
              </a:ln>
              <a:effectLst/>
            </c:spPr>
            <c:txPr>
              <a:bodyPr wrap="square" lIns="38100" tIns="19050" rIns="38100" bIns="19050" anchor="ctr">
                <a:spAutoFit/>
              </a:bodyPr>
              <a:lstStyle/>
              <a:p>
                <a:pPr>
                  <a:defRPr sz="700" b="1">
                    <a:latin typeface="Century Gothic" panose="020B050202020202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TABLICA!$C$9:$L$9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TABLICA!$C$10:$L$10</c:f>
              <c:numCache>
                <c:formatCode>General</c:formatCode>
                <c:ptCount val="10"/>
                <c:pt idx="0" formatCode="_(* #,##0.00_);_(* \(#,##0.00\);_(* &quot;-&quot;??_);_(@_)">
                  <c:v>2802.81</c:v>
                </c:pt>
                <c:pt idx="1">
                  <c:v>3162.1</c:v>
                </c:pt>
                <c:pt idx="2">
                  <c:v>3637.16</c:v>
                </c:pt>
                <c:pt idx="3">
                  <c:v>4175.7</c:v>
                </c:pt>
                <c:pt idx="4">
                  <c:v>4424.05</c:v>
                </c:pt>
                <c:pt idx="5">
                  <c:v>5054.71</c:v>
                </c:pt>
                <c:pt idx="6">
                  <c:v>6284</c:v>
                </c:pt>
                <c:pt idx="7">
                  <c:v>6106.23</c:v>
                </c:pt>
                <c:pt idx="8">
                  <c:v>5982.08</c:v>
                </c:pt>
                <c:pt idx="9">
                  <c:v>5940.44</c:v>
                </c:pt>
              </c:numCache>
            </c:numRef>
          </c:val>
          <c:extLst xmlns:c16r2="http://schemas.microsoft.com/office/drawing/2015/06/chart">
            <c:ext xmlns:c16="http://schemas.microsoft.com/office/drawing/2014/chart" uri="{C3380CC4-5D6E-409C-BE32-E72D297353CC}">
              <c16:uniqueId val="{00000001-6A62-4529-B3D2-1A20A348BE4D}"/>
            </c:ext>
          </c:extLst>
        </c:ser>
        <c:dLbls>
          <c:showLegendKey val="0"/>
          <c:showVal val="0"/>
          <c:showCatName val="0"/>
          <c:showSerName val="0"/>
          <c:showPercent val="0"/>
          <c:showBubbleSize val="0"/>
        </c:dLbls>
        <c:gapWidth val="150"/>
        <c:axId val="405457456"/>
        <c:axId val="405464512"/>
      </c:barChart>
      <c:catAx>
        <c:axId val="405457456"/>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405464512"/>
        <c:crosses val="autoZero"/>
        <c:auto val="1"/>
        <c:lblAlgn val="ctr"/>
        <c:lblOffset val="100"/>
        <c:noMultiLvlLbl val="0"/>
      </c:catAx>
      <c:valAx>
        <c:axId val="405464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405457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6.5353034117030348E-2"/>
          <c:w val="0.90190827863822176"/>
          <c:h val="0.76506611691181514"/>
        </c:manualLayout>
      </c:layout>
      <c:barChart>
        <c:barDir val="col"/>
        <c:grouping val="percentStacked"/>
        <c:varyColors val="0"/>
        <c:ser>
          <c:idx val="0"/>
          <c:order val="0"/>
          <c:tx>
            <c:strRef>
              <c:f>TABLICA!$B$12</c:f>
              <c:strCache>
                <c:ptCount val="1"/>
                <c:pt idx="0">
                  <c:v>wydatki majątkowe</c:v>
                </c:pt>
              </c:strCache>
            </c:strRef>
          </c:tx>
          <c:spPr>
            <a:solidFill>
              <a:srgbClr val="ED7D3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TABLICA!$C$11:$L$11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TABLICA!$C$12:$L$12</c:f>
              <c:numCache>
                <c:formatCode>0.0%</c:formatCode>
                <c:ptCount val="10"/>
                <c:pt idx="0">
                  <c:v>0.14669433967614445</c:v>
                </c:pt>
                <c:pt idx="1">
                  <c:v>0.21655457732470484</c:v>
                </c:pt>
                <c:pt idx="2">
                  <c:v>9.0154644219930469E-2</c:v>
                </c:pt>
                <c:pt idx="3">
                  <c:v>0.18501595640596993</c:v>
                </c:pt>
                <c:pt idx="4">
                  <c:v>0.23273714359576678</c:v>
                </c:pt>
                <c:pt idx="5">
                  <c:v>0.22553200360068859</c:v>
                </c:pt>
                <c:pt idx="6">
                  <c:v>0.26708250777611098</c:v>
                </c:pt>
                <c:pt idx="7">
                  <c:v>0.22086857514591016</c:v>
                </c:pt>
                <c:pt idx="8">
                  <c:v>0.16699223240019689</c:v>
                </c:pt>
                <c:pt idx="9">
                  <c:v>0.1893354266153274</c:v>
                </c:pt>
              </c:numCache>
            </c:numRef>
          </c:val>
          <c:extLst xmlns:c16r2="http://schemas.microsoft.com/office/drawing/2015/06/chart">
            <c:ext xmlns:c16="http://schemas.microsoft.com/office/drawing/2014/chart" uri="{C3380CC4-5D6E-409C-BE32-E72D297353CC}">
              <c16:uniqueId val="{00000000-BBC1-4A8A-BB74-A5280ECBC321}"/>
            </c:ext>
          </c:extLst>
        </c:ser>
        <c:ser>
          <c:idx val="1"/>
          <c:order val="1"/>
          <c:tx>
            <c:strRef>
              <c:f>TABLICA!$B$13</c:f>
              <c:strCache>
                <c:ptCount val="1"/>
                <c:pt idx="0">
                  <c:v>wydatki bieżące</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TABLICA!$C$11:$L$11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TABLICA!$C$13:$L$13</c:f>
              <c:numCache>
                <c:formatCode>0.0%</c:formatCode>
                <c:ptCount val="10"/>
                <c:pt idx="0">
                  <c:v>0.85330566032385546</c:v>
                </c:pt>
                <c:pt idx="1">
                  <c:v>0.78344542267529516</c:v>
                </c:pt>
                <c:pt idx="2">
                  <c:v>0.90984535578006964</c:v>
                </c:pt>
                <c:pt idx="3">
                  <c:v>0.81498404359403009</c:v>
                </c:pt>
                <c:pt idx="4">
                  <c:v>0.7672628564042332</c:v>
                </c:pt>
                <c:pt idx="5">
                  <c:v>0.77446799639931141</c:v>
                </c:pt>
                <c:pt idx="6">
                  <c:v>0.73291749222388891</c:v>
                </c:pt>
                <c:pt idx="7">
                  <c:v>0.77913142485408982</c:v>
                </c:pt>
                <c:pt idx="8">
                  <c:v>0.83300776759980311</c:v>
                </c:pt>
                <c:pt idx="9">
                  <c:v>0.81066457338467268</c:v>
                </c:pt>
              </c:numCache>
            </c:numRef>
          </c:val>
          <c:extLst xmlns:c16r2="http://schemas.microsoft.com/office/drawing/2015/06/chart">
            <c:ext xmlns:c16="http://schemas.microsoft.com/office/drawing/2014/chart" uri="{C3380CC4-5D6E-409C-BE32-E72D297353CC}">
              <c16:uniqueId val="{00000001-BBC1-4A8A-BB74-A5280ECBC321}"/>
            </c:ext>
          </c:extLst>
        </c:ser>
        <c:dLbls>
          <c:showLegendKey val="0"/>
          <c:showVal val="1"/>
          <c:showCatName val="0"/>
          <c:showSerName val="0"/>
          <c:showPercent val="0"/>
          <c:showBubbleSize val="0"/>
        </c:dLbls>
        <c:gapWidth val="100"/>
        <c:overlap val="100"/>
        <c:axId val="405457848"/>
        <c:axId val="405459024"/>
      </c:barChart>
      <c:catAx>
        <c:axId val="405457848"/>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405459024"/>
        <c:crosses val="autoZero"/>
        <c:auto val="1"/>
        <c:lblAlgn val="ctr"/>
        <c:lblOffset val="100"/>
        <c:noMultiLvlLbl val="0"/>
      </c:catAx>
      <c:valAx>
        <c:axId val="40545902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405457848"/>
        <c:crosses val="autoZero"/>
        <c:crossBetween val="between"/>
      </c:valAx>
      <c:spPr>
        <a:noFill/>
        <a:ln>
          <a:noFill/>
        </a:ln>
        <a:effectLst/>
      </c:spPr>
    </c:plotArea>
    <c:legend>
      <c:legendPos val="b"/>
      <c:layout>
        <c:manualLayout>
          <c:xMode val="edge"/>
          <c:yMode val="edge"/>
          <c:x val="0.21604938271604937"/>
          <c:y val="0.93001591103158687"/>
          <c:w val="0.5255235456679026"/>
          <c:h val="6.998408896841316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9170242608567E-2"/>
          <c:y val="5.5443548387096774E-2"/>
          <c:w val="0.84832000166645838"/>
          <c:h val="0.72168926212852424"/>
        </c:manualLayout>
      </c:layout>
      <c:barChart>
        <c:barDir val="col"/>
        <c:grouping val="stacked"/>
        <c:varyColors val="0"/>
        <c:ser>
          <c:idx val="0"/>
          <c:order val="0"/>
          <c:tx>
            <c:strRef>
              <c:f>TABLICA!$B$17</c:f>
              <c:strCache>
                <c:ptCount val="1"/>
                <c:pt idx="0">
                  <c:v>zameldowania</c:v>
                </c:pt>
              </c:strCache>
            </c:strRef>
          </c:tx>
          <c:spPr>
            <a:solidFill>
              <a:srgbClr val="ED7D3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E713-45BA-9A68-0690878A8674}"/>
              </c:ext>
            </c:extLst>
          </c:dPt>
          <c:cat>
            <c:strRef>
              <c:f>TABLICA!$C$16:$L$16</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TABLICA!$C$17:$L$17</c:f>
              <c:numCache>
                <c:formatCode>General</c:formatCode>
                <c:ptCount val="10"/>
                <c:pt idx="0">
                  <c:v>146</c:v>
                </c:pt>
                <c:pt idx="2">
                  <c:v>146</c:v>
                </c:pt>
                <c:pt idx="3">
                  <c:v>137</c:v>
                </c:pt>
                <c:pt idx="4">
                  <c:v>144</c:v>
                </c:pt>
                <c:pt idx="5">
                  <c:v>157</c:v>
                </c:pt>
                <c:pt idx="6">
                  <c:v>115</c:v>
                </c:pt>
                <c:pt idx="7">
                  <c:v>160</c:v>
                </c:pt>
                <c:pt idx="8">
                  <c:v>142</c:v>
                </c:pt>
                <c:pt idx="9">
                  <c:v>134</c:v>
                </c:pt>
              </c:numCache>
            </c:numRef>
          </c:val>
          <c:extLst xmlns:c16r2="http://schemas.microsoft.com/office/drawing/2015/06/chart">
            <c:ext xmlns:c16="http://schemas.microsoft.com/office/drawing/2014/chart" uri="{C3380CC4-5D6E-409C-BE32-E72D297353CC}">
              <c16:uniqueId val="{00000001-E713-45BA-9A68-0690878A8674}"/>
            </c:ext>
          </c:extLst>
        </c:ser>
        <c:ser>
          <c:idx val="1"/>
          <c:order val="1"/>
          <c:tx>
            <c:strRef>
              <c:f>TABLICA!$B$18</c:f>
              <c:strCache>
                <c:ptCount val="1"/>
                <c:pt idx="0">
                  <c:v>wymeldowania</c:v>
                </c:pt>
              </c:strCache>
            </c:strRef>
          </c:tx>
          <c:spPr>
            <a:solidFill>
              <a:sysClr val="window" lastClr="FFFFFF">
                <a:lumMod val="65000"/>
              </a:sysClr>
            </a:solidFill>
            <a:ln>
              <a:noFill/>
            </a:ln>
            <a:effectLst/>
          </c:spPr>
          <c:invertIfNegative val="0"/>
          <c:cat>
            <c:strRef>
              <c:f>TABLICA!$C$16:$L$16</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TABLICA!$C$18:$L$18</c:f>
              <c:numCache>
                <c:formatCode>General</c:formatCode>
                <c:ptCount val="10"/>
                <c:pt idx="0">
                  <c:v>-220</c:v>
                </c:pt>
                <c:pt idx="2">
                  <c:v>-237</c:v>
                </c:pt>
                <c:pt idx="3">
                  <c:v>-201</c:v>
                </c:pt>
                <c:pt idx="4">
                  <c:v>-292</c:v>
                </c:pt>
                <c:pt idx="5">
                  <c:v>-260</c:v>
                </c:pt>
                <c:pt idx="6">
                  <c:v>-156</c:v>
                </c:pt>
                <c:pt idx="7">
                  <c:v>-207</c:v>
                </c:pt>
                <c:pt idx="8">
                  <c:v>-215</c:v>
                </c:pt>
                <c:pt idx="9">
                  <c:v>-171</c:v>
                </c:pt>
              </c:numCache>
            </c:numRef>
          </c:val>
          <c:extLst xmlns:c16r2="http://schemas.microsoft.com/office/drawing/2015/06/chart">
            <c:ext xmlns:c16="http://schemas.microsoft.com/office/drawing/2014/chart" uri="{C3380CC4-5D6E-409C-BE32-E72D297353CC}">
              <c16:uniqueId val="{00000002-E713-45BA-9A68-0690878A8674}"/>
            </c:ext>
          </c:extLst>
        </c:ser>
        <c:dLbls>
          <c:showLegendKey val="0"/>
          <c:showVal val="0"/>
          <c:showCatName val="0"/>
          <c:showSerName val="0"/>
          <c:showPercent val="0"/>
          <c:showBubbleSize val="0"/>
        </c:dLbls>
        <c:gapWidth val="150"/>
        <c:overlap val="100"/>
        <c:axId val="350192216"/>
        <c:axId val="350191432"/>
      </c:barChart>
      <c:lineChart>
        <c:grouping val="standard"/>
        <c:varyColors val="0"/>
        <c:ser>
          <c:idx val="2"/>
          <c:order val="2"/>
          <c:tx>
            <c:strRef>
              <c:f>TABLICA!$B$19</c:f>
              <c:strCache>
                <c:ptCount val="1"/>
                <c:pt idx="0">
                  <c:v>saldo migracji</c:v>
                </c:pt>
              </c:strCache>
            </c:strRef>
          </c:tx>
          <c:spPr>
            <a:ln w="28575" cap="rnd">
              <a:solidFill>
                <a:srgbClr val="ED7D31">
                  <a:lumMod val="50000"/>
                </a:srgbClr>
              </a:solidFill>
              <a:round/>
            </a:ln>
            <a:effectLst/>
          </c:spPr>
          <c:marker>
            <c:symbol val="circle"/>
            <c:size val="5"/>
            <c:spPr>
              <a:solidFill>
                <a:sysClr val="window" lastClr="FFFFFF">
                  <a:lumMod val="95000"/>
                </a:sysClr>
              </a:solidFill>
              <a:ln w="15875">
                <a:solidFill>
                  <a:srgbClr val="ED7D31">
                    <a:lumMod val="5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TABLICA!$C$16:$L$16</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TABLICA!$C$19:$L$19</c:f>
              <c:numCache>
                <c:formatCode>General</c:formatCode>
                <c:ptCount val="10"/>
                <c:pt idx="0">
                  <c:v>-74</c:v>
                </c:pt>
                <c:pt idx="2">
                  <c:v>-91</c:v>
                </c:pt>
                <c:pt idx="3">
                  <c:v>-64</c:v>
                </c:pt>
                <c:pt idx="4">
                  <c:v>-148</c:v>
                </c:pt>
                <c:pt idx="5">
                  <c:v>-103</c:v>
                </c:pt>
                <c:pt idx="6">
                  <c:v>-41</c:v>
                </c:pt>
                <c:pt idx="7">
                  <c:v>-47</c:v>
                </c:pt>
                <c:pt idx="8">
                  <c:v>-73</c:v>
                </c:pt>
                <c:pt idx="9">
                  <c:v>-37</c:v>
                </c:pt>
              </c:numCache>
            </c:numRef>
          </c:val>
          <c:smooth val="0"/>
          <c:extLst xmlns:c16r2="http://schemas.microsoft.com/office/drawing/2015/06/chart">
            <c:ext xmlns:c16="http://schemas.microsoft.com/office/drawing/2014/chart" uri="{C3380CC4-5D6E-409C-BE32-E72D297353CC}">
              <c16:uniqueId val="{00000003-E713-45BA-9A68-0690878A8674}"/>
            </c:ext>
          </c:extLst>
        </c:ser>
        <c:dLbls>
          <c:showLegendKey val="0"/>
          <c:showVal val="0"/>
          <c:showCatName val="0"/>
          <c:showSerName val="0"/>
          <c:showPercent val="0"/>
          <c:showBubbleSize val="0"/>
        </c:dLbls>
        <c:marker val="1"/>
        <c:smooth val="0"/>
        <c:axId val="350716992"/>
        <c:axId val="350714640"/>
      </c:lineChart>
      <c:catAx>
        <c:axId val="350192216"/>
        <c:scaling>
          <c:orientation val="minMax"/>
        </c:scaling>
        <c:delete val="0"/>
        <c:axPos val="b"/>
        <c:numFmt formatCode="General" sourceLinked="1"/>
        <c:majorTickMark val="none"/>
        <c:minorTickMark val="none"/>
        <c:tickLblPos val="low"/>
        <c:spPr>
          <a:noFill/>
          <a:ln w="1587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191432"/>
        <c:crosses val="autoZero"/>
        <c:auto val="1"/>
        <c:lblAlgn val="ctr"/>
        <c:lblOffset val="100"/>
        <c:noMultiLvlLbl val="0"/>
      </c:catAx>
      <c:valAx>
        <c:axId val="350191432"/>
        <c:scaling>
          <c:orientation val="minMax"/>
          <c:max val="300"/>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192216"/>
        <c:crosses val="autoZero"/>
        <c:crossBetween val="between"/>
      </c:valAx>
      <c:valAx>
        <c:axId val="350714640"/>
        <c:scaling>
          <c:orientation val="minMax"/>
          <c:max val="300"/>
          <c:min val="-3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716992"/>
        <c:crosses val="max"/>
        <c:crossBetween val="between"/>
      </c:valAx>
      <c:catAx>
        <c:axId val="350716992"/>
        <c:scaling>
          <c:orientation val="minMax"/>
        </c:scaling>
        <c:delete val="1"/>
        <c:axPos val="b"/>
        <c:numFmt formatCode="General" sourceLinked="1"/>
        <c:majorTickMark val="none"/>
        <c:minorTickMark val="none"/>
        <c:tickLblPos val="none"/>
        <c:crossAx val="350714640"/>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3.0146231721034877E-2"/>
          <c:w val="0.89701808107319914"/>
          <c:h val="0.8159102906773209"/>
        </c:manualLayout>
      </c:layout>
      <c:barChart>
        <c:barDir val="col"/>
        <c:grouping val="clustered"/>
        <c:varyColors val="0"/>
        <c:ser>
          <c:idx val="0"/>
          <c:order val="0"/>
          <c:spPr>
            <a:solidFill>
              <a:sysClr val="window" lastClr="FFFFFF">
                <a:lumMod val="75000"/>
              </a:sysClr>
            </a:solidFill>
            <a:ln>
              <a:noFill/>
            </a:ln>
            <a:effectLst/>
          </c:spPr>
          <c:invertIfNegative val="0"/>
          <c:dPt>
            <c:idx val="2"/>
            <c:invertIfNegative val="0"/>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1-227B-4A24-B5F3-332723D2F04B}"/>
              </c:ext>
            </c:extLst>
          </c:dPt>
          <c:dPt>
            <c:idx val="4"/>
            <c:invertIfNegative val="0"/>
            <c:bubble3D val="0"/>
            <c:spPr>
              <a:solidFill>
                <a:srgbClr val="ED7D31"/>
              </a:solidFill>
              <a:ln>
                <a:noFill/>
              </a:ln>
              <a:effectLst/>
            </c:spPr>
            <c:extLst xmlns:c16r2="http://schemas.microsoft.com/office/drawing/2015/06/chart">
              <c:ext xmlns:c16="http://schemas.microsoft.com/office/drawing/2014/chart" uri="{C3380CC4-5D6E-409C-BE32-E72D297353CC}">
                <c16:uniqueId val="{00000003-227B-4A24-B5F3-332723D2F04B}"/>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 (2)'!$B$5:$B$9</c:f>
              <c:strCache>
                <c:ptCount val="5"/>
                <c:pt idx="0">
                  <c:v>Województwo lubelskie</c:v>
                </c:pt>
                <c:pt idx="1">
                  <c:v>Powiat opolski</c:v>
                </c:pt>
                <c:pt idx="2">
                  <c:v>Opole Lubelskie</c:v>
                </c:pt>
                <c:pt idx="3">
                  <c:v>Opole Lubelskie - miasto</c:v>
                </c:pt>
                <c:pt idx="4">
                  <c:v>Opole Lubelskie - obszar wiejski</c:v>
                </c:pt>
              </c:strCache>
            </c:strRef>
          </c:cat>
          <c:val>
            <c:numRef>
              <c:f>'TABLICA (2)'!$C$5:$C$9</c:f>
              <c:numCache>
                <c:formatCode>#,##0.00</c:formatCode>
                <c:ptCount val="5"/>
                <c:pt idx="0">
                  <c:v>-2.21</c:v>
                </c:pt>
                <c:pt idx="1">
                  <c:v>-3.65</c:v>
                </c:pt>
                <c:pt idx="2">
                  <c:v>-2.27</c:v>
                </c:pt>
                <c:pt idx="3">
                  <c:v>-6.06</c:v>
                </c:pt>
                <c:pt idx="4">
                  <c:v>1.31</c:v>
                </c:pt>
              </c:numCache>
            </c:numRef>
          </c:val>
          <c:extLst xmlns:c16r2="http://schemas.microsoft.com/office/drawing/2015/06/chart">
            <c:ext xmlns:c16="http://schemas.microsoft.com/office/drawing/2014/chart" uri="{C3380CC4-5D6E-409C-BE32-E72D297353CC}">
              <c16:uniqueId val="{00000004-227B-4A24-B5F3-332723D2F04B}"/>
            </c:ext>
          </c:extLst>
        </c:ser>
        <c:dLbls>
          <c:dLblPos val="outEnd"/>
          <c:showLegendKey val="0"/>
          <c:showVal val="1"/>
          <c:showCatName val="0"/>
          <c:showSerName val="0"/>
          <c:showPercent val="0"/>
          <c:showBubbleSize val="0"/>
        </c:dLbls>
        <c:gapWidth val="100"/>
        <c:axId val="350710720"/>
        <c:axId val="350713856"/>
      </c:barChart>
      <c:catAx>
        <c:axId val="350710720"/>
        <c:scaling>
          <c:orientation val="minMax"/>
        </c:scaling>
        <c:delete val="0"/>
        <c:axPos val="b"/>
        <c:numFmt formatCode="General" sourceLinked="0"/>
        <c:majorTickMark val="none"/>
        <c:minorTickMark val="none"/>
        <c:tickLblPos val="low"/>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713856"/>
        <c:crosses val="autoZero"/>
        <c:auto val="1"/>
        <c:lblAlgn val="ctr"/>
        <c:lblOffset val="100"/>
        <c:noMultiLvlLbl val="0"/>
      </c:catAx>
      <c:valAx>
        <c:axId val="350713856"/>
        <c:scaling>
          <c:orientation val="minMax"/>
        </c:scaling>
        <c:delete val="0"/>
        <c:axPos val="l"/>
        <c:majorGridlines>
          <c:spPr>
            <a:ln w="9525" cap="flat" cmpd="sng" algn="ctr">
              <a:solidFill>
                <a:schemeClr val="tx2">
                  <a:lumMod val="15000"/>
                  <a:lumOff val="85000"/>
                </a:schemeClr>
              </a:solidFill>
              <a:round/>
            </a:ln>
            <a:effectLst/>
          </c:spPr>
        </c:majorGridlines>
        <c:numFmt formatCode="#\ ##0.0" sourceLinked="0"/>
        <c:majorTickMark val="none"/>
        <c:minorTickMark val="none"/>
        <c:tickLblPos val="low"/>
        <c:spPr>
          <a:noFill/>
          <a:ln>
            <a:noFill/>
          </a:ln>
          <a:effectLst/>
        </c:spPr>
        <c:txPr>
          <a:bodyPr rot="-60000000" spcFirstLastPara="1" vertOverflow="ellipsis" vert="horz" wrap="square" anchor="ctr" anchorCtr="1"/>
          <a:lstStyle/>
          <a:p>
            <a:pPr>
              <a:defRPr sz="6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710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6.5353034117030348E-2"/>
          <c:w val="0.90190827863822176"/>
          <c:h val="0.76506611691181514"/>
        </c:manualLayout>
      </c:layout>
      <c:barChart>
        <c:barDir val="col"/>
        <c:grouping val="stacked"/>
        <c:varyColors val="0"/>
        <c:ser>
          <c:idx val="0"/>
          <c:order val="0"/>
          <c:tx>
            <c:strRef>
              <c:f>TABLICA!$B$13</c:f>
              <c:strCache>
                <c:ptCount val="1"/>
                <c:pt idx="0">
                  <c:v>w wieku przedprodukcyjnym</c:v>
                </c:pt>
              </c:strCache>
            </c:strRef>
          </c:tx>
          <c:spPr>
            <a:solidFill>
              <a:srgbClr val="ED7D3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TABLICA!$C$12:$L$12</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TABLICA!$C$13:$L$13</c:f>
              <c:numCache>
                <c:formatCode>0.0%</c:formatCode>
                <c:ptCount val="10"/>
                <c:pt idx="0">
                  <c:v>0.17884756476099103</c:v>
                </c:pt>
                <c:pt idx="1">
                  <c:v>0.1769976748142687</c:v>
                </c:pt>
                <c:pt idx="2">
                  <c:v>0.17387330781972926</c:v>
                </c:pt>
                <c:pt idx="3">
                  <c:v>0.16947108482168494</c:v>
                </c:pt>
                <c:pt idx="4">
                  <c:v>0.16867819426714634</c:v>
                </c:pt>
                <c:pt idx="5">
                  <c:v>0.16752396539630582</c:v>
                </c:pt>
                <c:pt idx="6">
                  <c:v>0.18068535825545171</c:v>
                </c:pt>
                <c:pt idx="7">
                  <c:v>0.17923444397411864</c:v>
                </c:pt>
                <c:pt idx="8">
                  <c:v>0.17604211299504194</c:v>
                </c:pt>
                <c:pt idx="9">
                  <c:v>0.17104206560009882</c:v>
                </c:pt>
              </c:numCache>
            </c:numRef>
          </c:val>
          <c:extLst xmlns:c16r2="http://schemas.microsoft.com/office/drawing/2015/06/chart">
            <c:ext xmlns:c16="http://schemas.microsoft.com/office/drawing/2014/chart" uri="{C3380CC4-5D6E-409C-BE32-E72D297353CC}">
              <c16:uniqueId val="{00000000-EDE5-4796-BAE5-4DE53BB93CDC}"/>
            </c:ext>
          </c:extLst>
        </c:ser>
        <c:ser>
          <c:idx val="1"/>
          <c:order val="1"/>
          <c:tx>
            <c:strRef>
              <c:f>TABLICA!$B$14</c:f>
              <c:strCache>
                <c:ptCount val="1"/>
                <c:pt idx="0">
                  <c:v>w wieku produkcyjnym</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TABLICA!$C$12:$L$12</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TABLICA!$C$14:$L$14</c:f>
              <c:numCache>
                <c:formatCode>0.0%</c:formatCode>
                <c:ptCount val="10"/>
                <c:pt idx="0">
                  <c:v>0.6265026243015972</c:v>
                </c:pt>
                <c:pt idx="1">
                  <c:v>0.62564509726081774</c:v>
                </c:pt>
                <c:pt idx="2">
                  <c:v>0.62392185982749759</c:v>
                </c:pt>
                <c:pt idx="3">
                  <c:v>0.62125997817722389</c:v>
                </c:pt>
                <c:pt idx="4">
                  <c:v>0.61448299872345369</c:v>
                </c:pt>
                <c:pt idx="5">
                  <c:v>0.61024082300678051</c:v>
                </c:pt>
                <c:pt idx="6">
                  <c:v>0.58908459142103997</c:v>
                </c:pt>
                <c:pt idx="7">
                  <c:v>0.58704722742940074</c:v>
                </c:pt>
                <c:pt idx="8">
                  <c:v>0.58572565342474137</c:v>
                </c:pt>
                <c:pt idx="9">
                  <c:v>0.58496509975909572</c:v>
                </c:pt>
              </c:numCache>
            </c:numRef>
          </c:val>
          <c:extLst xmlns:c16r2="http://schemas.microsoft.com/office/drawing/2015/06/chart">
            <c:ext xmlns:c16="http://schemas.microsoft.com/office/drawing/2014/chart" uri="{C3380CC4-5D6E-409C-BE32-E72D297353CC}">
              <c16:uniqueId val="{00000001-EDE5-4796-BAE5-4DE53BB93CDC}"/>
            </c:ext>
          </c:extLst>
        </c:ser>
        <c:ser>
          <c:idx val="2"/>
          <c:order val="2"/>
          <c:tx>
            <c:strRef>
              <c:f>TABLICA!$B$15</c:f>
              <c:strCache>
                <c:ptCount val="1"/>
                <c:pt idx="0">
                  <c:v>w wieku poprodukcyjnym</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TABLICA!$C$12:$L$12</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TABLICA!$C$15:$L$15</c:f>
              <c:numCache>
                <c:formatCode>0.0%</c:formatCode>
                <c:ptCount val="10"/>
                <c:pt idx="0">
                  <c:v>0.19464981093741182</c:v>
                </c:pt>
                <c:pt idx="1">
                  <c:v>0.1973572279249135</c:v>
                </c:pt>
                <c:pt idx="2">
                  <c:v>0.20220483235277317</c:v>
                </c:pt>
                <c:pt idx="3">
                  <c:v>0.20926893700109114</c:v>
                </c:pt>
                <c:pt idx="4">
                  <c:v>0.21683880700940003</c:v>
                </c:pt>
                <c:pt idx="5">
                  <c:v>0.22223521159691373</c:v>
                </c:pt>
                <c:pt idx="6">
                  <c:v>0.23023005032350827</c:v>
                </c:pt>
                <c:pt idx="7">
                  <c:v>0.23371832859648062</c:v>
                </c:pt>
                <c:pt idx="8">
                  <c:v>0.2382322335802167</c:v>
                </c:pt>
                <c:pt idx="9">
                  <c:v>0.24399283464080548</c:v>
                </c:pt>
              </c:numCache>
            </c:numRef>
          </c:val>
          <c:extLst xmlns:c16r2="http://schemas.microsoft.com/office/drawing/2015/06/chart">
            <c:ext xmlns:c16="http://schemas.microsoft.com/office/drawing/2014/chart" uri="{C3380CC4-5D6E-409C-BE32-E72D297353CC}">
              <c16:uniqueId val="{00000002-EDE5-4796-BAE5-4DE53BB93CDC}"/>
            </c:ext>
          </c:extLst>
        </c:ser>
        <c:dLbls>
          <c:showLegendKey val="0"/>
          <c:showVal val="1"/>
          <c:showCatName val="0"/>
          <c:showSerName val="0"/>
          <c:showPercent val="0"/>
          <c:showBubbleSize val="0"/>
        </c:dLbls>
        <c:gapWidth val="100"/>
        <c:overlap val="100"/>
        <c:axId val="350717384"/>
        <c:axId val="350711112"/>
      </c:barChart>
      <c:catAx>
        <c:axId val="350717384"/>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711112"/>
        <c:crosses val="autoZero"/>
        <c:auto val="1"/>
        <c:lblAlgn val="ctr"/>
        <c:lblOffset val="100"/>
        <c:noMultiLvlLbl val="0"/>
      </c:catAx>
      <c:valAx>
        <c:axId val="350711112"/>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717384"/>
        <c:crosses val="autoZero"/>
        <c:crossBetween val="between"/>
      </c:valAx>
      <c:spPr>
        <a:noFill/>
        <a:ln>
          <a:noFill/>
        </a:ln>
        <a:effectLst/>
      </c:spPr>
    </c:plotArea>
    <c:legend>
      <c:legendPos val="b"/>
      <c:layout>
        <c:manualLayout>
          <c:xMode val="edge"/>
          <c:yMode val="edge"/>
          <c:x val="0"/>
          <c:y val="0.93001591103158687"/>
          <c:w val="0.98653796747628764"/>
          <c:h val="6.7073796438818473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5.1860420102354463E-2"/>
          <c:w val="0.90190827863822176"/>
          <c:h val="0.73382926784501601"/>
        </c:manualLayout>
      </c:layout>
      <c:barChart>
        <c:barDir val="col"/>
        <c:grouping val="stacked"/>
        <c:varyColors val="0"/>
        <c:ser>
          <c:idx val="0"/>
          <c:order val="0"/>
          <c:tx>
            <c:strRef>
              <c:f>TABLICA!$C$32</c:f>
              <c:strCache>
                <c:ptCount val="1"/>
                <c:pt idx="0">
                  <c:v>w wieku przedprodukcyjnym</c:v>
                </c:pt>
              </c:strCache>
            </c:strRef>
          </c:tx>
          <c:spPr>
            <a:solidFill>
              <a:srgbClr val="ED7D3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TABLICA!$B$33:$B$37</c:f>
              <c:strCache>
                <c:ptCount val="5"/>
                <c:pt idx="0">
                  <c:v>Województwo lubelskie</c:v>
                </c:pt>
                <c:pt idx="1">
                  <c:v>Powiat opolski</c:v>
                </c:pt>
                <c:pt idx="2">
                  <c:v>Opole Lubelskie</c:v>
                </c:pt>
                <c:pt idx="3">
                  <c:v>Opole Lubelskie - miasto</c:v>
                </c:pt>
                <c:pt idx="4">
                  <c:v>Opole Lubelskie - obszar wiejski</c:v>
                </c:pt>
              </c:strCache>
            </c:strRef>
          </c:cat>
          <c:val>
            <c:numRef>
              <c:f>TABLICA!$C$33:$C$37</c:f>
              <c:numCache>
                <c:formatCode>0.0%</c:formatCode>
                <c:ptCount val="5"/>
                <c:pt idx="0">
                  <c:v>0.17778699354117533</c:v>
                </c:pt>
                <c:pt idx="1">
                  <c:v>0.17094339622641511</c:v>
                </c:pt>
                <c:pt idx="2">
                  <c:v>0.17104206560009882</c:v>
                </c:pt>
                <c:pt idx="3">
                  <c:v>0.15933367243133265</c:v>
                </c:pt>
                <c:pt idx="4">
                  <c:v>0.18210210210210209</c:v>
                </c:pt>
              </c:numCache>
            </c:numRef>
          </c:val>
          <c:extLst xmlns:c16r2="http://schemas.microsoft.com/office/drawing/2015/06/chart">
            <c:ext xmlns:c16="http://schemas.microsoft.com/office/drawing/2014/chart" uri="{C3380CC4-5D6E-409C-BE32-E72D297353CC}">
              <c16:uniqueId val="{00000000-71CA-4295-BA22-5CE50492F92C}"/>
            </c:ext>
          </c:extLst>
        </c:ser>
        <c:ser>
          <c:idx val="1"/>
          <c:order val="1"/>
          <c:tx>
            <c:strRef>
              <c:f>TABLICA!$D$32</c:f>
              <c:strCache>
                <c:ptCount val="1"/>
                <c:pt idx="0">
                  <c:v>w wieku produkcyjnym</c:v>
                </c:pt>
              </c:strCache>
            </c:strRef>
          </c:tx>
          <c:spPr>
            <a:solidFill>
              <a:sysClr val="window" lastClr="FFFFFF">
                <a:lumMod val="6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TABLICA!$B$33:$B$37</c:f>
              <c:strCache>
                <c:ptCount val="5"/>
                <c:pt idx="0">
                  <c:v>Województwo lubelskie</c:v>
                </c:pt>
                <c:pt idx="1">
                  <c:v>Powiat opolski</c:v>
                </c:pt>
                <c:pt idx="2">
                  <c:v>Opole Lubelskie</c:v>
                </c:pt>
                <c:pt idx="3">
                  <c:v>Opole Lubelskie - miasto</c:v>
                </c:pt>
                <c:pt idx="4">
                  <c:v>Opole Lubelskie - obszar wiejski</c:v>
                </c:pt>
              </c:strCache>
            </c:strRef>
          </c:cat>
          <c:val>
            <c:numRef>
              <c:f>TABLICA!$D$33:$D$37</c:f>
              <c:numCache>
                <c:formatCode>0.0%</c:formatCode>
                <c:ptCount val="5"/>
                <c:pt idx="0">
                  <c:v>0.57826545078260227</c:v>
                </c:pt>
                <c:pt idx="1">
                  <c:v>0.57865229110512129</c:v>
                </c:pt>
                <c:pt idx="2">
                  <c:v>0.58496509975909572</c:v>
                </c:pt>
                <c:pt idx="3">
                  <c:v>0.56586978636826046</c:v>
                </c:pt>
                <c:pt idx="4">
                  <c:v>0.60300300300300302</c:v>
                </c:pt>
              </c:numCache>
            </c:numRef>
          </c:val>
          <c:extLst xmlns:c16r2="http://schemas.microsoft.com/office/drawing/2015/06/chart">
            <c:ext xmlns:c16="http://schemas.microsoft.com/office/drawing/2014/chart" uri="{C3380CC4-5D6E-409C-BE32-E72D297353CC}">
              <c16:uniqueId val="{00000001-71CA-4295-BA22-5CE50492F92C}"/>
            </c:ext>
          </c:extLst>
        </c:ser>
        <c:ser>
          <c:idx val="2"/>
          <c:order val="2"/>
          <c:tx>
            <c:strRef>
              <c:f>TABLICA!$E$32</c:f>
              <c:strCache>
                <c:ptCount val="1"/>
                <c:pt idx="0">
                  <c:v>w wieku poprodukcyjnym</c:v>
                </c:pt>
              </c:strCache>
            </c:strRef>
          </c:tx>
          <c:spPr>
            <a:solidFill>
              <a:sysClr val="window" lastClr="FFFFFF">
                <a:lumMod val="85000"/>
              </a:sys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TABLICA!$B$33:$B$37</c:f>
              <c:strCache>
                <c:ptCount val="5"/>
                <c:pt idx="0">
                  <c:v>Województwo lubelskie</c:v>
                </c:pt>
                <c:pt idx="1">
                  <c:v>Powiat opolski</c:v>
                </c:pt>
                <c:pt idx="2">
                  <c:v>Opole Lubelskie</c:v>
                </c:pt>
                <c:pt idx="3">
                  <c:v>Opole Lubelskie - miasto</c:v>
                </c:pt>
                <c:pt idx="4">
                  <c:v>Opole Lubelskie - obszar wiejski</c:v>
                </c:pt>
              </c:strCache>
            </c:strRef>
          </c:cat>
          <c:val>
            <c:numRef>
              <c:f>TABLICA!$E$33:$E$37</c:f>
              <c:numCache>
                <c:formatCode>0.0%</c:formatCode>
                <c:ptCount val="5"/>
                <c:pt idx="0">
                  <c:v>0.24394755567622239</c:v>
                </c:pt>
                <c:pt idx="1">
                  <c:v>0.25040431266846364</c:v>
                </c:pt>
                <c:pt idx="2">
                  <c:v>0.24399283464080548</c:v>
                </c:pt>
                <c:pt idx="3">
                  <c:v>0.27479654120040692</c:v>
                </c:pt>
                <c:pt idx="4">
                  <c:v>0.21489489489489488</c:v>
                </c:pt>
              </c:numCache>
            </c:numRef>
          </c:val>
          <c:extLst xmlns:c16r2="http://schemas.microsoft.com/office/drawing/2015/06/chart">
            <c:ext xmlns:c16="http://schemas.microsoft.com/office/drawing/2014/chart" uri="{C3380CC4-5D6E-409C-BE32-E72D297353CC}">
              <c16:uniqueId val="{00000002-71CA-4295-BA22-5CE50492F92C}"/>
            </c:ext>
          </c:extLst>
        </c:ser>
        <c:dLbls>
          <c:showLegendKey val="0"/>
          <c:showVal val="1"/>
          <c:showCatName val="0"/>
          <c:showSerName val="0"/>
          <c:showPercent val="0"/>
          <c:showBubbleSize val="0"/>
        </c:dLbls>
        <c:gapWidth val="100"/>
        <c:overlap val="100"/>
        <c:axId val="350713464"/>
        <c:axId val="350962608"/>
      </c:barChart>
      <c:catAx>
        <c:axId val="350713464"/>
        <c:scaling>
          <c:orientation val="minMax"/>
        </c:scaling>
        <c:delete val="0"/>
        <c:axPos val="b"/>
        <c:numFmt formatCode="General" sourceLinked="0"/>
        <c:majorTickMark val="none"/>
        <c:minorTickMark val="none"/>
        <c:tickLblPos val="nextTo"/>
        <c:spPr>
          <a:noFill/>
          <a:ln w="1587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962608"/>
        <c:crosses val="autoZero"/>
        <c:auto val="1"/>
        <c:lblAlgn val="ctr"/>
        <c:lblOffset val="100"/>
        <c:noMultiLvlLbl val="0"/>
      </c:catAx>
      <c:valAx>
        <c:axId val="350962608"/>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713464"/>
        <c:crosses val="autoZero"/>
        <c:crossBetween val="between"/>
      </c:valAx>
      <c:spPr>
        <a:noFill/>
        <a:ln>
          <a:noFill/>
        </a:ln>
        <a:effectLst/>
      </c:spPr>
    </c:plotArea>
    <c:legend>
      <c:legendPos val="b"/>
      <c:layout>
        <c:manualLayout>
          <c:xMode val="edge"/>
          <c:yMode val="edge"/>
          <c:x val="0.11021747281589801"/>
          <c:y val="0.92062000991134862"/>
          <c:w val="0.82545862322765207"/>
          <c:h val="7.26161699794582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716996570937225E-2"/>
          <c:y val="6.5353034117030348E-2"/>
          <c:w val="0.90190827863822176"/>
          <c:h val="0.71801836344204328"/>
        </c:manualLayout>
      </c:layout>
      <c:lineChart>
        <c:grouping val="standard"/>
        <c:varyColors val="0"/>
        <c:ser>
          <c:idx val="0"/>
          <c:order val="0"/>
          <c:tx>
            <c:strRef>
              <c:f>TABLICA!$B$12</c:f>
              <c:strCache>
                <c:ptCount val="1"/>
                <c:pt idx="0">
                  <c:v>ludność w wieku poprodukcyjnym na 100 osób w wieku produkcyjnym</c:v>
                </c:pt>
              </c:strCache>
            </c:strRef>
          </c:tx>
          <c:spPr>
            <a:ln w="31750" cap="rnd">
              <a:solidFill>
                <a:schemeClr val="accent2">
                  <a:shade val="76000"/>
                </a:schemeClr>
              </a:solidFill>
              <a:round/>
            </a:ln>
            <a:effectLst/>
          </c:spPr>
          <c:marker>
            <c:symbol val="circle"/>
            <c:size val="6"/>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Century Gothic" panose="020B05020202020202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TABLICA!$C$11:$L$11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TABLICA!$C$12:$L$12</c:f>
              <c:numCache>
                <c:formatCode>0.0</c:formatCode>
                <c:ptCount val="10"/>
                <c:pt idx="0">
                  <c:v>31.1</c:v>
                </c:pt>
                <c:pt idx="1">
                  <c:v>31.5</c:v>
                </c:pt>
                <c:pt idx="2">
                  <c:v>32.4</c:v>
                </c:pt>
                <c:pt idx="3">
                  <c:v>33.700000000000003</c:v>
                </c:pt>
                <c:pt idx="4">
                  <c:v>35.299999999999997</c:v>
                </c:pt>
                <c:pt idx="5">
                  <c:v>36.4</c:v>
                </c:pt>
                <c:pt idx="6">
                  <c:v>39.1</c:v>
                </c:pt>
                <c:pt idx="7">
                  <c:v>39.799999999999997</c:v>
                </c:pt>
                <c:pt idx="8">
                  <c:v>40.700000000000003</c:v>
                </c:pt>
                <c:pt idx="9">
                  <c:v>41.7</c:v>
                </c:pt>
              </c:numCache>
            </c:numRef>
          </c:val>
          <c:smooth val="0"/>
          <c:extLst xmlns:c16r2="http://schemas.microsoft.com/office/drawing/2015/06/chart">
            <c:ext xmlns:c16="http://schemas.microsoft.com/office/drawing/2014/chart" uri="{C3380CC4-5D6E-409C-BE32-E72D297353CC}">
              <c16:uniqueId val="{00000000-895B-4D7C-8F25-35EDAE0FF495}"/>
            </c:ext>
          </c:extLst>
        </c:ser>
        <c:ser>
          <c:idx val="1"/>
          <c:order val="1"/>
          <c:tx>
            <c:strRef>
              <c:f>TABLICA!$B$13</c:f>
              <c:strCache>
                <c:ptCount val="1"/>
                <c:pt idx="0">
                  <c:v>odsetek osób w wieku 65 lat i więcej w populacji ogółem</c:v>
                </c:pt>
              </c:strCache>
            </c:strRef>
          </c:tx>
          <c:spPr>
            <a:ln w="31750" cap="rnd">
              <a:solidFill>
                <a:schemeClr val="accent2">
                  <a:tint val="77000"/>
                </a:schemeClr>
              </a:solidFill>
              <a:round/>
            </a:ln>
            <a:effectLst/>
          </c:spPr>
          <c:marker>
            <c:symbol val="circle"/>
            <c:size val="6"/>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TABLICA!$C$11:$L$11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TABLICA!$C$13:$L$13</c:f>
              <c:numCache>
                <c:formatCode>0.0</c:formatCode>
                <c:ptCount val="10"/>
                <c:pt idx="0">
                  <c:v>15.9</c:v>
                </c:pt>
                <c:pt idx="1">
                  <c:v>16.100000000000001</c:v>
                </c:pt>
                <c:pt idx="2">
                  <c:v>16.7</c:v>
                </c:pt>
                <c:pt idx="3">
                  <c:v>17.399999999999999</c:v>
                </c:pt>
                <c:pt idx="4">
                  <c:v>18.100000000000001</c:v>
                </c:pt>
                <c:pt idx="5">
                  <c:v>18.600000000000001</c:v>
                </c:pt>
                <c:pt idx="6">
                  <c:v>19.399999999999999</c:v>
                </c:pt>
                <c:pt idx="7">
                  <c:v>19.8</c:v>
                </c:pt>
                <c:pt idx="8">
                  <c:v>20.3</c:v>
                </c:pt>
                <c:pt idx="9">
                  <c:v>21</c:v>
                </c:pt>
              </c:numCache>
            </c:numRef>
          </c:val>
          <c:smooth val="0"/>
          <c:extLst xmlns:c16r2="http://schemas.microsoft.com/office/drawing/2015/06/chart">
            <c:ext xmlns:c16="http://schemas.microsoft.com/office/drawing/2014/chart" uri="{C3380CC4-5D6E-409C-BE32-E72D297353CC}">
              <c16:uniqueId val="{00000001-895B-4D7C-8F25-35EDAE0FF495}"/>
            </c:ext>
          </c:extLst>
        </c:ser>
        <c:dLbls>
          <c:showLegendKey val="0"/>
          <c:showVal val="1"/>
          <c:showCatName val="0"/>
          <c:showSerName val="0"/>
          <c:showPercent val="0"/>
          <c:showBubbleSize val="0"/>
        </c:dLbls>
        <c:marker val="1"/>
        <c:smooth val="0"/>
        <c:axId val="350961432"/>
        <c:axId val="350960256"/>
      </c:lineChart>
      <c:catAx>
        <c:axId val="350961432"/>
        <c:scaling>
          <c:orientation val="minMax"/>
        </c:scaling>
        <c:delete val="0"/>
        <c:axPos val="b"/>
        <c:numFmt formatCode="General" sourceLinked="0"/>
        <c:majorTickMark val="none"/>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960256"/>
        <c:crosses val="autoZero"/>
        <c:auto val="1"/>
        <c:lblAlgn val="ctr"/>
        <c:lblOffset val="100"/>
        <c:noMultiLvlLbl val="0"/>
      </c:catAx>
      <c:valAx>
        <c:axId val="35096025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85000"/>
                    <a:lumOff val="15000"/>
                  </a:schemeClr>
                </a:solidFill>
                <a:latin typeface="Century Gothic" panose="020B0502020202020204" pitchFamily="34" charset="0"/>
                <a:ea typeface="+mn-ea"/>
                <a:cs typeface="+mn-cs"/>
              </a:defRPr>
            </a:pPr>
            <a:endParaRPr lang="pl-PL"/>
          </a:p>
        </c:txPr>
        <c:crossAx val="350961432"/>
        <c:crosses val="autoZero"/>
        <c:crossBetween val="between"/>
      </c:valAx>
      <c:spPr>
        <a:noFill/>
        <a:ln>
          <a:noFill/>
        </a:ln>
        <a:effectLst/>
      </c:spPr>
    </c:plotArea>
    <c:legend>
      <c:legendPos val="b"/>
      <c:layout>
        <c:manualLayout>
          <c:xMode val="edge"/>
          <c:yMode val="edge"/>
          <c:x val="0.17636684303350969"/>
          <c:y val="0.8782633822148378"/>
          <c:w val="0.7387047105222958"/>
          <c:h val="0.1217366177851621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withinLinear" id="15">
  <a:schemeClr val="accent2"/>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withinLinear" id="15">
  <a:schemeClr val="accent2"/>
</cs:colorStyle>
</file>

<file path=word/charts/colors21.xml><?xml version="1.0" encoding="utf-8"?>
<cs:colorStyle xmlns:cs="http://schemas.microsoft.com/office/drawing/2012/chartStyle" xmlns:a="http://schemas.openxmlformats.org/drawingml/2006/main" meth="withinLinear" id="15">
  <a:schemeClr val="accent2"/>
</cs:colorStyle>
</file>

<file path=word/charts/colors22.xml><?xml version="1.0" encoding="utf-8"?>
<cs:colorStyle xmlns:cs="http://schemas.microsoft.com/office/drawing/2012/chartStyle" xmlns:a="http://schemas.openxmlformats.org/drawingml/2006/main" meth="withinLinear" id="15">
  <a:schemeClr val="accent2"/>
</cs:colorStyle>
</file>

<file path=word/charts/colors23.xml><?xml version="1.0" encoding="utf-8"?>
<cs:colorStyle xmlns:cs="http://schemas.microsoft.com/office/drawing/2012/chartStyle" xmlns:a="http://schemas.openxmlformats.org/drawingml/2006/main" meth="withinLinear" id="15">
  <a:schemeClr val="accent2"/>
</cs:colorStyle>
</file>

<file path=word/charts/colors24.xml><?xml version="1.0" encoding="utf-8"?>
<cs:colorStyle xmlns:cs="http://schemas.microsoft.com/office/drawing/2012/chartStyle" xmlns:a="http://schemas.openxmlformats.org/drawingml/2006/main" meth="withinLinear" id="15">
  <a:schemeClr val="accent2"/>
</cs:colorStyle>
</file>

<file path=word/charts/colors25.xml><?xml version="1.0" encoding="utf-8"?>
<cs:colorStyle xmlns:cs="http://schemas.microsoft.com/office/drawing/2012/chartStyle" xmlns:a="http://schemas.openxmlformats.org/drawingml/2006/main" meth="withinLinear" id="15">
  <a:schemeClr val="accent2"/>
</cs:colorStyle>
</file>

<file path=word/charts/colors26.xml><?xml version="1.0" encoding="utf-8"?>
<cs:colorStyle xmlns:cs="http://schemas.microsoft.com/office/drawing/2012/chartStyle" xmlns:a="http://schemas.openxmlformats.org/drawingml/2006/main" meth="withinLinear" id="15">
  <a:schemeClr val="accent2"/>
</cs:colorStyle>
</file>

<file path=word/charts/colors27.xml><?xml version="1.0" encoding="utf-8"?>
<cs:colorStyle xmlns:cs="http://schemas.microsoft.com/office/drawing/2012/chartStyle" xmlns:a="http://schemas.openxmlformats.org/drawingml/2006/main" meth="withinLinear" id="15">
  <a:schemeClr val="accent2"/>
</cs:colorStyle>
</file>

<file path=word/charts/colors28.xml><?xml version="1.0" encoding="utf-8"?>
<cs:colorStyle xmlns:cs="http://schemas.microsoft.com/office/drawing/2012/chartStyle" xmlns:a="http://schemas.openxmlformats.org/drawingml/2006/main" meth="withinLinear" id="15">
  <a:schemeClr val="accent2"/>
</cs:colorStyle>
</file>

<file path=word/charts/colors29.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30.xml><?xml version="1.0" encoding="utf-8"?>
<cs:colorStyle xmlns:cs="http://schemas.microsoft.com/office/drawing/2012/chartStyle" xmlns:a="http://schemas.openxmlformats.org/drawingml/2006/main" meth="withinLinear" id="15">
  <a:schemeClr val="accent2"/>
</cs:colorStyle>
</file>

<file path=word/charts/colors31.xml><?xml version="1.0" encoding="utf-8"?>
<cs:colorStyle xmlns:cs="http://schemas.microsoft.com/office/drawing/2012/chartStyle" xmlns:a="http://schemas.openxmlformats.org/drawingml/2006/main" meth="withinLinear" id="15">
  <a:schemeClr val="accent2"/>
</cs:colorStyle>
</file>

<file path=word/charts/colors32.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Reversed" id="22">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1.png"/><Relationship Id="rId7" Type="http://schemas.openxmlformats.org/officeDocument/2006/relationships/image" Target="../media/image13.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2.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1.png"/><Relationship Id="rId7" Type="http://schemas.openxmlformats.org/officeDocument/2006/relationships/image" Target="../media/image13.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2.png"/><Relationship Id="rId10" Type="http://schemas.openxmlformats.org/officeDocument/2006/relationships/image" Target="../media/image19.svg"/><Relationship Id="rId4" Type="http://schemas.openxmlformats.org/officeDocument/2006/relationships/image" Target="../media/image13.svg"/><Relationship Id="rId9"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B2B175-ADA6-41B2-B2F2-0E944AEBAC9F}" type="doc">
      <dgm:prSet loTypeId="urn:microsoft.com/office/officeart/2005/8/layout/hProcess10" loCatId="process" qsTypeId="urn:microsoft.com/office/officeart/2005/8/quickstyle/simple1" qsCatId="simple" csTypeId="urn:microsoft.com/office/officeart/2005/8/colors/colorful3" csCatId="colorful" phldr="1"/>
      <dgm:spPr/>
      <dgm:t>
        <a:bodyPr/>
        <a:lstStyle/>
        <a:p>
          <a:endParaRPr lang="pl-PL"/>
        </a:p>
      </dgm:t>
    </dgm:pt>
    <dgm:pt modelId="{64B6BC9A-0022-41CD-B459-3ADCCF4A9D7D}">
      <dgm:prSet phldrT="[Tekst]" custT="1"/>
      <dgm:spPr/>
      <dgm:t>
        <a:bodyPr/>
        <a:lstStyle/>
        <a:p>
          <a:r>
            <a:rPr lang="pl-PL" sz="1000">
              <a:latin typeface="Century Gothic" panose="020B0502020202020204" pitchFamily="34" charset="0"/>
            </a:rPr>
            <a:t>Cele strategiczne</a:t>
          </a:r>
        </a:p>
      </dgm:t>
    </dgm:pt>
    <dgm:pt modelId="{1D567474-909F-4709-89D6-6BD791732253}" type="parTrans" cxnId="{8B36BE4D-9FD1-45BA-A7C7-796448CCFE6B}">
      <dgm:prSet/>
      <dgm:spPr/>
      <dgm:t>
        <a:bodyPr/>
        <a:lstStyle/>
        <a:p>
          <a:endParaRPr lang="pl-PL"/>
        </a:p>
      </dgm:t>
    </dgm:pt>
    <dgm:pt modelId="{CF5658E7-21A3-4548-8449-547010ED709C}" type="sibTrans" cxnId="{8B36BE4D-9FD1-45BA-A7C7-796448CCFE6B}">
      <dgm:prSet/>
      <dgm:spPr>
        <a:effectLst>
          <a:outerShdw blurRad="50800" dist="38100" dir="10800000" algn="r" rotWithShape="0">
            <a:prstClr val="black">
              <a:alpha val="40000"/>
            </a:prstClr>
          </a:outerShdw>
        </a:effectLst>
      </dgm:spPr>
      <dgm:t>
        <a:bodyPr/>
        <a:lstStyle/>
        <a:p>
          <a:endParaRPr lang="pl-PL"/>
        </a:p>
      </dgm:t>
    </dgm:pt>
    <dgm:pt modelId="{A027A12A-A13F-4D26-A86C-609F3F3F0E5A}">
      <dgm:prSet phldrT="[Tekst]" custT="1"/>
      <dgm:spPr/>
      <dgm:t>
        <a:bodyPr/>
        <a:lstStyle/>
        <a:p>
          <a:pPr>
            <a:spcAft>
              <a:spcPts val="0"/>
            </a:spcAft>
          </a:pPr>
          <a:r>
            <a:rPr lang="pl-PL" sz="900">
              <a:latin typeface="Century Gothic" panose="020B0502020202020204" pitchFamily="34" charset="0"/>
            </a:rPr>
            <a:t>Priorytety/</a:t>
          </a:r>
        </a:p>
        <a:p>
          <a:pPr>
            <a:spcAft>
              <a:spcPct val="35000"/>
            </a:spcAft>
          </a:pPr>
          <a:r>
            <a:rPr lang="pl-PL" sz="900">
              <a:latin typeface="Century Gothic" panose="020B0502020202020204" pitchFamily="34" charset="0"/>
            </a:rPr>
            <a:t>kierunki działań</a:t>
          </a:r>
        </a:p>
      </dgm:t>
    </dgm:pt>
    <dgm:pt modelId="{2BCD3B4F-46F1-4991-86ED-FE02CCC3E906}" type="parTrans" cxnId="{894C4DAA-3155-46B3-9AE3-106E29177A69}">
      <dgm:prSet/>
      <dgm:spPr/>
      <dgm:t>
        <a:bodyPr/>
        <a:lstStyle/>
        <a:p>
          <a:endParaRPr lang="pl-PL"/>
        </a:p>
      </dgm:t>
    </dgm:pt>
    <dgm:pt modelId="{5B2A37E0-5BD6-414C-9A38-500C1FE5B6DE}" type="sibTrans" cxnId="{894C4DAA-3155-46B3-9AE3-106E29177A69}">
      <dgm:prSet/>
      <dgm:spPr>
        <a:noFill/>
      </dgm:spPr>
      <dgm:t>
        <a:bodyPr/>
        <a:lstStyle/>
        <a:p>
          <a:endParaRPr lang="pl-PL"/>
        </a:p>
      </dgm:t>
    </dgm:pt>
    <dgm:pt modelId="{4B93F1D4-21B8-4B4C-A997-5F0CFD546D2F}">
      <dgm:prSet phldrT="[Tekst]"/>
      <dgm:spPr/>
      <dgm:t>
        <a:bodyPr/>
        <a:lstStyle/>
        <a:p>
          <a:r>
            <a:rPr lang="pl-PL">
              <a:latin typeface="Century Gothic" panose="020B0502020202020204" pitchFamily="34" charset="0"/>
            </a:rPr>
            <a:t>Rezultaty</a:t>
          </a:r>
        </a:p>
      </dgm:t>
    </dgm:pt>
    <dgm:pt modelId="{761869D2-7C11-4B1B-81E4-0A6A615B95A7}" type="parTrans" cxnId="{D21F7854-02F0-45B7-8AE8-0FAF9413BDAD}">
      <dgm:prSet/>
      <dgm:spPr/>
      <dgm:t>
        <a:bodyPr/>
        <a:lstStyle/>
        <a:p>
          <a:endParaRPr lang="pl-PL"/>
        </a:p>
      </dgm:t>
    </dgm:pt>
    <dgm:pt modelId="{33A268C5-1F7C-44A2-B9B3-0E01D531F6B7}" type="sibTrans" cxnId="{D21F7854-02F0-45B7-8AE8-0FAF9413BDAD}">
      <dgm:prSet/>
      <dgm:spPr>
        <a:noFill/>
      </dgm:spPr>
      <dgm:t>
        <a:bodyPr/>
        <a:lstStyle/>
        <a:p>
          <a:endParaRPr lang="pl-PL"/>
        </a:p>
      </dgm:t>
    </dgm:pt>
    <dgm:pt modelId="{155967BA-7AF3-44D8-AFF5-7CD1983D3846}">
      <dgm:prSet/>
      <dgm:spPr/>
      <dgm:t>
        <a:bodyPr/>
        <a:lstStyle/>
        <a:p>
          <a:r>
            <a:rPr lang="pl-PL">
              <a:latin typeface="Century Gothic" panose="020B0502020202020204" pitchFamily="34" charset="0"/>
            </a:rPr>
            <a:t>Wskaźniki</a:t>
          </a:r>
        </a:p>
      </dgm:t>
    </dgm:pt>
    <dgm:pt modelId="{0B71E936-3944-4276-8775-92FF18448243}" type="parTrans" cxnId="{39CDCEEF-6CE5-494F-B3A2-EFA52EA4EF38}">
      <dgm:prSet/>
      <dgm:spPr/>
      <dgm:t>
        <a:bodyPr/>
        <a:lstStyle/>
        <a:p>
          <a:endParaRPr lang="pl-PL"/>
        </a:p>
      </dgm:t>
    </dgm:pt>
    <dgm:pt modelId="{1239B8D4-436B-4679-939A-33E1B249D5DA}" type="sibTrans" cxnId="{39CDCEEF-6CE5-494F-B3A2-EFA52EA4EF38}">
      <dgm:prSet/>
      <dgm:spPr>
        <a:effectLst>
          <a:outerShdw blurRad="50800" dist="38100" dir="8100000" algn="tr" rotWithShape="0">
            <a:prstClr val="black">
              <a:alpha val="40000"/>
            </a:prstClr>
          </a:outerShdw>
        </a:effectLst>
      </dgm:spPr>
      <dgm:t>
        <a:bodyPr/>
        <a:lstStyle/>
        <a:p>
          <a:endParaRPr lang="pl-PL"/>
        </a:p>
      </dgm:t>
    </dgm:pt>
    <dgm:pt modelId="{18A309D1-D896-414C-92D6-49C321AE5EAD}">
      <dgm:prSet custT="1"/>
      <dgm:spPr/>
      <dgm:t>
        <a:bodyPr/>
        <a:lstStyle/>
        <a:p>
          <a:r>
            <a:rPr lang="pl-PL" sz="1000">
              <a:latin typeface="Century Gothic" panose="020B0502020202020204" pitchFamily="34" charset="0"/>
            </a:rPr>
            <a:t>Propozycje projektów</a:t>
          </a:r>
        </a:p>
      </dgm:t>
    </dgm:pt>
    <dgm:pt modelId="{C2016AC1-8650-4813-8EA1-0A3F4216F19D}" type="parTrans" cxnId="{98D339A9-619E-4D2B-AB3E-FEA98534B93B}">
      <dgm:prSet/>
      <dgm:spPr/>
      <dgm:t>
        <a:bodyPr/>
        <a:lstStyle/>
        <a:p>
          <a:endParaRPr lang="pl-PL"/>
        </a:p>
      </dgm:t>
    </dgm:pt>
    <dgm:pt modelId="{EE24E8DF-2832-4118-9514-094EA8FDF3B1}" type="sibTrans" cxnId="{98D339A9-619E-4D2B-AB3E-FEA98534B93B}">
      <dgm:prSet/>
      <dgm:spPr/>
      <dgm:t>
        <a:bodyPr/>
        <a:lstStyle/>
        <a:p>
          <a:endParaRPr lang="pl-PL"/>
        </a:p>
      </dgm:t>
    </dgm:pt>
    <dgm:pt modelId="{30CC3AB3-BA1A-409D-A768-3F19AC74A323}" type="pres">
      <dgm:prSet presAssocID="{7BB2B175-ADA6-41B2-B2F2-0E944AEBAC9F}" presName="Name0" presStyleCnt="0">
        <dgm:presLayoutVars>
          <dgm:dir/>
          <dgm:resizeHandles val="exact"/>
        </dgm:presLayoutVars>
      </dgm:prSet>
      <dgm:spPr/>
      <dgm:t>
        <a:bodyPr/>
        <a:lstStyle/>
        <a:p>
          <a:endParaRPr lang="pl-PL"/>
        </a:p>
      </dgm:t>
    </dgm:pt>
    <dgm:pt modelId="{BFC2F298-BE15-4A56-A836-B099CF35E648}" type="pres">
      <dgm:prSet presAssocID="{64B6BC9A-0022-41CD-B459-3ADCCF4A9D7D}" presName="composite" presStyleCnt="0"/>
      <dgm:spPr/>
    </dgm:pt>
    <dgm:pt modelId="{D97F4AF8-068D-4C7F-B74C-DE87BE16C63B}" type="pres">
      <dgm:prSet presAssocID="{64B6BC9A-0022-41CD-B459-3ADCCF4A9D7D}" presName="imagSh" presStyleLbl="b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a:stretch>
        </a:blipFill>
      </dgm:spPr>
      <dgm:t>
        <a:bodyPr/>
        <a:lstStyle/>
        <a:p>
          <a:endParaRPr lang="pl-PL"/>
        </a:p>
      </dgm:t>
      <dgm:extLst>
        <a:ext uri="{E40237B7-FDA0-4F09-8148-C483321AD2D9}">
          <dgm14:cNvPr xmlns:dgm14="http://schemas.microsoft.com/office/drawing/2010/diagram" id="0" name="" descr="Stop z wypełnieniem pełnym"/>
        </a:ext>
      </dgm:extLst>
    </dgm:pt>
    <dgm:pt modelId="{C04BEB49-5836-4784-ADDD-8070373BDB34}" type="pres">
      <dgm:prSet presAssocID="{64B6BC9A-0022-41CD-B459-3ADCCF4A9D7D}" presName="txNode" presStyleLbl="node1" presStyleIdx="0" presStyleCnt="5" custScaleX="121000" custScaleY="121000">
        <dgm:presLayoutVars>
          <dgm:bulletEnabled val="1"/>
        </dgm:presLayoutVars>
      </dgm:prSet>
      <dgm:spPr/>
      <dgm:t>
        <a:bodyPr/>
        <a:lstStyle/>
        <a:p>
          <a:endParaRPr lang="pl-PL"/>
        </a:p>
      </dgm:t>
    </dgm:pt>
    <dgm:pt modelId="{17CCA608-1926-4343-B84E-D089D209BA12}" type="pres">
      <dgm:prSet presAssocID="{CF5658E7-21A3-4548-8449-547010ED709C}" presName="sibTrans" presStyleLbl="sibTrans2D1" presStyleIdx="0" presStyleCnt="4" custScaleX="3543122" custScaleY="85057" custLinFactX="600000" custLinFactY="-100000" custLinFactNeighborX="611275" custLinFactNeighborY="-163953"/>
      <dgm:spPr/>
      <dgm:t>
        <a:bodyPr/>
        <a:lstStyle/>
        <a:p>
          <a:endParaRPr lang="pl-PL"/>
        </a:p>
      </dgm:t>
    </dgm:pt>
    <dgm:pt modelId="{707737A3-AFF8-41C2-93C6-2FA7A416EE15}" type="pres">
      <dgm:prSet presAssocID="{CF5658E7-21A3-4548-8449-547010ED709C}" presName="connTx" presStyleLbl="sibTrans2D1" presStyleIdx="0" presStyleCnt="4"/>
      <dgm:spPr/>
      <dgm:t>
        <a:bodyPr/>
        <a:lstStyle/>
        <a:p>
          <a:endParaRPr lang="pl-PL"/>
        </a:p>
      </dgm:t>
    </dgm:pt>
    <dgm:pt modelId="{D4106F4F-2F4A-406D-BD32-DCDCC8E4D582}" type="pres">
      <dgm:prSet presAssocID="{A027A12A-A13F-4D26-A86C-609F3F3F0E5A}" presName="composite" presStyleCnt="0"/>
      <dgm:spPr/>
    </dgm:pt>
    <dgm:pt modelId="{2D9DA321-C0B7-4F95-B67A-1F9F2AB26A87}" type="pres">
      <dgm:prSet presAssocID="{A027A12A-A13F-4D26-A86C-609F3F3F0E5A}" presName="imagSh" presStyleLbl="bgImgPlace1" presStyleIdx="1" presStyleCnt="5"/>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 xmlns:asvg="http://schemas.microsoft.com/office/drawing/2016/SVG/main" r:embed="rId4"/>
              </a:ext>
            </a:extLst>
          </a:blip>
          <a:srcRect/>
          <a:stretch>
            <a:fillRect/>
          </a:stretch>
        </a:blipFill>
      </dgm:spPr>
      <dgm:t>
        <a:bodyPr/>
        <a:lstStyle/>
        <a:p>
          <a:endParaRPr lang="pl-PL"/>
        </a:p>
      </dgm:t>
      <dgm:extLst>
        <a:ext uri="{E40237B7-FDA0-4F09-8148-C483321AD2D9}">
          <dgm14:cNvPr xmlns:dgm14="http://schemas.microsoft.com/office/drawing/2010/diagram" id="0" name="" descr="Stop z wypełnieniem pełnym"/>
        </a:ext>
      </dgm:extLst>
    </dgm:pt>
    <dgm:pt modelId="{14C971DA-6DA4-4AC3-9729-725F3FB2CA35}" type="pres">
      <dgm:prSet presAssocID="{A027A12A-A13F-4D26-A86C-609F3F3F0E5A}" presName="txNode" presStyleLbl="node1" presStyleIdx="1" presStyleCnt="5" custScaleX="121000" custScaleY="121000">
        <dgm:presLayoutVars>
          <dgm:bulletEnabled val="1"/>
        </dgm:presLayoutVars>
      </dgm:prSet>
      <dgm:spPr/>
      <dgm:t>
        <a:bodyPr/>
        <a:lstStyle/>
        <a:p>
          <a:endParaRPr lang="pl-PL"/>
        </a:p>
      </dgm:t>
    </dgm:pt>
    <dgm:pt modelId="{156AE55C-9A4C-4007-97D6-D55E8C12F2C2}" type="pres">
      <dgm:prSet presAssocID="{5B2A37E0-5BD6-414C-9A38-500C1FE5B6DE}" presName="sibTrans" presStyleLbl="sibTrans2D1" presStyleIdx="1" presStyleCnt="4" custScaleX="133100" custScaleY="133100" custLinFactNeighborX="26443" custLinFactNeighborY="-34707"/>
      <dgm:spPr/>
      <dgm:t>
        <a:bodyPr/>
        <a:lstStyle/>
        <a:p>
          <a:endParaRPr lang="pl-PL"/>
        </a:p>
      </dgm:t>
    </dgm:pt>
    <dgm:pt modelId="{84414FD8-1DDA-4A21-BF4C-62CB401EBCCE}" type="pres">
      <dgm:prSet presAssocID="{5B2A37E0-5BD6-414C-9A38-500C1FE5B6DE}" presName="connTx" presStyleLbl="sibTrans2D1" presStyleIdx="1" presStyleCnt="4"/>
      <dgm:spPr/>
      <dgm:t>
        <a:bodyPr/>
        <a:lstStyle/>
        <a:p>
          <a:endParaRPr lang="pl-PL"/>
        </a:p>
      </dgm:t>
    </dgm:pt>
    <dgm:pt modelId="{6D100073-AB41-478E-A3CA-D5D26337C716}" type="pres">
      <dgm:prSet presAssocID="{4B93F1D4-21B8-4B4C-A997-5F0CFD546D2F}" presName="composite" presStyleCnt="0"/>
      <dgm:spPr/>
    </dgm:pt>
    <dgm:pt modelId="{B067A7A8-00AB-418F-94E2-5AAC55436436}" type="pres">
      <dgm:prSet presAssocID="{4B93F1D4-21B8-4B4C-A997-5F0CFD546D2F}" presName="imagSh" presStyleLbl="bgImgPlace1" presStyleIdx="2" presStyleCnt="5"/>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a:stretch>
        </a:blipFill>
      </dgm:spPr>
      <dgm:t>
        <a:bodyPr/>
        <a:lstStyle/>
        <a:p>
          <a:endParaRPr lang="pl-PL"/>
        </a:p>
      </dgm:t>
      <dgm:extLst>
        <a:ext uri="{E40237B7-FDA0-4F09-8148-C483321AD2D9}">
          <dgm14:cNvPr xmlns:dgm14="http://schemas.microsoft.com/office/drawing/2010/diagram" id="0" name="" descr="Stop z wypełnieniem pełnym"/>
        </a:ext>
      </dgm:extLst>
    </dgm:pt>
    <dgm:pt modelId="{7AE5105F-8D6D-41B0-8AF3-2CEE72761834}" type="pres">
      <dgm:prSet presAssocID="{4B93F1D4-21B8-4B4C-A997-5F0CFD546D2F}" presName="txNode" presStyleLbl="node1" presStyleIdx="2" presStyleCnt="5" custScaleX="121000" custScaleY="121000">
        <dgm:presLayoutVars>
          <dgm:bulletEnabled val="1"/>
        </dgm:presLayoutVars>
      </dgm:prSet>
      <dgm:spPr/>
      <dgm:t>
        <a:bodyPr/>
        <a:lstStyle/>
        <a:p>
          <a:endParaRPr lang="pl-PL"/>
        </a:p>
      </dgm:t>
    </dgm:pt>
    <dgm:pt modelId="{2658CB39-B31F-4825-94D4-7A0131674F7A}" type="pres">
      <dgm:prSet presAssocID="{33A268C5-1F7C-44A2-B9B3-0E01D531F6B7}" presName="sibTrans" presStyleLbl="sibTrans2D1" presStyleIdx="2" presStyleCnt="4" custScaleX="133100" custScaleY="133100"/>
      <dgm:spPr/>
      <dgm:t>
        <a:bodyPr/>
        <a:lstStyle/>
        <a:p>
          <a:endParaRPr lang="pl-PL"/>
        </a:p>
      </dgm:t>
    </dgm:pt>
    <dgm:pt modelId="{457963FA-BA6C-4D50-A875-0B8277DEE69C}" type="pres">
      <dgm:prSet presAssocID="{33A268C5-1F7C-44A2-B9B3-0E01D531F6B7}" presName="connTx" presStyleLbl="sibTrans2D1" presStyleIdx="2" presStyleCnt="4"/>
      <dgm:spPr/>
      <dgm:t>
        <a:bodyPr/>
        <a:lstStyle/>
        <a:p>
          <a:endParaRPr lang="pl-PL"/>
        </a:p>
      </dgm:t>
    </dgm:pt>
    <dgm:pt modelId="{CADD3841-8CE6-4401-99BB-6F86FDA16D84}" type="pres">
      <dgm:prSet presAssocID="{155967BA-7AF3-44D8-AFF5-7CD1983D3846}" presName="composite" presStyleCnt="0"/>
      <dgm:spPr/>
    </dgm:pt>
    <dgm:pt modelId="{747AEBB5-AD6B-4CA1-A1C9-0F9AD32315B4}" type="pres">
      <dgm:prSet presAssocID="{155967BA-7AF3-44D8-AFF5-7CD1983D3846}" presName="imagSh" presStyleLbl="bgImgPlace1" presStyleIdx="3" presStyleCnt="5"/>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 xmlns:asvg="http://schemas.microsoft.com/office/drawing/2016/SVG/main" r:embed="rId8"/>
              </a:ext>
            </a:extLst>
          </a:blip>
          <a:srcRect/>
          <a:stretch>
            <a:fillRect/>
          </a:stretch>
        </a:blipFill>
      </dgm:spPr>
      <dgm:t>
        <a:bodyPr/>
        <a:lstStyle/>
        <a:p>
          <a:endParaRPr lang="pl-PL"/>
        </a:p>
      </dgm:t>
      <dgm:extLst>
        <a:ext uri="{E40237B7-FDA0-4F09-8148-C483321AD2D9}">
          <dgm14:cNvPr xmlns:dgm14="http://schemas.microsoft.com/office/drawing/2010/diagram" id="0" name="" descr="Stop z wypełnieniem pełnym"/>
        </a:ext>
      </dgm:extLst>
    </dgm:pt>
    <dgm:pt modelId="{AF478EDB-82C2-49F4-9DF8-54A2352E8E9C}" type="pres">
      <dgm:prSet presAssocID="{155967BA-7AF3-44D8-AFF5-7CD1983D3846}" presName="txNode" presStyleLbl="node1" presStyleIdx="3" presStyleCnt="5" custScaleX="121000" custScaleY="121000">
        <dgm:presLayoutVars>
          <dgm:bulletEnabled val="1"/>
        </dgm:presLayoutVars>
      </dgm:prSet>
      <dgm:spPr/>
      <dgm:t>
        <a:bodyPr/>
        <a:lstStyle/>
        <a:p>
          <a:endParaRPr lang="pl-PL"/>
        </a:p>
      </dgm:t>
    </dgm:pt>
    <dgm:pt modelId="{9144F0F5-09B9-4798-A7E2-9A4543391AA3}" type="pres">
      <dgm:prSet presAssocID="{1239B8D4-436B-4679-939A-33E1B249D5DA}" presName="sibTrans" presStyleLbl="sibTrans2D1" presStyleIdx="3" presStyleCnt="4" custFlipVert="0" custScaleX="3543122" custScaleY="81559" custLinFactX="-458552" custLinFactY="258474" custLinFactNeighborX="-500000" custLinFactNeighborY="300000"/>
      <dgm:spPr/>
      <dgm:t>
        <a:bodyPr/>
        <a:lstStyle/>
        <a:p>
          <a:endParaRPr lang="pl-PL"/>
        </a:p>
      </dgm:t>
    </dgm:pt>
    <dgm:pt modelId="{6FE16BD1-99F3-4AF9-A99F-72068D19185C}" type="pres">
      <dgm:prSet presAssocID="{1239B8D4-436B-4679-939A-33E1B249D5DA}" presName="connTx" presStyleLbl="sibTrans2D1" presStyleIdx="3" presStyleCnt="4"/>
      <dgm:spPr/>
      <dgm:t>
        <a:bodyPr/>
        <a:lstStyle/>
        <a:p>
          <a:endParaRPr lang="pl-PL"/>
        </a:p>
      </dgm:t>
    </dgm:pt>
    <dgm:pt modelId="{3CBE8C53-7002-4E5D-8224-75E1D04A9E74}" type="pres">
      <dgm:prSet presAssocID="{18A309D1-D896-414C-92D6-49C321AE5EAD}" presName="composite" presStyleCnt="0"/>
      <dgm:spPr/>
    </dgm:pt>
    <dgm:pt modelId="{31262A60-A8BC-4A1A-B41E-2D94B341D03D}" type="pres">
      <dgm:prSet presAssocID="{18A309D1-D896-414C-92D6-49C321AE5EAD}" presName="imagSh" presStyleLbl="bgImgPlace1" presStyleIdx="4" presStyleCnt="5"/>
      <dgm:spPr>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 xmlns:asvg="http://schemas.microsoft.com/office/drawing/2016/SVG/main" r:embed="rId10"/>
              </a:ext>
            </a:extLst>
          </a:blip>
          <a:srcRect/>
          <a:stretch>
            <a:fillRect/>
          </a:stretch>
        </a:blipFill>
      </dgm:spPr>
      <dgm:t>
        <a:bodyPr/>
        <a:lstStyle/>
        <a:p>
          <a:endParaRPr lang="pl-PL"/>
        </a:p>
      </dgm:t>
      <dgm:extLst>
        <a:ext uri="{E40237B7-FDA0-4F09-8148-C483321AD2D9}">
          <dgm14:cNvPr xmlns:dgm14="http://schemas.microsoft.com/office/drawing/2010/diagram" id="0" name="" descr="Stop z wypełnieniem pełnym"/>
        </a:ext>
      </dgm:extLst>
    </dgm:pt>
    <dgm:pt modelId="{B85DFC68-71D8-4204-91BC-13E2762BCC2C}" type="pres">
      <dgm:prSet presAssocID="{18A309D1-D896-414C-92D6-49C321AE5EAD}" presName="txNode" presStyleLbl="node1" presStyleIdx="4" presStyleCnt="5" custScaleX="121000" custScaleY="121000">
        <dgm:presLayoutVars>
          <dgm:bulletEnabled val="1"/>
        </dgm:presLayoutVars>
      </dgm:prSet>
      <dgm:spPr/>
      <dgm:t>
        <a:bodyPr/>
        <a:lstStyle/>
        <a:p>
          <a:endParaRPr lang="pl-PL"/>
        </a:p>
      </dgm:t>
    </dgm:pt>
  </dgm:ptLst>
  <dgm:cxnLst>
    <dgm:cxn modelId="{76BE25AC-4C82-4BAA-B953-66751C7B51F8}" type="presOf" srcId="{A027A12A-A13F-4D26-A86C-609F3F3F0E5A}" destId="{14C971DA-6DA4-4AC3-9729-725F3FB2CA35}" srcOrd="0" destOrd="0" presId="urn:microsoft.com/office/officeart/2005/8/layout/hProcess10"/>
    <dgm:cxn modelId="{D805BDEF-3B58-45D4-A55C-51092FB49652}" type="presOf" srcId="{1239B8D4-436B-4679-939A-33E1B249D5DA}" destId="{9144F0F5-09B9-4798-A7E2-9A4543391AA3}" srcOrd="0" destOrd="0" presId="urn:microsoft.com/office/officeart/2005/8/layout/hProcess10"/>
    <dgm:cxn modelId="{6A38E70E-86C6-457F-976F-020EE002E3E8}" type="presOf" srcId="{1239B8D4-436B-4679-939A-33E1B249D5DA}" destId="{6FE16BD1-99F3-4AF9-A99F-72068D19185C}" srcOrd="1" destOrd="0" presId="urn:microsoft.com/office/officeart/2005/8/layout/hProcess10"/>
    <dgm:cxn modelId="{8B36BE4D-9FD1-45BA-A7C7-796448CCFE6B}" srcId="{7BB2B175-ADA6-41B2-B2F2-0E944AEBAC9F}" destId="{64B6BC9A-0022-41CD-B459-3ADCCF4A9D7D}" srcOrd="0" destOrd="0" parTransId="{1D567474-909F-4709-89D6-6BD791732253}" sibTransId="{CF5658E7-21A3-4548-8449-547010ED709C}"/>
    <dgm:cxn modelId="{13507D83-B75D-4034-A16D-936DB8CF80C6}" type="presOf" srcId="{155967BA-7AF3-44D8-AFF5-7CD1983D3846}" destId="{AF478EDB-82C2-49F4-9DF8-54A2352E8E9C}" srcOrd="0" destOrd="0" presId="urn:microsoft.com/office/officeart/2005/8/layout/hProcess10"/>
    <dgm:cxn modelId="{4AB18A50-A5E5-4FF9-8F7E-DEEDD2CF8207}" type="presOf" srcId="{CF5658E7-21A3-4548-8449-547010ED709C}" destId="{707737A3-AFF8-41C2-93C6-2FA7A416EE15}" srcOrd="1" destOrd="0" presId="urn:microsoft.com/office/officeart/2005/8/layout/hProcess10"/>
    <dgm:cxn modelId="{8DC41B67-E5C5-4273-9A6D-C5729359BE4B}" type="presOf" srcId="{18A309D1-D896-414C-92D6-49C321AE5EAD}" destId="{B85DFC68-71D8-4204-91BC-13E2762BCC2C}" srcOrd="0" destOrd="0" presId="urn:microsoft.com/office/officeart/2005/8/layout/hProcess10"/>
    <dgm:cxn modelId="{D21F7854-02F0-45B7-8AE8-0FAF9413BDAD}" srcId="{7BB2B175-ADA6-41B2-B2F2-0E944AEBAC9F}" destId="{4B93F1D4-21B8-4B4C-A997-5F0CFD546D2F}" srcOrd="2" destOrd="0" parTransId="{761869D2-7C11-4B1B-81E4-0A6A615B95A7}" sibTransId="{33A268C5-1F7C-44A2-B9B3-0E01D531F6B7}"/>
    <dgm:cxn modelId="{A5AC7F7F-77E7-4C48-9C53-2BBFB5128F86}" type="presOf" srcId="{5B2A37E0-5BD6-414C-9A38-500C1FE5B6DE}" destId="{84414FD8-1DDA-4A21-BF4C-62CB401EBCCE}" srcOrd="1" destOrd="0" presId="urn:microsoft.com/office/officeart/2005/8/layout/hProcess10"/>
    <dgm:cxn modelId="{B533A9DF-DCEB-48B7-9613-6AA6517DF347}" type="presOf" srcId="{64B6BC9A-0022-41CD-B459-3ADCCF4A9D7D}" destId="{C04BEB49-5836-4784-ADDD-8070373BDB34}" srcOrd="0" destOrd="0" presId="urn:microsoft.com/office/officeart/2005/8/layout/hProcess10"/>
    <dgm:cxn modelId="{AFA1CE6E-7F68-4EA4-9B37-9140D1F4DD20}" type="presOf" srcId="{7BB2B175-ADA6-41B2-B2F2-0E944AEBAC9F}" destId="{30CC3AB3-BA1A-409D-A768-3F19AC74A323}" srcOrd="0" destOrd="0" presId="urn:microsoft.com/office/officeart/2005/8/layout/hProcess10"/>
    <dgm:cxn modelId="{39CDCEEF-6CE5-494F-B3A2-EFA52EA4EF38}" srcId="{7BB2B175-ADA6-41B2-B2F2-0E944AEBAC9F}" destId="{155967BA-7AF3-44D8-AFF5-7CD1983D3846}" srcOrd="3" destOrd="0" parTransId="{0B71E936-3944-4276-8775-92FF18448243}" sibTransId="{1239B8D4-436B-4679-939A-33E1B249D5DA}"/>
    <dgm:cxn modelId="{8F6C0230-50C0-4F83-A209-31B3B41AE7DB}" type="presOf" srcId="{33A268C5-1F7C-44A2-B9B3-0E01D531F6B7}" destId="{457963FA-BA6C-4D50-A875-0B8277DEE69C}" srcOrd="1" destOrd="0" presId="urn:microsoft.com/office/officeart/2005/8/layout/hProcess10"/>
    <dgm:cxn modelId="{425352A8-4ECE-4258-A7B7-952A79C5EDF9}" type="presOf" srcId="{33A268C5-1F7C-44A2-B9B3-0E01D531F6B7}" destId="{2658CB39-B31F-4825-94D4-7A0131674F7A}" srcOrd="0" destOrd="0" presId="urn:microsoft.com/office/officeart/2005/8/layout/hProcess10"/>
    <dgm:cxn modelId="{98D339A9-619E-4D2B-AB3E-FEA98534B93B}" srcId="{7BB2B175-ADA6-41B2-B2F2-0E944AEBAC9F}" destId="{18A309D1-D896-414C-92D6-49C321AE5EAD}" srcOrd="4" destOrd="0" parTransId="{C2016AC1-8650-4813-8EA1-0A3F4216F19D}" sibTransId="{EE24E8DF-2832-4118-9514-094EA8FDF3B1}"/>
    <dgm:cxn modelId="{65B23039-C469-4AFA-AC6B-4AFC55F68A8E}" type="presOf" srcId="{5B2A37E0-5BD6-414C-9A38-500C1FE5B6DE}" destId="{156AE55C-9A4C-4007-97D6-D55E8C12F2C2}" srcOrd="0" destOrd="0" presId="urn:microsoft.com/office/officeart/2005/8/layout/hProcess10"/>
    <dgm:cxn modelId="{638AE531-D154-47A8-A822-D8FAECDB6887}" type="presOf" srcId="{4B93F1D4-21B8-4B4C-A997-5F0CFD546D2F}" destId="{7AE5105F-8D6D-41B0-8AF3-2CEE72761834}" srcOrd="0" destOrd="0" presId="urn:microsoft.com/office/officeart/2005/8/layout/hProcess10"/>
    <dgm:cxn modelId="{3202B91C-8A2C-4432-BC76-6C3BAE3D475A}" type="presOf" srcId="{CF5658E7-21A3-4548-8449-547010ED709C}" destId="{17CCA608-1926-4343-B84E-D089D209BA12}" srcOrd="0" destOrd="0" presId="urn:microsoft.com/office/officeart/2005/8/layout/hProcess10"/>
    <dgm:cxn modelId="{894C4DAA-3155-46B3-9AE3-106E29177A69}" srcId="{7BB2B175-ADA6-41B2-B2F2-0E944AEBAC9F}" destId="{A027A12A-A13F-4D26-A86C-609F3F3F0E5A}" srcOrd="1" destOrd="0" parTransId="{2BCD3B4F-46F1-4991-86ED-FE02CCC3E906}" sibTransId="{5B2A37E0-5BD6-414C-9A38-500C1FE5B6DE}"/>
    <dgm:cxn modelId="{DDC61309-64EB-4014-8BAF-F1079465A33A}" type="presParOf" srcId="{30CC3AB3-BA1A-409D-A768-3F19AC74A323}" destId="{BFC2F298-BE15-4A56-A836-B099CF35E648}" srcOrd="0" destOrd="0" presId="urn:microsoft.com/office/officeart/2005/8/layout/hProcess10"/>
    <dgm:cxn modelId="{5A08D68C-5A62-42B4-B6B3-6B43147DE855}" type="presParOf" srcId="{BFC2F298-BE15-4A56-A836-B099CF35E648}" destId="{D97F4AF8-068D-4C7F-B74C-DE87BE16C63B}" srcOrd="0" destOrd="0" presId="urn:microsoft.com/office/officeart/2005/8/layout/hProcess10"/>
    <dgm:cxn modelId="{EF8A3603-AC48-4BBB-82C5-67D16253D03B}" type="presParOf" srcId="{BFC2F298-BE15-4A56-A836-B099CF35E648}" destId="{C04BEB49-5836-4784-ADDD-8070373BDB34}" srcOrd="1" destOrd="0" presId="urn:microsoft.com/office/officeart/2005/8/layout/hProcess10"/>
    <dgm:cxn modelId="{E5F1F89C-F3FE-4BAB-9D85-433017666012}" type="presParOf" srcId="{30CC3AB3-BA1A-409D-A768-3F19AC74A323}" destId="{17CCA608-1926-4343-B84E-D089D209BA12}" srcOrd="1" destOrd="0" presId="urn:microsoft.com/office/officeart/2005/8/layout/hProcess10"/>
    <dgm:cxn modelId="{2520F4CD-EFD8-47A0-A7B7-91820F071309}" type="presParOf" srcId="{17CCA608-1926-4343-B84E-D089D209BA12}" destId="{707737A3-AFF8-41C2-93C6-2FA7A416EE15}" srcOrd="0" destOrd="0" presId="urn:microsoft.com/office/officeart/2005/8/layout/hProcess10"/>
    <dgm:cxn modelId="{76042162-59FC-47C3-B950-F159FE46D8D4}" type="presParOf" srcId="{30CC3AB3-BA1A-409D-A768-3F19AC74A323}" destId="{D4106F4F-2F4A-406D-BD32-DCDCC8E4D582}" srcOrd="2" destOrd="0" presId="urn:microsoft.com/office/officeart/2005/8/layout/hProcess10"/>
    <dgm:cxn modelId="{BF1F0EC8-5B7B-4655-94CB-9E66705679F2}" type="presParOf" srcId="{D4106F4F-2F4A-406D-BD32-DCDCC8E4D582}" destId="{2D9DA321-C0B7-4F95-B67A-1F9F2AB26A87}" srcOrd="0" destOrd="0" presId="urn:microsoft.com/office/officeart/2005/8/layout/hProcess10"/>
    <dgm:cxn modelId="{1DEF4465-49E1-4EE4-B05D-FD3F6FA3EA5C}" type="presParOf" srcId="{D4106F4F-2F4A-406D-BD32-DCDCC8E4D582}" destId="{14C971DA-6DA4-4AC3-9729-725F3FB2CA35}" srcOrd="1" destOrd="0" presId="urn:microsoft.com/office/officeart/2005/8/layout/hProcess10"/>
    <dgm:cxn modelId="{307CBBA7-5B46-45ED-8D6A-B73901C8DD55}" type="presParOf" srcId="{30CC3AB3-BA1A-409D-A768-3F19AC74A323}" destId="{156AE55C-9A4C-4007-97D6-D55E8C12F2C2}" srcOrd="3" destOrd="0" presId="urn:microsoft.com/office/officeart/2005/8/layout/hProcess10"/>
    <dgm:cxn modelId="{99EE10B0-F840-4E0E-A72C-A59EE27F63A4}" type="presParOf" srcId="{156AE55C-9A4C-4007-97D6-D55E8C12F2C2}" destId="{84414FD8-1DDA-4A21-BF4C-62CB401EBCCE}" srcOrd="0" destOrd="0" presId="urn:microsoft.com/office/officeart/2005/8/layout/hProcess10"/>
    <dgm:cxn modelId="{F343ED70-0BD2-45B3-9205-410F85F3CE5F}" type="presParOf" srcId="{30CC3AB3-BA1A-409D-A768-3F19AC74A323}" destId="{6D100073-AB41-478E-A3CA-D5D26337C716}" srcOrd="4" destOrd="0" presId="urn:microsoft.com/office/officeart/2005/8/layout/hProcess10"/>
    <dgm:cxn modelId="{CEA47861-A4B6-4F8D-A2BB-0268D5B369E0}" type="presParOf" srcId="{6D100073-AB41-478E-A3CA-D5D26337C716}" destId="{B067A7A8-00AB-418F-94E2-5AAC55436436}" srcOrd="0" destOrd="0" presId="urn:microsoft.com/office/officeart/2005/8/layout/hProcess10"/>
    <dgm:cxn modelId="{6B8B481E-5136-4D94-85C6-D69F5FE61E26}" type="presParOf" srcId="{6D100073-AB41-478E-A3CA-D5D26337C716}" destId="{7AE5105F-8D6D-41B0-8AF3-2CEE72761834}" srcOrd="1" destOrd="0" presId="urn:microsoft.com/office/officeart/2005/8/layout/hProcess10"/>
    <dgm:cxn modelId="{6F612A99-5505-4E1F-9812-23736A33DDBC}" type="presParOf" srcId="{30CC3AB3-BA1A-409D-A768-3F19AC74A323}" destId="{2658CB39-B31F-4825-94D4-7A0131674F7A}" srcOrd="5" destOrd="0" presId="urn:microsoft.com/office/officeart/2005/8/layout/hProcess10"/>
    <dgm:cxn modelId="{7D64DEB7-31DF-40DB-B93C-AF3446A92596}" type="presParOf" srcId="{2658CB39-B31F-4825-94D4-7A0131674F7A}" destId="{457963FA-BA6C-4D50-A875-0B8277DEE69C}" srcOrd="0" destOrd="0" presId="urn:microsoft.com/office/officeart/2005/8/layout/hProcess10"/>
    <dgm:cxn modelId="{9DD45DA4-32D6-410D-9F09-E61D26700D1D}" type="presParOf" srcId="{30CC3AB3-BA1A-409D-A768-3F19AC74A323}" destId="{CADD3841-8CE6-4401-99BB-6F86FDA16D84}" srcOrd="6" destOrd="0" presId="urn:microsoft.com/office/officeart/2005/8/layout/hProcess10"/>
    <dgm:cxn modelId="{385591AB-67C3-4226-8828-57E16451F695}" type="presParOf" srcId="{CADD3841-8CE6-4401-99BB-6F86FDA16D84}" destId="{747AEBB5-AD6B-4CA1-A1C9-0F9AD32315B4}" srcOrd="0" destOrd="0" presId="urn:microsoft.com/office/officeart/2005/8/layout/hProcess10"/>
    <dgm:cxn modelId="{FE4D74DF-74C1-46FD-9BBC-04E4CED49686}" type="presParOf" srcId="{CADD3841-8CE6-4401-99BB-6F86FDA16D84}" destId="{AF478EDB-82C2-49F4-9DF8-54A2352E8E9C}" srcOrd="1" destOrd="0" presId="urn:microsoft.com/office/officeart/2005/8/layout/hProcess10"/>
    <dgm:cxn modelId="{25D31D71-F0BC-4C81-AAD3-D3CE7A52B312}" type="presParOf" srcId="{30CC3AB3-BA1A-409D-A768-3F19AC74A323}" destId="{9144F0F5-09B9-4798-A7E2-9A4543391AA3}" srcOrd="7" destOrd="0" presId="urn:microsoft.com/office/officeart/2005/8/layout/hProcess10"/>
    <dgm:cxn modelId="{4D412EE5-F78F-44D9-B57C-E9C080F161F1}" type="presParOf" srcId="{9144F0F5-09B9-4798-A7E2-9A4543391AA3}" destId="{6FE16BD1-99F3-4AF9-A99F-72068D19185C}" srcOrd="0" destOrd="0" presId="urn:microsoft.com/office/officeart/2005/8/layout/hProcess10"/>
    <dgm:cxn modelId="{98D1FB28-D556-40A0-BAD1-F0C4B66C5C7D}" type="presParOf" srcId="{30CC3AB3-BA1A-409D-A768-3F19AC74A323}" destId="{3CBE8C53-7002-4E5D-8224-75E1D04A9E74}" srcOrd="8" destOrd="0" presId="urn:microsoft.com/office/officeart/2005/8/layout/hProcess10"/>
    <dgm:cxn modelId="{D15BC18C-1DF9-45C4-8C8B-D3C1C6A3E068}" type="presParOf" srcId="{3CBE8C53-7002-4E5D-8224-75E1D04A9E74}" destId="{31262A60-A8BC-4A1A-B41E-2D94B341D03D}" srcOrd="0" destOrd="0" presId="urn:microsoft.com/office/officeart/2005/8/layout/hProcess10"/>
    <dgm:cxn modelId="{C8AB619F-0308-4FA8-84AD-9AE482AA744A}" type="presParOf" srcId="{3CBE8C53-7002-4E5D-8224-75E1D04A9E74}" destId="{B85DFC68-71D8-4204-91BC-13E2762BCC2C}" srcOrd="1" destOrd="0" presId="urn:microsoft.com/office/officeart/2005/8/layout/hProcess10"/>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E4998A-306A-4A5E-87AF-6638F7C950EA}" type="doc">
      <dgm:prSet loTypeId="urn:microsoft.com/office/officeart/2005/8/layout/venn3" loCatId="relationship" qsTypeId="urn:microsoft.com/office/officeart/2005/8/quickstyle/simple1" qsCatId="simple" csTypeId="urn:microsoft.com/office/officeart/2005/8/colors/colorful4" csCatId="colorful" phldr="1"/>
      <dgm:spPr/>
      <dgm:t>
        <a:bodyPr/>
        <a:lstStyle/>
        <a:p>
          <a:endParaRPr lang="pl-PL"/>
        </a:p>
      </dgm:t>
    </dgm:pt>
    <dgm:pt modelId="{4F745A7D-11C6-4CED-9DA1-D55625585D73}">
      <dgm:prSet phldrT="[Tekst]" custT="1"/>
      <dgm:spPr/>
      <dgm:t>
        <a:bodyPr/>
        <a:lstStyle/>
        <a:p>
          <a:pPr algn="ctr">
            <a:lnSpc>
              <a:spcPct val="90000"/>
            </a:lnSpc>
          </a:pPr>
          <a:r>
            <a:rPr lang="pl-PL" sz="1000" b="1">
              <a:latin typeface="Century Gothic" panose="020B0502020202020204" pitchFamily="34" charset="0"/>
            </a:rPr>
            <a:t>Cel strategiczny 1: </a:t>
          </a:r>
        </a:p>
        <a:p>
          <a:pPr algn="ctr">
            <a:lnSpc>
              <a:spcPct val="100000"/>
            </a:lnSpc>
          </a:pPr>
          <a:r>
            <a:rPr lang="pl-PL" sz="1000">
              <a:latin typeface="Century Gothic" panose="020B0502020202020204" pitchFamily="34" charset="0"/>
            </a:rPr>
            <a:t>Wzrost spójności społecznej</a:t>
          </a:r>
        </a:p>
      </dgm:t>
    </dgm:pt>
    <dgm:pt modelId="{2C71193D-1DE1-4A9C-B89F-09C5DF825757}" type="parTrans" cxnId="{62519730-4B29-4DE7-AF89-6D20FF361C31}">
      <dgm:prSet/>
      <dgm:spPr/>
      <dgm:t>
        <a:bodyPr/>
        <a:lstStyle/>
        <a:p>
          <a:pPr algn="ctr"/>
          <a:endParaRPr lang="pl-PL" sz="1000"/>
        </a:p>
      </dgm:t>
    </dgm:pt>
    <dgm:pt modelId="{6A846A07-02D0-4DB1-88E0-81EA6C38E9F4}" type="sibTrans" cxnId="{62519730-4B29-4DE7-AF89-6D20FF361C31}">
      <dgm:prSet/>
      <dgm:spPr/>
      <dgm:t>
        <a:bodyPr/>
        <a:lstStyle/>
        <a:p>
          <a:pPr algn="ctr"/>
          <a:endParaRPr lang="pl-PL" sz="1000"/>
        </a:p>
      </dgm:t>
    </dgm:pt>
    <dgm:pt modelId="{4C340688-BDE4-479B-A93E-8F0DA4E2369C}">
      <dgm:prSet phldrT="[Tekst]" custT="1"/>
      <dgm:spPr/>
      <dgm:t>
        <a:bodyPr/>
        <a:lstStyle/>
        <a:p>
          <a:pPr algn="ctr">
            <a:lnSpc>
              <a:spcPct val="90000"/>
            </a:lnSpc>
            <a:spcAft>
              <a:spcPct val="35000"/>
            </a:spcAft>
          </a:pPr>
          <a:r>
            <a:rPr lang="pl-PL" sz="1000" b="1">
              <a:latin typeface="Century Gothic" panose="020B0502020202020204" pitchFamily="34" charset="0"/>
            </a:rPr>
            <a:t>Cel strategiczny 2: </a:t>
          </a:r>
        </a:p>
        <a:p>
          <a:pPr algn="ctr">
            <a:lnSpc>
              <a:spcPct val="100000"/>
            </a:lnSpc>
            <a:spcAft>
              <a:spcPts val="0"/>
            </a:spcAft>
          </a:pPr>
          <a:r>
            <a:rPr lang="pl-PL" sz="1000">
              <a:latin typeface="Century Gothic" panose="020B0502020202020204" pitchFamily="34" charset="0"/>
            </a:rPr>
            <a:t>Poprawa stanu środowiska </a:t>
          </a:r>
        </a:p>
        <a:p>
          <a:pPr algn="ctr">
            <a:lnSpc>
              <a:spcPct val="100000"/>
            </a:lnSpc>
            <a:spcAft>
              <a:spcPct val="35000"/>
            </a:spcAft>
          </a:pPr>
          <a:r>
            <a:rPr lang="pl-PL" sz="1000">
              <a:latin typeface="Century Gothic" panose="020B0502020202020204" pitchFamily="34" charset="0"/>
            </a:rPr>
            <a:t>i ochrona jego zasobów</a:t>
          </a:r>
        </a:p>
      </dgm:t>
    </dgm:pt>
    <dgm:pt modelId="{FA5F8C43-32C1-4DFC-8574-8AF3A4743D05}" type="parTrans" cxnId="{2923B8C8-2477-4A67-B628-DDE838B00D2D}">
      <dgm:prSet/>
      <dgm:spPr/>
      <dgm:t>
        <a:bodyPr/>
        <a:lstStyle/>
        <a:p>
          <a:pPr algn="ctr"/>
          <a:endParaRPr lang="pl-PL" sz="1000"/>
        </a:p>
      </dgm:t>
    </dgm:pt>
    <dgm:pt modelId="{663ECDDC-37BE-44E8-BFCB-A4AD93F4722D}" type="sibTrans" cxnId="{2923B8C8-2477-4A67-B628-DDE838B00D2D}">
      <dgm:prSet/>
      <dgm:spPr/>
      <dgm:t>
        <a:bodyPr/>
        <a:lstStyle/>
        <a:p>
          <a:pPr algn="ctr"/>
          <a:endParaRPr lang="pl-PL" sz="1000"/>
        </a:p>
      </dgm:t>
    </dgm:pt>
    <dgm:pt modelId="{4B8B3DB2-71C5-4677-895E-FE3ECD0DF554}">
      <dgm:prSet phldrT="[Tekst]" custT="1"/>
      <dgm:spPr/>
      <dgm:t>
        <a:bodyPr/>
        <a:lstStyle/>
        <a:p>
          <a:pPr algn="ctr">
            <a:lnSpc>
              <a:spcPct val="90000"/>
            </a:lnSpc>
            <a:spcAft>
              <a:spcPct val="35000"/>
            </a:spcAft>
          </a:pPr>
          <a:r>
            <a:rPr lang="pl-PL" sz="1000" b="1">
              <a:latin typeface="Century Gothic" panose="020B0502020202020204" pitchFamily="34" charset="0"/>
            </a:rPr>
            <a:t>Cel strategiczny 3:</a:t>
          </a:r>
        </a:p>
        <a:p>
          <a:pPr algn="ctr">
            <a:lnSpc>
              <a:spcPct val="100000"/>
            </a:lnSpc>
            <a:spcAft>
              <a:spcPts val="0"/>
            </a:spcAft>
          </a:pPr>
          <a:r>
            <a:rPr lang="pl-PL" sz="1000">
              <a:latin typeface="Century Gothic" panose="020B0502020202020204" pitchFamily="34" charset="0"/>
            </a:rPr>
            <a:t>Wzrost atrakcyjności gospodarczej </a:t>
          </a:r>
        </a:p>
        <a:p>
          <a:pPr algn="ctr">
            <a:lnSpc>
              <a:spcPct val="100000"/>
            </a:lnSpc>
            <a:spcAft>
              <a:spcPct val="35000"/>
            </a:spcAft>
          </a:pPr>
          <a:r>
            <a:rPr lang="pl-PL" sz="1000">
              <a:latin typeface="Century Gothic" panose="020B0502020202020204" pitchFamily="34" charset="0"/>
            </a:rPr>
            <a:t>i turystycznej</a:t>
          </a:r>
        </a:p>
      </dgm:t>
    </dgm:pt>
    <dgm:pt modelId="{92B263F3-6C32-4226-B857-974A0979AD00}" type="parTrans" cxnId="{8DF1FD82-C28D-4317-8732-0DFBD0DFEA37}">
      <dgm:prSet/>
      <dgm:spPr/>
      <dgm:t>
        <a:bodyPr/>
        <a:lstStyle/>
        <a:p>
          <a:pPr algn="ctr"/>
          <a:endParaRPr lang="pl-PL" sz="1000"/>
        </a:p>
      </dgm:t>
    </dgm:pt>
    <dgm:pt modelId="{171861DA-B9D5-4EB6-B801-427A3995E405}" type="sibTrans" cxnId="{8DF1FD82-C28D-4317-8732-0DFBD0DFEA37}">
      <dgm:prSet/>
      <dgm:spPr/>
      <dgm:t>
        <a:bodyPr/>
        <a:lstStyle/>
        <a:p>
          <a:pPr algn="ctr"/>
          <a:endParaRPr lang="pl-PL" sz="1000"/>
        </a:p>
      </dgm:t>
    </dgm:pt>
    <dgm:pt modelId="{44ED6EBE-839D-4B5D-A26F-EBA625AEBC73}" type="pres">
      <dgm:prSet presAssocID="{49E4998A-306A-4A5E-87AF-6638F7C950EA}" presName="Name0" presStyleCnt="0">
        <dgm:presLayoutVars>
          <dgm:dir/>
          <dgm:resizeHandles val="exact"/>
        </dgm:presLayoutVars>
      </dgm:prSet>
      <dgm:spPr/>
      <dgm:t>
        <a:bodyPr/>
        <a:lstStyle/>
        <a:p>
          <a:endParaRPr lang="pl-PL"/>
        </a:p>
      </dgm:t>
    </dgm:pt>
    <dgm:pt modelId="{1E6C1955-1777-4DCD-8A3E-FD89AAB83662}" type="pres">
      <dgm:prSet presAssocID="{4F745A7D-11C6-4CED-9DA1-D55625585D73}" presName="Name5" presStyleLbl="vennNode1" presStyleIdx="0" presStyleCnt="3">
        <dgm:presLayoutVars>
          <dgm:bulletEnabled val="1"/>
        </dgm:presLayoutVars>
      </dgm:prSet>
      <dgm:spPr/>
      <dgm:t>
        <a:bodyPr/>
        <a:lstStyle/>
        <a:p>
          <a:endParaRPr lang="pl-PL"/>
        </a:p>
      </dgm:t>
    </dgm:pt>
    <dgm:pt modelId="{B65404CA-E375-4AB8-8BAE-11328898BA75}" type="pres">
      <dgm:prSet presAssocID="{6A846A07-02D0-4DB1-88E0-81EA6C38E9F4}" presName="space" presStyleCnt="0"/>
      <dgm:spPr/>
    </dgm:pt>
    <dgm:pt modelId="{E7A656D2-CD30-425F-9BA2-5E2FE6478BAD}" type="pres">
      <dgm:prSet presAssocID="{4C340688-BDE4-479B-A93E-8F0DA4E2369C}" presName="Name5" presStyleLbl="vennNode1" presStyleIdx="1" presStyleCnt="3">
        <dgm:presLayoutVars>
          <dgm:bulletEnabled val="1"/>
        </dgm:presLayoutVars>
      </dgm:prSet>
      <dgm:spPr/>
      <dgm:t>
        <a:bodyPr/>
        <a:lstStyle/>
        <a:p>
          <a:endParaRPr lang="pl-PL"/>
        </a:p>
      </dgm:t>
    </dgm:pt>
    <dgm:pt modelId="{D4C051C6-BDF9-45B4-AD98-6B5BC81B68B6}" type="pres">
      <dgm:prSet presAssocID="{663ECDDC-37BE-44E8-BFCB-A4AD93F4722D}" presName="space" presStyleCnt="0"/>
      <dgm:spPr/>
    </dgm:pt>
    <dgm:pt modelId="{382EC2EB-2384-4A93-B5FE-4AAA473303BE}" type="pres">
      <dgm:prSet presAssocID="{4B8B3DB2-71C5-4677-895E-FE3ECD0DF554}" presName="Name5" presStyleLbl="vennNode1" presStyleIdx="2" presStyleCnt="3" custLinFactNeighborX="32649" custLinFactNeighborY="361">
        <dgm:presLayoutVars>
          <dgm:bulletEnabled val="1"/>
        </dgm:presLayoutVars>
      </dgm:prSet>
      <dgm:spPr/>
      <dgm:t>
        <a:bodyPr/>
        <a:lstStyle/>
        <a:p>
          <a:endParaRPr lang="pl-PL"/>
        </a:p>
      </dgm:t>
    </dgm:pt>
  </dgm:ptLst>
  <dgm:cxnLst>
    <dgm:cxn modelId="{3BA704DD-DB65-42B1-8B4E-F4138C0E1851}" type="presOf" srcId="{4F745A7D-11C6-4CED-9DA1-D55625585D73}" destId="{1E6C1955-1777-4DCD-8A3E-FD89AAB83662}" srcOrd="0" destOrd="0" presId="urn:microsoft.com/office/officeart/2005/8/layout/venn3"/>
    <dgm:cxn modelId="{8DF1FD82-C28D-4317-8732-0DFBD0DFEA37}" srcId="{49E4998A-306A-4A5E-87AF-6638F7C950EA}" destId="{4B8B3DB2-71C5-4677-895E-FE3ECD0DF554}" srcOrd="2" destOrd="0" parTransId="{92B263F3-6C32-4226-B857-974A0979AD00}" sibTransId="{171861DA-B9D5-4EB6-B801-427A3995E405}"/>
    <dgm:cxn modelId="{62519730-4B29-4DE7-AF89-6D20FF361C31}" srcId="{49E4998A-306A-4A5E-87AF-6638F7C950EA}" destId="{4F745A7D-11C6-4CED-9DA1-D55625585D73}" srcOrd="0" destOrd="0" parTransId="{2C71193D-1DE1-4A9C-B89F-09C5DF825757}" sibTransId="{6A846A07-02D0-4DB1-88E0-81EA6C38E9F4}"/>
    <dgm:cxn modelId="{8E09FB63-3242-4A0B-9DA3-6CA5D568D01D}" type="presOf" srcId="{4C340688-BDE4-479B-A93E-8F0DA4E2369C}" destId="{E7A656D2-CD30-425F-9BA2-5E2FE6478BAD}" srcOrd="0" destOrd="0" presId="urn:microsoft.com/office/officeart/2005/8/layout/venn3"/>
    <dgm:cxn modelId="{71660D83-990E-48CB-AB65-0054E857ED6F}" type="presOf" srcId="{49E4998A-306A-4A5E-87AF-6638F7C950EA}" destId="{44ED6EBE-839D-4B5D-A26F-EBA625AEBC73}" srcOrd="0" destOrd="0" presId="urn:microsoft.com/office/officeart/2005/8/layout/venn3"/>
    <dgm:cxn modelId="{2923B8C8-2477-4A67-B628-DDE838B00D2D}" srcId="{49E4998A-306A-4A5E-87AF-6638F7C950EA}" destId="{4C340688-BDE4-479B-A93E-8F0DA4E2369C}" srcOrd="1" destOrd="0" parTransId="{FA5F8C43-32C1-4DFC-8574-8AF3A4743D05}" sibTransId="{663ECDDC-37BE-44E8-BFCB-A4AD93F4722D}"/>
    <dgm:cxn modelId="{AE781C5F-5136-4C6A-A36F-8D09470DB7A2}" type="presOf" srcId="{4B8B3DB2-71C5-4677-895E-FE3ECD0DF554}" destId="{382EC2EB-2384-4A93-B5FE-4AAA473303BE}" srcOrd="0" destOrd="0" presId="urn:microsoft.com/office/officeart/2005/8/layout/venn3"/>
    <dgm:cxn modelId="{6F75F06C-2FA3-4135-9975-5410F3E555DA}" type="presParOf" srcId="{44ED6EBE-839D-4B5D-A26F-EBA625AEBC73}" destId="{1E6C1955-1777-4DCD-8A3E-FD89AAB83662}" srcOrd="0" destOrd="0" presId="urn:microsoft.com/office/officeart/2005/8/layout/venn3"/>
    <dgm:cxn modelId="{588E7116-5B33-4676-96F8-C1BCB1498A8B}" type="presParOf" srcId="{44ED6EBE-839D-4B5D-A26F-EBA625AEBC73}" destId="{B65404CA-E375-4AB8-8BAE-11328898BA75}" srcOrd="1" destOrd="0" presId="urn:microsoft.com/office/officeart/2005/8/layout/venn3"/>
    <dgm:cxn modelId="{C8C99480-9ABD-466A-B36C-BA249376E383}" type="presParOf" srcId="{44ED6EBE-839D-4B5D-A26F-EBA625AEBC73}" destId="{E7A656D2-CD30-425F-9BA2-5E2FE6478BAD}" srcOrd="2" destOrd="0" presId="urn:microsoft.com/office/officeart/2005/8/layout/venn3"/>
    <dgm:cxn modelId="{ADA95E64-9757-4AA2-B2B6-BFDA26079C86}" type="presParOf" srcId="{44ED6EBE-839D-4B5D-A26F-EBA625AEBC73}" destId="{D4C051C6-BDF9-45B4-AD98-6B5BC81B68B6}" srcOrd="3" destOrd="0" presId="urn:microsoft.com/office/officeart/2005/8/layout/venn3"/>
    <dgm:cxn modelId="{14B374EC-D4D1-497D-9F60-CF30D28B394E}" type="presParOf" srcId="{44ED6EBE-839D-4B5D-A26F-EBA625AEBC73}" destId="{382EC2EB-2384-4A93-B5FE-4AAA473303BE}" srcOrd="4" destOrd="0" presId="urn:microsoft.com/office/officeart/2005/8/layout/venn3"/>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F4AF8-068D-4C7F-B74C-DE87BE16C63B}">
      <dsp:nvSpPr>
        <dsp:cNvPr id="0" name=""/>
        <dsp:cNvSpPr/>
      </dsp:nvSpPr>
      <dsp:spPr>
        <a:xfrm>
          <a:off x="3401" y="200769"/>
          <a:ext cx="730959" cy="73095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4BEB49-5836-4784-ADDD-8070373BDB34}">
      <dsp:nvSpPr>
        <dsp:cNvPr id="0" name=""/>
        <dsp:cNvSpPr/>
      </dsp:nvSpPr>
      <dsp:spPr>
        <a:xfrm>
          <a:off x="45643" y="562594"/>
          <a:ext cx="884461" cy="88446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Century Gothic" panose="020B0502020202020204" pitchFamily="34" charset="0"/>
            </a:rPr>
            <a:t>Cele strategiczne</a:t>
          </a:r>
        </a:p>
      </dsp:txBody>
      <dsp:txXfrm>
        <a:off x="71548" y="588499"/>
        <a:ext cx="832651" cy="832651"/>
      </dsp:txXfrm>
    </dsp:sp>
    <dsp:sp modelId="{17CCA608-1926-4343-B84E-D089D209BA12}">
      <dsp:nvSpPr>
        <dsp:cNvPr id="0" name=""/>
        <dsp:cNvSpPr/>
      </dsp:nvSpPr>
      <dsp:spPr>
        <a:xfrm>
          <a:off x="46468" y="27946"/>
          <a:ext cx="5940461" cy="149393"/>
        </a:xfrm>
        <a:prstGeom prst="rightArrow">
          <a:avLst>
            <a:gd name="adj1" fmla="val 60000"/>
            <a:gd name="adj2" fmla="val 50000"/>
          </a:avLst>
        </a:prstGeom>
        <a:solidFill>
          <a:schemeClr val="accent3">
            <a:hueOff val="0"/>
            <a:satOff val="0"/>
            <a:lumOff val="0"/>
            <a:alphaOff val="0"/>
          </a:schemeClr>
        </a:solidFill>
        <a:ln>
          <a:noFill/>
        </a:ln>
        <a:effectLst>
          <a:outerShdw blurRad="50800" dist="38100" dir="10800000" algn="r"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l-PL" sz="600" kern="1200"/>
        </a:p>
      </dsp:txBody>
      <dsp:txXfrm>
        <a:off x="46468" y="57825"/>
        <a:ext cx="5895643" cy="89635"/>
      </dsp:txXfrm>
    </dsp:sp>
    <dsp:sp modelId="{2D9DA321-C0B7-4F95-B67A-1F9F2AB26A87}">
      <dsp:nvSpPr>
        <dsp:cNvPr id="0" name=""/>
        <dsp:cNvSpPr/>
      </dsp:nvSpPr>
      <dsp:spPr>
        <a:xfrm>
          <a:off x="1213394" y="200769"/>
          <a:ext cx="730959" cy="73095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C971DA-6DA4-4AC3-9729-725F3FB2CA35}">
      <dsp:nvSpPr>
        <dsp:cNvPr id="0" name=""/>
        <dsp:cNvSpPr/>
      </dsp:nvSpPr>
      <dsp:spPr>
        <a:xfrm>
          <a:off x="1255637" y="562594"/>
          <a:ext cx="884461" cy="884461"/>
        </a:xfrm>
        <a:prstGeom prst="roundRect">
          <a:avLst>
            <a:gd name="adj" fmla="val 10000"/>
          </a:avLst>
        </a:prstGeom>
        <a:solidFill>
          <a:schemeClr val="accent3">
            <a:hueOff val="677650"/>
            <a:satOff val="25000"/>
            <a:lumOff val="-3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0"/>
            </a:spcAft>
          </a:pPr>
          <a:r>
            <a:rPr lang="pl-PL" sz="900" kern="1200">
              <a:latin typeface="Century Gothic" panose="020B0502020202020204" pitchFamily="34" charset="0"/>
            </a:rPr>
            <a:t>Priorytety/</a:t>
          </a:r>
        </a:p>
        <a:p>
          <a:pPr lvl="0" algn="ctr" defTabSz="400050">
            <a:lnSpc>
              <a:spcPct val="90000"/>
            </a:lnSpc>
            <a:spcBef>
              <a:spcPct val="0"/>
            </a:spcBef>
            <a:spcAft>
              <a:spcPct val="35000"/>
            </a:spcAft>
          </a:pPr>
          <a:r>
            <a:rPr lang="pl-PL" sz="900" kern="1200">
              <a:latin typeface="Century Gothic" panose="020B0502020202020204" pitchFamily="34" charset="0"/>
            </a:rPr>
            <a:t>kierunki działań</a:t>
          </a:r>
        </a:p>
      </dsp:txBody>
      <dsp:txXfrm>
        <a:off x="1281542" y="588499"/>
        <a:ext cx="832651" cy="832651"/>
      </dsp:txXfrm>
    </dsp:sp>
    <dsp:sp modelId="{156AE55C-9A4C-4007-97D6-D55E8C12F2C2}">
      <dsp:nvSpPr>
        <dsp:cNvPr id="0" name=""/>
        <dsp:cNvSpPr/>
      </dsp:nvSpPr>
      <dsp:spPr>
        <a:xfrm>
          <a:off x="2128602" y="388401"/>
          <a:ext cx="223157" cy="2337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kern="1200"/>
        </a:p>
      </dsp:txBody>
      <dsp:txXfrm>
        <a:off x="2128602" y="435156"/>
        <a:ext cx="156210" cy="140266"/>
      </dsp:txXfrm>
    </dsp:sp>
    <dsp:sp modelId="{B067A7A8-00AB-418F-94E2-5AAC55436436}">
      <dsp:nvSpPr>
        <dsp:cNvPr id="0" name=""/>
        <dsp:cNvSpPr/>
      </dsp:nvSpPr>
      <dsp:spPr>
        <a:xfrm>
          <a:off x="2423387" y="200769"/>
          <a:ext cx="730959" cy="730959"/>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E5105F-8D6D-41B0-8AF3-2CEE72761834}">
      <dsp:nvSpPr>
        <dsp:cNvPr id="0" name=""/>
        <dsp:cNvSpPr/>
      </dsp:nvSpPr>
      <dsp:spPr>
        <a:xfrm>
          <a:off x="2465630" y="562594"/>
          <a:ext cx="884461" cy="884461"/>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entury Gothic" panose="020B0502020202020204" pitchFamily="34" charset="0"/>
            </a:rPr>
            <a:t>Rezultaty</a:t>
          </a:r>
        </a:p>
      </dsp:txBody>
      <dsp:txXfrm>
        <a:off x="2491535" y="588499"/>
        <a:ext cx="832651" cy="832651"/>
      </dsp:txXfrm>
    </dsp:sp>
    <dsp:sp modelId="{2658CB39-B31F-4825-94D4-7A0131674F7A}">
      <dsp:nvSpPr>
        <dsp:cNvPr id="0" name=""/>
        <dsp:cNvSpPr/>
      </dsp:nvSpPr>
      <dsp:spPr>
        <a:xfrm>
          <a:off x="3294261" y="449361"/>
          <a:ext cx="223157" cy="23377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kern="1200"/>
        </a:p>
      </dsp:txBody>
      <dsp:txXfrm>
        <a:off x="3294261" y="496116"/>
        <a:ext cx="156210" cy="140266"/>
      </dsp:txXfrm>
    </dsp:sp>
    <dsp:sp modelId="{747AEBB5-AD6B-4CA1-A1C9-0F9AD32315B4}">
      <dsp:nvSpPr>
        <dsp:cNvPr id="0" name=""/>
        <dsp:cNvSpPr/>
      </dsp:nvSpPr>
      <dsp:spPr>
        <a:xfrm>
          <a:off x="3633381" y="200769"/>
          <a:ext cx="730959" cy="730959"/>
        </a:xfrm>
        <a:prstGeom prst="roundRect">
          <a:avLst>
            <a:gd name="adj" fmla="val 10000"/>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478EDB-82C2-49F4-9DF8-54A2352E8E9C}">
      <dsp:nvSpPr>
        <dsp:cNvPr id="0" name=""/>
        <dsp:cNvSpPr/>
      </dsp:nvSpPr>
      <dsp:spPr>
        <a:xfrm>
          <a:off x="3675624" y="562594"/>
          <a:ext cx="884461" cy="884461"/>
        </a:xfrm>
        <a:prstGeom prst="roundRect">
          <a:avLst>
            <a:gd name="adj" fmla="val 10000"/>
          </a:avLst>
        </a:prstGeom>
        <a:solidFill>
          <a:schemeClr val="accent3">
            <a:hueOff val="2032949"/>
            <a:satOff val="75000"/>
            <a:lumOff val="-110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entury Gothic" panose="020B0502020202020204" pitchFamily="34" charset="0"/>
            </a:rPr>
            <a:t>Wskaźniki</a:t>
          </a:r>
        </a:p>
      </dsp:txBody>
      <dsp:txXfrm>
        <a:off x="3701529" y="588499"/>
        <a:ext cx="832651" cy="832651"/>
      </dsp:txXfrm>
    </dsp:sp>
    <dsp:sp modelId="{9144F0F5-09B9-4798-A7E2-9A4543391AA3}">
      <dsp:nvSpPr>
        <dsp:cNvPr id="0" name=""/>
        <dsp:cNvSpPr/>
      </dsp:nvSpPr>
      <dsp:spPr>
        <a:xfrm>
          <a:off x="38477" y="1475524"/>
          <a:ext cx="5940461" cy="143249"/>
        </a:xfrm>
        <a:prstGeom prst="rightArrow">
          <a:avLst>
            <a:gd name="adj1" fmla="val 60000"/>
            <a:gd name="adj2" fmla="val 50000"/>
          </a:avLst>
        </a:prstGeom>
        <a:solidFill>
          <a:schemeClr val="accent3">
            <a:hueOff val="2710599"/>
            <a:satOff val="100000"/>
            <a:lumOff val="-14706"/>
            <a:alphaOff val="0"/>
          </a:schemeClr>
        </a:solidFill>
        <a:ln>
          <a:noFill/>
        </a:ln>
        <a:effectLst>
          <a:outerShdw blurRad="50800" dist="38100" dir="8100000" algn="tr"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l-PL" sz="600" kern="1200"/>
        </a:p>
      </dsp:txBody>
      <dsp:txXfrm>
        <a:off x="38477" y="1504174"/>
        <a:ext cx="5897486" cy="85949"/>
      </dsp:txXfrm>
    </dsp:sp>
    <dsp:sp modelId="{31262A60-A8BC-4A1A-B41E-2D94B341D03D}">
      <dsp:nvSpPr>
        <dsp:cNvPr id="0" name=""/>
        <dsp:cNvSpPr/>
      </dsp:nvSpPr>
      <dsp:spPr>
        <a:xfrm>
          <a:off x="4843374" y="200769"/>
          <a:ext cx="730959" cy="730959"/>
        </a:xfrm>
        <a:prstGeom prst="roundRect">
          <a:avLst>
            <a:gd name="adj" fmla="val 10000"/>
          </a:avLst>
        </a:prstGeom>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5DFC68-71D8-4204-91BC-13E2762BCC2C}">
      <dsp:nvSpPr>
        <dsp:cNvPr id="0" name=""/>
        <dsp:cNvSpPr/>
      </dsp:nvSpPr>
      <dsp:spPr>
        <a:xfrm>
          <a:off x="4885617" y="562594"/>
          <a:ext cx="884461" cy="884461"/>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Century Gothic" panose="020B0502020202020204" pitchFamily="34" charset="0"/>
            </a:rPr>
            <a:t>Propozycje projektów</a:t>
          </a:r>
        </a:p>
      </dsp:txBody>
      <dsp:txXfrm>
        <a:off x="4911522" y="588499"/>
        <a:ext cx="832651" cy="8326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C1955-1777-4DCD-8A3E-FD89AAB83662}">
      <dsp:nvSpPr>
        <dsp:cNvPr id="0" name=""/>
        <dsp:cNvSpPr/>
      </dsp:nvSpPr>
      <dsp:spPr>
        <a:xfrm>
          <a:off x="2504" y="543155"/>
          <a:ext cx="2190288" cy="2190288"/>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0539" tIns="12700" rIns="120539" bIns="12700" numCol="1" spcCol="1270" anchor="ctr" anchorCtr="0">
          <a:noAutofit/>
        </a:bodyPr>
        <a:lstStyle/>
        <a:p>
          <a:pPr lvl="0" algn="ctr" defTabSz="444500">
            <a:lnSpc>
              <a:spcPct val="90000"/>
            </a:lnSpc>
            <a:spcBef>
              <a:spcPct val="0"/>
            </a:spcBef>
            <a:spcAft>
              <a:spcPct val="35000"/>
            </a:spcAft>
          </a:pPr>
          <a:r>
            <a:rPr lang="pl-PL" sz="1000" b="1" kern="1200">
              <a:latin typeface="Century Gothic" panose="020B0502020202020204" pitchFamily="34" charset="0"/>
            </a:rPr>
            <a:t>Cel strategiczny 1: </a:t>
          </a:r>
        </a:p>
        <a:p>
          <a:pPr lvl="0" algn="ctr" defTabSz="444500">
            <a:lnSpc>
              <a:spcPct val="100000"/>
            </a:lnSpc>
            <a:spcBef>
              <a:spcPct val="0"/>
            </a:spcBef>
            <a:spcAft>
              <a:spcPct val="35000"/>
            </a:spcAft>
          </a:pPr>
          <a:r>
            <a:rPr lang="pl-PL" sz="1000" kern="1200">
              <a:latin typeface="Century Gothic" panose="020B0502020202020204" pitchFamily="34" charset="0"/>
            </a:rPr>
            <a:t>Wzrost spójności społecznej</a:t>
          </a:r>
        </a:p>
      </dsp:txBody>
      <dsp:txXfrm>
        <a:off x="323264" y="863915"/>
        <a:ext cx="1548768" cy="1548768"/>
      </dsp:txXfrm>
    </dsp:sp>
    <dsp:sp modelId="{E7A656D2-CD30-425F-9BA2-5E2FE6478BAD}">
      <dsp:nvSpPr>
        <dsp:cNvPr id="0" name=""/>
        <dsp:cNvSpPr/>
      </dsp:nvSpPr>
      <dsp:spPr>
        <a:xfrm>
          <a:off x="1754735" y="543155"/>
          <a:ext cx="2190288" cy="2190288"/>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0539" tIns="12700" rIns="120539" bIns="12700" numCol="1" spcCol="1270" anchor="ctr" anchorCtr="0">
          <a:noAutofit/>
        </a:bodyPr>
        <a:lstStyle/>
        <a:p>
          <a:pPr lvl="0" algn="ctr" defTabSz="444500">
            <a:lnSpc>
              <a:spcPct val="90000"/>
            </a:lnSpc>
            <a:spcBef>
              <a:spcPct val="0"/>
            </a:spcBef>
            <a:spcAft>
              <a:spcPct val="35000"/>
            </a:spcAft>
          </a:pPr>
          <a:r>
            <a:rPr lang="pl-PL" sz="1000" b="1" kern="1200">
              <a:latin typeface="Century Gothic" panose="020B0502020202020204" pitchFamily="34" charset="0"/>
            </a:rPr>
            <a:t>Cel strategiczny 2: </a:t>
          </a:r>
        </a:p>
        <a:p>
          <a:pPr lvl="0" algn="ctr" defTabSz="444500">
            <a:lnSpc>
              <a:spcPct val="100000"/>
            </a:lnSpc>
            <a:spcBef>
              <a:spcPct val="0"/>
            </a:spcBef>
            <a:spcAft>
              <a:spcPts val="0"/>
            </a:spcAft>
          </a:pPr>
          <a:r>
            <a:rPr lang="pl-PL" sz="1000" kern="1200">
              <a:latin typeface="Century Gothic" panose="020B0502020202020204" pitchFamily="34" charset="0"/>
            </a:rPr>
            <a:t>Poprawa stanu środowiska </a:t>
          </a:r>
        </a:p>
        <a:p>
          <a:pPr lvl="0" algn="ctr" defTabSz="444500">
            <a:lnSpc>
              <a:spcPct val="100000"/>
            </a:lnSpc>
            <a:spcBef>
              <a:spcPct val="0"/>
            </a:spcBef>
            <a:spcAft>
              <a:spcPct val="35000"/>
            </a:spcAft>
          </a:pPr>
          <a:r>
            <a:rPr lang="pl-PL" sz="1000" kern="1200">
              <a:latin typeface="Century Gothic" panose="020B0502020202020204" pitchFamily="34" charset="0"/>
            </a:rPr>
            <a:t>i ochrona jego zasobów</a:t>
          </a:r>
        </a:p>
      </dsp:txBody>
      <dsp:txXfrm>
        <a:off x="2075495" y="863915"/>
        <a:ext cx="1548768" cy="1548768"/>
      </dsp:txXfrm>
    </dsp:sp>
    <dsp:sp modelId="{382EC2EB-2384-4A93-B5FE-4AAA473303BE}">
      <dsp:nvSpPr>
        <dsp:cNvPr id="0" name=""/>
        <dsp:cNvSpPr/>
      </dsp:nvSpPr>
      <dsp:spPr>
        <a:xfrm>
          <a:off x="3509471" y="551062"/>
          <a:ext cx="2190288" cy="2190288"/>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0539" tIns="12700" rIns="120539" bIns="12700" numCol="1" spcCol="1270" anchor="ctr" anchorCtr="0">
          <a:noAutofit/>
        </a:bodyPr>
        <a:lstStyle/>
        <a:p>
          <a:pPr lvl="0" algn="ctr" defTabSz="444500">
            <a:lnSpc>
              <a:spcPct val="90000"/>
            </a:lnSpc>
            <a:spcBef>
              <a:spcPct val="0"/>
            </a:spcBef>
            <a:spcAft>
              <a:spcPct val="35000"/>
            </a:spcAft>
          </a:pPr>
          <a:r>
            <a:rPr lang="pl-PL" sz="1000" b="1" kern="1200">
              <a:latin typeface="Century Gothic" panose="020B0502020202020204" pitchFamily="34" charset="0"/>
            </a:rPr>
            <a:t>Cel strategiczny 3:</a:t>
          </a:r>
        </a:p>
        <a:p>
          <a:pPr lvl="0" algn="ctr" defTabSz="444500">
            <a:lnSpc>
              <a:spcPct val="100000"/>
            </a:lnSpc>
            <a:spcBef>
              <a:spcPct val="0"/>
            </a:spcBef>
            <a:spcAft>
              <a:spcPts val="0"/>
            </a:spcAft>
          </a:pPr>
          <a:r>
            <a:rPr lang="pl-PL" sz="1000" kern="1200">
              <a:latin typeface="Century Gothic" panose="020B0502020202020204" pitchFamily="34" charset="0"/>
            </a:rPr>
            <a:t>Wzrost atrakcyjności gospodarczej </a:t>
          </a:r>
        </a:p>
        <a:p>
          <a:pPr lvl="0" algn="ctr" defTabSz="444500">
            <a:lnSpc>
              <a:spcPct val="100000"/>
            </a:lnSpc>
            <a:spcBef>
              <a:spcPct val="0"/>
            </a:spcBef>
            <a:spcAft>
              <a:spcPct val="35000"/>
            </a:spcAft>
          </a:pPr>
          <a:r>
            <a:rPr lang="pl-PL" sz="1000" kern="1200">
              <a:latin typeface="Century Gothic" panose="020B0502020202020204" pitchFamily="34" charset="0"/>
            </a:rPr>
            <a:t>i turystycznej</a:t>
          </a:r>
        </a:p>
      </dsp:txBody>
      <dsp:txXfrm>
        <a:off x="3830231" y="871822"/>
        <a:ext cx="1548768" cy="154876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216F7-ADD0-4F24-A3B8-E8C034D1C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65200</Words>
  <Characters>391205</Characters>
  <Application>Microsoft Office Word</Application>
  <DocSecurity>0</DocSecurity>
  <Lines>3260</Lines>
  <Paragraphs>910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Patryk Górecki</dc:creator>
  <cp:keywords/>
  <dc:description/>
  <cp:lastModifiedBy>Nowak Karolina - user072</cp:lastModifiedBy>
  <cp:revision>3</cp:revision>
  <cp:lastPrinted>2025-01-30T20:52:00Z</cp:lastPrinted>
  <dcterms:created xsi:type="dcterms:W3CDTF">2025-03-27T07:08:00Z</dcterms:created>
  <dcterms:modified xsi:type="dcterms:W3CDTF">2025-03-27T09:06:00Z</dcterms:modified>
</cp:coreProperties>
</file>